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Lines="50" w:line="500" w:lineRule="exact"/>
        <w:jc w:val="center"/>
        <w:rPr>
          <w:rFonts w:eastAsia="方正小标宋简体"/>
          <w:sz w:val="44"/>
          <w:szCs w:val="44"/>
        </w:rPr>
      </w:pPr>
      <w:bookmarkStart w:id="3" w:name="_GoBack"/>
      <w:bookmarkEnd w:id="3"/>
      <w:r>
        <w:rPr>
          <w:rFonts w:eastAsia="方正小标宋简体"/>
          <w:b/>
          <w:sz w:val="44"/>
          <w:szCs w:val="44"/>
        </w:rPr>
        <w:t>高</w:t>
      </w:r>
      <w:r>
        <w:rPr>
          <w:rFonts w:hint="eastAsia" w:eastAsia="方正小标宋简体"/>
          <w:b/>
          <w:sz w:val="44"/>
          <w:szCs w:val="44"/>
        </w:rPr>
        <w:t>等</w:t>
      </w:r>
      <w:r>
        <w:rPr>
          <w:rFonts w:eastAsia="方正小标宋简体"/>
          <w:b/>
          <w:sz w:val="44"/>
          <w:szCs w:val="44"/>
        </w:rPr>
        <w:t>学校实验室安全检查项目</w:t>
      </w:r>
      <w:r>
        <w:rPr>
          <w:rFonts w:hint="eastAsia" w:eastAsia="方正小标宋简体"/>
          <w:b/>
          <w:sz w:val="44"/>
          <w:szCs w:val="44"/>
        </w:rPr>
        <w:t>表</w:t>
      </w:r>
      <w:r>
        <w:rPr>
          <w:rFonts w:eastAsia="方正小标宋简体"/>
          <w:b/>
          <w:sz w:val="44"/>
          <w:szCs w:val="44"/>
        </w:rPr>
        <w:t>（20</w:t>
      </w:r>
      <w:r>
        <w:rPr>
          <w:rFonts w:hint="eastAsia" w:eastAsia="方正小标宋简体"/>
          <w:b/>
          <w:sz w:val="44"/>
          <w:szCs w:val="44"/>
        </w:rPr>
        <w:t>21</w:t>
      </w:r>
      <w:r>
        <w:rPr>
          <w:rFonts w:eastAsia="方正小标宋简体"/>
          <w:b/>
          <w:sz w:val="44"/>
          <w:szCs w:val="44"/>
        </w:rPr>
        <w:t>）</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374"/>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jc w:val="center"/>
        </w:trPr>
        <w:tc>
          <w:tcPr>
            <w:tcW w:w="848" w:type="dxa"/>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检查</w:t>
            </w:r>
            <w:r>
              <w:rPr>
                <w:rFonts w:hint="eastAsia" w:eastAsia="黑体"/>
                <w:b/>
                <w:bCs/>
                <w:kern w:val="0"/>
                <w:szCs w:val="21"/>
              </w:rPr>
              <w:t>项目</w:t>
            </w:r>
          </w:p>
        </w:tc>
        <w:tc>
          <w:tcPr>
            <w:tcW w:w="7374" w:type="dxa"/>
            <w:tcMar>
              <w:left w:w="45" w:type="dxa"/>
              <w:right w:w="45" w:type="dxa"/>
            </w:tcMar>
            <w:vAlign w:val="center"/>
          </w:tcPr>
          <w:p>
            <w:pPr>
              <w:spacing w:line="300" w:lineRule="exact"/>
              <w:jc w:val="center"/>
              <w:rPr>
                <w:rFonts w:eastAsia="黑体"/>
                <w:b/>
                <w:bCs/>
                <w:kern w:val="0"/>
                <w:szCs w:val="21"/>
              </w:rPr>
            </w:pPr>
            <w:r>
              <w:rPr>
                <w:rFonts w:hint="eastAsia" w:eastAsia="黑体"/>
                <w:b/>
                <w:bCs/>
                <w:kern w:val="0"/>
                <w:szCs w:val="21"/>
              </w:rPr>
              <w:t>检查要点</w:t>
            </w:r>
          </w:p>
        </w:tc>
        <w:tc>
          <w:tcPr>
            <w:tcW w:w="2829" w:type="dxa"/>
            <w:tcMar>
              <w:left w:w="45" w:type="dxa"/>
              <w:right w:w="45" w:type="dxa"/>
            </w:tcMar>
            <w:vAlign w:val="center"/>
          </w:tcPr>
          <w:p>
            <w:pPr>
              <w:spacing w:line="300" w:lineRule="exact"/>
              <w:jc w:val="center"/>
              <w:rPr>
                <w:rFonts w:eastAsia="黑体"/>
                <w:b/>
                <w:bCs/>
                <w:kern w:val="0"/>
                <w:szCs w:val="21"/>
              </w:rPr>
            </w:pPr>
            <w:r>
              <w:rPr>
                <w:rFonts w:hint="eastAsia"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pPr>
              <w:widowControl/>
              <w:spacing w:line="300" w:lineRule="exact"/>
              <w:rPr>
                <w:b/>
                <w:kern w:val="0"/>
                <w:szCs w:val="21"/>
              </w:rPr>
            </w:pPr>
            <w:r>
              <w:rPr>
                <w:rFonts w:hint="eastAsia"/>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pPr>
              <w:widowControl/>
              <w:spacing w:line="300" w:lineRule="exact"/>
              <w:rPr>
                <w:b/>
                <w:kern w:val="0"/>
                <w:szCs w:val="21"/>
              </w:rPr>
            </w:pPr>
            <w:r>
              <w:rPr>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1.1.1</w:t>
            </w:r>
          </w:p>
        </w:tc>
        <w:tc>
          <w:tcPr>
            <w:tcW w:w="3820" w:type="dxa"/>
            <w:tcMar>
              <w:left w:w="45" w:type="dxa"/>
              <w:right w:w="45" w:type="dxa"/>
            </w:tcMar>
            <w:vAlign w:val="center"/>
          </w:tcPr>
          <w:p>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有校级制度，内容含实验室安全的法人责任、党政同责、领导机构</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1.1.2</w:t>
            </w:r>
          </w:p>
        </w:tc>
        <w:tc>
          <w:tcPr>
            <w:tcW w:w="3820" w:type="dxa"/>
            <w:tcMar>
              <w:left w:w="45" w:type="dxa"/>
              <w:right w:w="45" w:type="dxa"/>
            </w:tcMar>
            <w:vAlign w:val="center"/>
          </w:tcPr>
          <w:p>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有实验室安全主管职能部门，与其他相关职能部门分工明确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r>
              <w:rPr>
                <w:rFonts w:hint="eastAsia"/>
                <w:kern w:val="0"/>
                <w:szCs w:val="21"/>
              </w:rPr>
              <w:t>/告知书</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档案或信息系统里有现任学校领导与院系主管签字盖章的安全责任书/告知书</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pPr>
              <w:widowControl/>
              <w:spacing w:line="300" w:lineRule="exact"/>
              <w:rPr>
                <w:b/>
                <w:kern w:val="0"/>
                <w:szCs w:val="21"/>
              </w:rPr>
            </w:pPr>
            <w:r>
              <w:rPr>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1.2.1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1.2.3</w:t>
            </w:r>
          </w:p>
        </w:tc>
        <w:tc>
          <w:tcPr>
            <w:tcW w:w="3820" w:type="dxa"/>
            <w:tcMar>
              <w:left w:w="45" w:type="dxa"/>
              <w:right w:w="45" w:type="dxa"/>
            </w:tcMar>
            <w:vAlign w:val="center"/>
          </w:tcPr>
          <w:p>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有</w:t>
            </w:r>
            <w:r>
              <w:rPr>
                <w:kern w:val="0"/>
                <w:szCs w:val="21"/>
              </w:rPr>
              <w:t>实验室安全责任书</w:t>
            </w:r>
          </w:p>
        </w:tc>
        <w:tc>
          <w:tcPr>
            <w:tcW w:w="7374" w:type="dxa"/>
            <w:tcMar>
              <w:left w:w="45" w:type="dxa"/>
              <w:right w:w="45" w:type="dxa"/>
            </w:tcMar>
            <w:vAlign w:val="center"/>
          </w:tcPr>
          <w:p>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pPr>
              <w:widowControl/>
              <w:spacing w:line="300" w:lineRule="exact"/>
              <w:rPr>
                <w:b/>
                <w:bCs/>
                <w:kern w:val="0"/>
                <w:szCs w:val="21"/>
              </w:rPr>
            </w:pPr>
            <w:r>
              <w:rPr>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1.3.1</w:t>
            </w:r>
          </w:p>
        </w:tc>
        <w:tc>
          <w:tcPr>
            <w:tcW w:w="3820" w:type="dxa"/>
            <w:tcMar>
              <w:left w:w="45" w:type="dxa"/>
              <w:right w:w="45" w:type="dxa"/>
            </w:tcMar>
            <w:vAlign w:val="center"/>
          </w:tcPr>
          <w:p>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查预算</w:t>
            </w:r>
            <w:r>
              <w:rPr>
                <w:bCs/>
                <w:kern w:val="0"/>
                <w:szCs w:val="21"/>
              </w:rPr>
              <w:t>审批</w:t>
            </w:r>
            <w:r>
              <w:rPr>
                <w:rFonts w:hint="eastAsia"/>
                <w:bCs/>
                <w:kern w:val="0"/>
                <w:szCs w:val="21"/>
              </w:rPr>
              <w:t>凭据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有专项经费投入实验室安全</w:t>
            </w:r>
            <w:r>
              <w:rPr>
                <w:rFonts w:hint="eastAsia"/>
                <w:kern w:val="0"/>
                <w:szCs w:val="21"/>
              </w:rPr>
              <w:t>工作</w:t>
            </w:r>
            <w:r>
              <w:rPr>
                <w:kern w:val="0"/>
                <w:szCs w:val="21"/>
              </w:rPr>
              <w:t>，</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pPr>
              <w:widowControl/>
              <w:spacing w:line="300" w:lineRule="exact"/>
              <w:rPr>
                <w:b/>
                <w:bCs/>
                <w:kern w:val="0"/>
                <w:szCs w:val="21"/>
              </w:rPr>
            </w:pPr>
            <w:r>
              <w:rPr>
                <w:rFonts w:hint="eastAsia"/>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.4.1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的实验室安全管理人员</w:t>
            </w:r>
          </w:p>
        </w:tc>
        <w:tc>
          <w:tcPr>
            <w:tcW w:w="7374" w:type="dxa"/>
            <w:tcMar>
              <w:left w:w="45" w:type="dxa"/>
              <w:right w:w="45" w:type="dxa"/>
            </w:tcMar>
            <w:vAlign w:val="center"/>
          </w:tcPr>
          <w:p>
            <w:pPr>
              <w:widowControl/>
              <w:spacing w:line="300" w:lineRule="exact"/>
              <w:jc w:val="left"/>
              <w:rPr>
                <w:bCs/>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r>
              <w:rPr>
                <w:rFonts w:hint="eastAsia"/>
                <w:kern w:val="0"/>
                <w:szCs w:val="21"/>
              </w:rPr>
              <w:t>员；推进专业安全队伍建设，保障队伍稳定和可持续发展</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1.4.2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有实验室安全督查/协查队伍，可以由教师、实验技术人员，也可以利用有相关专业能力的社会力量</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各级主管实验室安全的负责人、</w:t>
            </w:r>
            <w:r>
              <w:rPr>
                <w:kern w:val="0"/>
                <w:szCs w:val="21"/>
              </w:rPr>
              <w:t>管理人员</w:t>
            </w:r>
            <w:r>
              <w:rPr>
                <w:rFonts w:hint="eastAsia"/>
                <w:kern w:val="0"/>
                <w:szCs w:val="21"/>
              </w:rPr>
              <w:t>及技术人员到岗一年内须接受实验室安全培训</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有培训证书或培训记录</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和监管系统</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8" w:type="dxa"/>
            <w:tcMar>
              <w:left w:w="45" w:type="dxa"/>
              <w:right w:w="45" w:type="dxa"/>
            </w:tcMar>
            <w:vAlign w:val="center"/>
          </w:tcPr>
          <w:p>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pPr>
              <w:spacing w:line="300" w:lineRule="exact"/>
              <w:rPr>
                <w:bCs/>
                <w:kern w:val="0"/>
                <w:szCs w:val="21"/>
              </w:rPr>
            </w:pPr>
            <w:r>
              <w:rPr>
                <w:rFonts w:hint="eastAsia"/>
                <w:bCs/>
                <w:kern w:val="0"/>
                <w:szCs w:val="21"/>
              </w:rPr>
              <w:t>建有校级实验室安全管理总则，建有安全风险评估制度、危险源全周期管理制度、实验室安全应急制度、奖惩与问责追责制度和安全准入制度等管理细则；制度文件有学校正式发文号；文件应及时修订更新；文件应具有可操作性或实际管理效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有校级实验室安全管理细则</w:t>
            </w:r>
          </w:p>
        </w:tc>
        <w:tc>
          <w:tcPr>
            <w:tcW w:w="7374" w:type="dxa"/>
            <w:vMerge w:val="continue"/>
            <w:tcMar>
              <w:left w:w="45" w:type="dxa"/>
              <w:right w:w="45" w:type="dxa"/>
            </w:tcMar>
            <w:vAlign w:val="center"/>
          </w:tcPr>
          <w:p>
            <w:pPr>
              <w:spacing w:line="300" w:lineRule="exact"/>
              <w:rPr>
                <w:bCs/>
                <w:kern w:val="0"/>
                <w:szCs w:val="21"/>
              </w:rPr>
            </w:pP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pPr>
              <w:spacing w:line="300" w:lineRule="exact"/>
              <w:rPr>
                <w:bCs/>
                <w:kern w:val="0"/>
                <w:szCs w:val="21"/>
              </w:rPr>
            </w:pPr>
            <w:r>
              <w:rPr>
                <w:rFonts w:hint="eastAsia"/>
                <w:bCs/>
                <w:kern w:val="0"/>
                <w:szCs w:val="21"/>
              </w:rPr>
              <w:t>建</w:t>
            </w:r>
            <w:r>
              <w:rPr>
                <w:bCs/>
                <w:kern w:val="0"/>
                <w:szCs w:val="21"/>
              </w:rPr>
              <w:t>有</w:t>
            </w:r>
            <w:r>
              <w:rPr>
                <w:rFonts w:hint="eastAsia"/>
                <w:bCs/>
                <w:kern w:val="0"/>
                <w:szCs w:val="21"/>
              </w:rPr>
              <w:t>院系</w:t>
            </w:r>
            <w:r>
              <w:rPr>
                <w:bCs/>
                <w:kern w:val="0"/>
                <w:szCs w:val="21"/>
              </w:rPr>
              <w:t>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安全教育</w:t>
            </w:r>
            <w:r>
              <w:rPr>
                <w:b/>
                <w:kern w:val="0"/>
                <w:szCs w:val="21"/>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3.1.1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对于化学、生物、辐射等高风险的相关院系和专业，要开设有学分的安全教育必修课或</w:t>
            </w:r>
            <w:r>
              <w:rPr>
                <w:bCs/>
                <w:kern w:val="0"/>
                <w:szCs w:val="21"/>
              </w:rPr>
              <w:t>将安全教育课程纳入必修环节</w:t>
            </w:r>
            <w:r>
              <w:rPr>
                <w:rFonts w:hint="eastAsia"/>
                <w:bCs/>
                <w:kern w:val="0"/>
                <w:szCs w:val="21"/>
              </w:rPr>
              <w:t>；鼓励其他专业开设安全选修课</w:t>
            </w:r>
          </w:p>
        </w:tc>
        <w:tc>
          <w:tcPr>
            <w:tcW w:w="2829" w:type="dxa"/>
            <w:tcMar>
              <w:left w:w="45" w:type="dxa"/>
              <w:right w:w="45" w:type="dxa"/>
            </w:tcMar>
            <w:vAlign w:val="center"/>
          </w:tcPr>
          <w:p>
            <w:pP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3.1.2</w:t>
            </w:r>
          </w:p>
        </w:tc>
        <w:tc>
          <w:tcPr>
            <w:tcW w:w="3820" w:type="dxa"/>
            <w:tcMar>
              <w:left w:w="45" w:type="dxa"/>
              <w:right w:w="45" w:type="dxa"/>
            </w:tcMar>
            <w:vAlign w:val="center"/>
          </w:tcPr>
          <w:p>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pPr>
              <w:widowControl/>
              <w:spacing w:line="300" w:lineRule="exact"/>
              <w:rPr>
                <w:bCs/>
                <w:kern w:val="0"/>
                <w:szCs w:val="21"/>
              </w:rPr>
            </w:pPr>
            <w:r>
              <w:rPr>
                <w:rFonts w:hint="eastAsia"/>
                <w:bCs/>
                <w:kern w:val="0"/>
                <w:szCs w:val="21"/>
              </w:rPr>
              <w:t>查看近三年存档记录，包含培训时间、内容、人数、通知、会场照片等；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3.1.3</w:t>
            </w:r>
          </w:p>
        </w:tc>
        <w:tc>
          <w:tcPr>
            <w:tcW w:w="3820" w:type="dxa"/>
            <w:tcMar>
              <w:left w:w="45" w:type="dxa"/>
              <w:right w:w="45" w:type="dxa"/>
            </w:tcMar>
            <w:vAlign w:val="center"/>
          </w:tcPr>
          <w:p>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建议题库内容包含通识类和各专业学科分类安全知识、安全规范、国家相关法律法规、应急措施等；从事</w:t>
            </w:r>
            <w:r>
              <w:rPr>
                <w:kern w:val="0"/>
                <w:szCs w:val="21"/>
              </w:rPr>
              <w:t>实验工作的</w:t>
            </w:r>
            <w:r>
              <w:rPr>
                <w:rFonts w:hint="eastAsia"/>
                <w:kern w:val="0"/>
                <w:szCs w:val="21"/>
              </w:rPr>
              <w:t>学生</w:t>
            </w:r>
            <w:r>
              <w:rPr>
                <w:kern w:val="0"/>
                <w:szCs w:val="21"/>
              </w:rPr>
              <w:t>、教职工及外来人员</w:t>
            </w:r>
            <w:r>
              <w:rPr>
                <w:rFonts w:hint="eastAsia"/>
                <w:kern w:val="0"/>
                <w:szCs w:val="21"/>
              </w:rPr>
              <w:t>均需参加考试，通过者发放合格证书或</w:t>
            </w:r>
            <w:r>
              <w:rPr>
                <w:kern w:val="0"/>
                <w:szCs w:val="21"/>
              </w:rPr>
              <w:t>保留记录</w:t>
            </w:r>
          </w:p>
        </w:tc>
        <w:tc>
          <w:tcPr>
            <w:tcW w:w="2829" w:type="dxa"/>
            <w:tcMar>
              <w:left w:w="45" w:type="dxa"/>
              <w:right w:w="45" w:type="dxa"/>
            </w:tcMar>
            <w:vAlign w:val="center"/>
          </w:tcPr>
          <w:p>
            <w:pP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将实验室安全手册</w:t>
            </w:r>
            <w:r>
              <w:rPr>
                <w:kern w:val="0"/>
                <w:szCs w:val="21"/>
              </w:rPr>
              <w:t>发放到每一位</w:t>
            </w:r>
            <w:r>
              <w:rPr>
                <w:rFonts w:hint="eastAsia"/>
                <w:kern w:val="0"/>
                <w:szCs w:val="21"/>
              </w:rPr>
              <w:t>从事</w:t>
            </w:r>
            <w:r>
              <w:rPr>
                <w:kern w:val="0"/>
                <w:szCs w:val="21"/>
              </w:rPr>
              <w:t>实验活动的师生</w:t>
            </w:r>
          </w:p>
        </w:tc>
        <w:tc>
          <w:tcPr>
            <w:tcW w:w="2829" w:type="dxa"/>
            <w:tcMar>
              <w:left w:w="45" w:type="dxa"/>
              <w:right w:w="45" w:type="dxa"/>
            </w:tcMar>
            <w:vAlign w:val="center"/>
          </w:tcPr>
          <w:p>
            <w:pP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通过微信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安全评估、安全知识竞赛、微电影等</w:t>
            </w:r>
            <w:r>
              <w:rPr>
                <w:rFonts w:hint="eastAsia"/>
                <w:kern w:val="0"/>
                <w:szCs w:val="21"/>
              </w:rPr>
              <w:t>方式，加强安全宣传</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清单内容需包括单位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涉及危化品、病原微生物、放射性同位素、强磁等高危场所，有显著明确的警示标识</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r>
              <w:rPr>
                <w:bCs/>
                <w:kern w:val="0"/>
                <w:szCs w:val="21"/>
              </w:rPr>
              <w:t>检查</w:t>
            </w:r>
            <w:r>
              <w:rPr>
                <w:rFonts w:hint="eastAsia"/>
                <w:bCs/>
                <w:kern w:val="0"/>
                <w:szCs w:val="21"/>
              </w:rPr>
              <w:t>院系</w:t>
            </w:r>
            <w:r>
              <w:rPr>
                <w:bCs/>
                <w:kern w:val="0"/>
                <w:szCs w:val="21"/>
              </w:rPr>
              <w:t>文件</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pPr>
              <w:spacing w:line="300" w:lineRule="exact"/>
              <w:jc w:val="left"/>
              <w:rPr>
                <w:kern w:val="0"/>
                <w:szCs w:val="21"/>
              </w:rPr>
            </w:pPr>
            <w:r>
              <w:rPr>
                <w:rFonts w:hint="eastAsia"/>
                <w:bCs/>
                <w:kern w:val="0"/>
                <w:szCs w:val="21"/>
              </w:rPr>
              <w:t>学校层面开展定期/不定期检查</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每年不少于4次，并记录存档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pPr>
              <w:spacing w:line="300" w:lineRule="exact"/>
              <w:jc w:val="left"/>
              <w:rPr>
                <w:bCs/>
                <w:kern w:val="0"/>
                <w:szCs w:val="21"/>
              </w:rPr>
            </w:pPr>
            <w:r>
              <w:rPr>
                <w:rFonts w:hint="eastAsia"/>
                <w:kern w:val="0"/>
                <w:szCs w:val="21"/>
              </w:rPr>
              <w:t>每月不少于1次，并记录存档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pPr>
              <w:spacing w:line="300" w:lineRule="exact"/>
              <w:jc w:val="left"/>
              <w:rPr>
                <w:bCs/>
                <w:kern w:val="0"/>
                <w:szCs w:val="21"/>
              </w:rPr>
            </w:pPr>
            <w:r>
              <w:rPr>
                <w:rFonts w:hint="eastAsia"/>
                <w:kern w:val="0"/>
                <w:szCs w:val="21"/>
              </w:rPr>
              <w:t>针对管制</w:t>
            </w:r>
            <w:r>
              <w:rPr>
                <w:kern w:val="0"/>
                <w:szCs w:val="21"/>
              </w:rPr>
              <w:t>化学品</w:t>
            </w:r>
            <w:r>
              <w:rPr>
                <w:rFonts w:hint="eastAsia"/>
                <w:kern w:val="0"/>
                <w:szCs w:val="21"/>
              </w:rPr>
              <w:t>、</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房间须建立自检自查台账</w:t>
            </w:r>
          </w:p>
        </w:tc>
        <w:tc>
          <w:tcPr>
            <w:tcW w:w="7374" w:type="dxa"/>
            <w:tcMar>
              <w:left w:w="45" w:type="dxa"/>
              <w:right w:w="45" w:type="dxa"/>
            </w:tcMar>
            <w:vAlign w:val="center"/>
          </w:tcPr>
          <w:p>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w:t>
            </w:r>
            <w:r>
              <w:rPr>
                <w:rFonts w:hint="eastAsia"/>
                <w:bCs/>
                <w:kern w:val="0"/>
                <w:szCs w:val="21"/>
              </w:rPr>
              <w:t>留存记录</w:t>
            </w:r>
          </w:p>
        </w:tc>
        <w:tc>
          <w:tcPr>
            <w:tcW w:w="2829" w:type="dxa"/>
            <w:tcMar>
              <w:left w:w="45" w:type="dxa"/>
              <w:right w:w="45" w:type="dxa"/>
            </w:tcMar>
            <w:vAlign w:val="center"/>
          </w:tcPr>
          <w:p>
            <w:pPr>
              <w:pStyle w:val="6"/>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.2.5</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7374" w:type="dxa"/>
            <w:tcMar>
              <w:left w:w="45" w:type="dxa"/>
              <w:right w:w="45" w:type="dxa"/>
            </w:tcMar>
            <w:vAlign w:val="center"/>
          </w:tcPr>
          <w:p>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4.3</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应以正式形式通知到相关负责人</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通知的方式包括校网上公告、实验室安全简报、书面或电子的整改通知书等形式。其中整改通知书要包含问题描述、整改要求和期限等，并由被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w:t>
            </w:r>
            <w:r>
              <w:rPr>
                <w:rFonts w:hint="eastAsia"/>
                <w:b/>
                <w:kern w:val="0"/>
                <w:szCs w:val="21"/>
              </w:rPr>
              <w:t>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eastAsia="等线"/>
                <w:szCs w:val="21"/>
              </w:rPr>
            </w:pPr>
            <w:r>
              <w:rPr>
                <w:rFonts w:hint="eastAsia" w:eastAsia="等线"/>
                <w:szCs w:val="21"/>
              </w:rPr>
              <w:t>5</w:t>
            </w:r>
            <w:r>
              <w:rPr>
                <w:rFonts w:eastAsia="等线"/>
                <w:szCs w:val="21"/>
              </w:rPr>
              <w:t>.1.1</w:t>
            </w:r>
          </w:p>
        </w:tc>
        <w:tc>
          <w:tcPr>
            <w:tcW w:w="3820" w:type="dxa"/>
            <w:tcMar>
              <w:left w:w="45" w:type="dxa"/>
              <w:right w:w="45" w:type="dxa"/>
            </w:tcMar>
            <w:vAlign w:val="center"/>
          </w:tcPr>
          <w:p>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平方米以上实验室要有两个出入口；实验楼大走廊保证留有大于2米净宽的消防通道；实验室</w:t>
            </w:r>
            <w:r>
              <w:rPr>
                <w:szCs w:val="21"/>
              </w:rPr>
              <w:t>操作区层高不低于</w:t>
            </w:r>
            <w:r>
              <w:rPr>
                <w:rFonts w:hint="eastAsia"/>
                <w:szCs w:val="21"/>
              </w:rPr>
              <w:t>2米；理工农医类实验室内多人同时进行实验时，人均操作面积不小于2.5平方米</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eastAsia="等线"/>
                <w:szCs w:val="21"/>
              </w:rPr>
              <w:t>5.1.3</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eastAsia="等线"/>
                <w:szCs w:val="21"/>
              </w:rPr>
              <w:t>5.1.4</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等线"/>
                <w:szCs w:val="21"/>
              </w:rPr>
            </w:pPr>
            <w:r>
              <w:rPr>
                <w:rFonts w:eastAsia="等线"/>
                <w:szCs w:val="21"/>
              </w:rPr>
              <w:t>5.1.</w:t>
            </w:r>
            <w:r>
              <w:rPr>
                <w:rFonts w:hint="eastAsia" w:eastAsia="等线"/>
                <w:szCs w:val="21"/>
              </w:rPr>
              <w:t>5</w:t>
            </w:r>
          </w:p>
        </w:tc>
        <w:tc>
          <w:tcPr>
            <w:tcW w:w="3820" w:type="dxa"/>
            <w:tcMar>
              <w:left w:w="45" w:type="dxa"/>
              <w:right w:w="45" w:type="dxa"/>
            </w:tcMar>
            <w:vAlign w:val="center"/>
          </w:tcPr>
          <w:p>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pPr>
              <w:widowControl/>
              <w:spacing w:line="300" w:lineRule="exact"/>
              <w:jc w:val="left"/>
              <w:rPr>
                <w:bCs/>
                <w:szCs w:val="21"/>
              </w:rPr>
            </w:pPr>
            <w:r>
              <w:rPr>
                <w:rFonts w:hint="eastAsia"/>
                <w:szCs w:val="21"/>
              </w:rPr>
              <w:t>应急备用钥匙需集中存放、统一管理，应急时方便取用</w:t>
            </w:r>
          </w:p>
        </w:tc>
        <w:tc>
          <w:tcPr>
            <w:tcW w:w="2829" w:type="dxa"/>
            <w:tcMar>
              <w:left w:w="45" w:type="dxa"/>
              <w:right w:w="45" w:type="dxa"/>
            </w:tcMar>
            <w:vAlign w:val="center"/>
          </w:tcPr>
          <w:p>
            <w:pPr>
              <w:widowControl/>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eastAsia="等线"/>
                <w:szCs w:val="21"/>
              </w:rPr>
              <w:t>5.1.6</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；易对外产生磁场或易受磁场干扰的设备，需做好磁屏蔽；实验室噪声一般不高于55分贝（机械设备不高于70分贝）</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pPr>
              <w:spacing w:line="300" w:lineRule="exact"/>
              <w:jc w:val="left"/>
              <w:rPr>
                <w:bCs/>
                <w:szCs w:val="21"/>
              </w:rPr>
            </w:pPr>
            <w:r>
              <w:rPr>
                <w:rFonts w:hint="eastAsia"/>
                <w:szCs w:val="21"/>
              </w:rPr>
              <w:t>采用管道供气的实验室，输气管道及阀门无漏气现象，并有明确标识</w:t>
            </w:r>
            <w:r>
              <w:rPr>
                <w:rFonts w:hint="eastAsia"/>
                <w:bCs/>
                <w:szCs w:val="21"/>
              </w:rPr>
              <w:t>；供气管道有名称和气体流向标识，无破损；</w:t>
            </w:r>
            <w:r>
              <w:rPr>
                <w:rFonts w:hint="eastAsia"/>
                <w:szCs w:val="21"/>
              </w:rPr>
              <w:t>高温、明火设备放置位置与气体管道有安全间隔距离</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卫生与</w:t>
            </w:r>
            <w:r>
              <w:rPr>
                <w:rFonts w:hint="eastAsia"/>
                <w:b/>
                <w:kern w:val="0"/>
                <w:szCs w:val="21"/>
              </w:rPr>
              <w:t>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eastAsia="等线"/>
                <w:kern w:val="0"/>
                <w:szCs w:val="21"/>
              </w:rPr>
            </w:pPr>
            <w:r>
              <w:rPr>
                <w:rFonts w:eastAsia="等线"/>
                <w:szCs w:val="21"/>
              </w:rPr>
              <w:t>5.</w:t>
            </w:r>
            <w:r>
              <w:rPr>
                <w:rFonts w:hint="eastAsia" w:eastAsia="等线"/>
                <w:szCs w:val="21"/>
              </w:rPr>
              <w:t>2</w:t>
            </w:r>
            <w:r>
              <w:rPr>
                <w:rFonts w:eastAsia="等线"/>
                <w:szCs w:val="21"/>
              </w:rPr>
              <w:t>.1</w:t>
            </w:r>
          </w:p>
        </w:tc>
        <w:tc>
          <w:tcPr>
            <w:tcW w:w="3820" w:type="dxa"/>
            <w:tcMar>
              <w:left w:w="45" w:type="dxa"/>
              <w:right w:w="45" w:type="dxa"/>
            </w:tcMar>
            <w:vAlign w:val="center"/>
          </w:tcPr>
          <w:p>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pPr>
              <w:spacing w:line="300" w:lineRule="exact"/>
              <w:jc w:val="left"/>
              <w:rPr>
                <w:bCs/>
                <w:szCs w:val="21"/>
              </w:rPr>
            </w:pPr>
            <w:r>
              <w:rPr>
                <w:rFonts w:hint="eastAsia"/>
                <w:szCs w:val="21"/>
              </w:rPr>
              <w:t>有毒有害实验区与学习区明确分开，合理布局，重点关注化学、生物、辐射、激光等类别实验室</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eastAsia="等线"/>
                <w:szCs w:val="21"/>
              </w:rPr>
              <w:t>5.</w:t>
            </w:r>
            <w:r>
              <w:rPr>
                <w:rFonts w:hint="eastAsia" w:eastAsia="等线"/>
                <w:szCs w:val="21"/>
              </w:rPr>
              <w:t>2</w:t>
            </w:r>
            <w:r>
              <w:rPr>
                <w:rFonts w:eastAsia="等线"/>
                <w:szCs w:val="21"/>
              </w:rPr>
              <w:t>.2</w:t>
            </w:r>
          </w:p>
        </w:tc>
        <w:tc>
          <w:tcPr>
            <w:tcW w:w="3820" w:type="dxa"/>
            <w:tcMar>
              <w:left w:w="45" w:type="dxa"/>
              <w:right w:w="45" w:type="dxa"/>
            </w:tcMar>
            <w:vAlign w:val="center"/>
          </w:tcPr>
          <w:p>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不在实验室睡觉过夜，不存放和烧煮食物、饮食，禁止吸烟、不使用可燃性蚊香</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eastAsia="等线"/>
                <w:szCs w:val="21"/>
              </w:rPr>
              <w:t>5.</w:t>
            </w:r>
            <w:r>
              <w:rPr>
                <w:rFonts w:hint="eastAsia" w:eastAsia="等线"/>
                <w:szCs w:val="21"/>
              </w:rPr>
              <w:t>2</w:t>
            </w:r>
            <w:r>
              <w:rPr>
                <w:rFonts w:eastAsia="等线"/>
                <w:szCs w:val="21"/>
              </w:rPr>
              <w:t>.3</w:t>
            </w:r>
          </w:p>
        </w:tc>
        <w:tc>
          <w:tcPr>
            <w:tcW w:w="3820" w:type="dxa"/>
            <w:tcMar>
              <w:left w:w="45" w:type="dxa"/>
              <w:right w:w="45" w:type="dxa"/>
            </w:tcMar>
            <w:vAlign w:val="center"/>
          </w:tcPr>
          <w:p>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场所其它安全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eastAsia="等线"/>
                <w:kern w:val="0"/>
                <w:szCs w:val="21"/>
              </w:rPr>
            </w:pPr>
            <w:r>
              <w:rPr>
                <w:rFonts w:eastAsia="等线"/>
                <w:szCs w:val="21"/>
              </w:rPr>
              <w:t>5</w:t>
            </w:r>
            <w:r>
              <w:rPr>
                <w:rFonts w:hint="eastAsia" w:eastAsia="等线"/>
                <w:szCs w:val="21"/>
              </w:rPr>
              <w:t>.3</w:t>
            </w:r>
            <w:r>
              <w:rPr>
                <w:rFonts w:eastAsia="等线"/>
                <w:szCs w:val="21"/>
              </w:rPr>
              <w:t>.1</w:t>
            </w:r>
          </w:p>
        </w:tc>
        <w:tc>
          <w:tcPr>
            <w:tcW w:w="3820" w:type="dxa"/>
            <w:tcMar>
              <w:left w:w="45" w:type="dxa"/>
              <w:right w:w="45" w:type="dxa"/>
            </w:tcMar>
            <w:vAlign w:val="center"/>
          </w:tcPr>
          <w:p>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jc w:val="left"/>
              <w:rPr>
                <w:rFonts w:eastAsia="等线"/>
                <w:szCs w:val="21"/>
              </w:rPr>
            </w:pPr>
            <w:r>
              <w:rPr>
                <w:rFonts w:eastAsia="等线"/>
                <w:szCs w:val="21"/>
              </w:rPr>
              <w:t>5.</w:t>
            </w:r>
            <w:r>
              <w:rPr>
                <w:rFonts w:hint="eastAsia" w:eastAsia="等线"/>
                <w:szCs w:val="21"/>
              </w:rPr>
              <w:t>3</w:t>
            </w:r>
            <w:r>
              <w:rPr>
                <w:rFonts w:eastAsia="等线"/>
                <w:szCs w:val="21"/>
              </w:rPr>
              <w:t>.2</w:t>
            </w:r>
          </w:p>
        </w:tc>
        <w:tc>
          <w:tcPr>
            <w:tcW w:w="3820" w:type="dxa"/>
            <w:tcMar>
              <w:left w:w="45" w:type="dxa"/>
              <w:right w:w="45" w:type="dxa"/>
            </w:tcMar>
            <w:vAlign w:val="center"/>
          </w:tcPr>
          <w:p>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pPr>
              <w:spacing w:line="300" w:lineRule="exact"/>
              <w:jc w:val="left"/>
              <w:rPr>
                <w:bCs/>
                <w:szCs w:val="21"/>
              </w:rPr>
            </w:pPr>
            <w:r>
              <w:rPr>
                <w:rFonts w:hint="eastAsia"/>
                <w:szCs w:val="21"/>
              </w:rPr>
              <w:t>配备的药箱不上锁，并定期检查药品是否在保质期内</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jc w:val="left"/>
              <w:rPr>
                <w:rFonts w:eastAsia="等线"/>
                <w:szCs w:val="21"/>
              </w:rPr>
            </w:pPr>
            <w:r>
              <w:rPr>
                <w:rFonts w:eastAsia="等线"/>
                <w:szCs w:val="21"/>
              </w:rPr>
              <w:t>5.</w:t>
            </w:r>
            <w:r>
              <w:rPr>
                <w:rFonts w:hint="eastAsia" w:eastAsia="等线"/>
                <w:szCs w:val="21"/>
              </w:rPr>
              <w:t>3</w:t>
            </w:r>
            <w:r>
              <w:rPr>
                <w:rFonts w:eastAsia="等线"/>
                <w:szCs w:val="21"/>
              </w:rPr>
              <w:t>.3</w:t>
            </w:r>
          </w:p>
        </w:tc>
        <w:tc>
          <w:tcPr>
            <w:tcW w:w="3820" w:type="dxa"/>
            <w:tcMar>
              <w:left w:w="45" w:type="dxa"/>
              <w:right w:w="45" w:type="dxa"/>
            </w:tcMar>
            <w:vAlign w:val="center"/>
          </w:tcPr>
          <w:p>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hint="eastAsia" w:eastAsia="等线"/>
                <w:szCs w:val="21"/>
              </w:rPr>
              <w:t>6</w:t>
            </w:r>
            <w:r>
              <w:rPr>
                <w:rFonts w:eastAsia="等线"/>
                <w:szCs w:val="21"/>
              </w:rPr>
              <w:t>.1.1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实验室应配备合适的灭火设备，并定期开展使用训练</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烟感</w:t>
            </w:r>
            <w:r>
              <w:rPr>
                <w:rFonts w:ascii="宋体" w:hAnsi="宋体"/>
                <w:kern w:val="0"/>
                <w:szCs w:val="21"/>
              </w:rPr>
              <w:t>报警器、</w:t>
            </w:r>
            <w:r>
              <w:rPr>
                <w:rFonts w:hint="eastAsia" w:ascii="宋体" w:hAnsi="宋体"/>
                <w:kern w:val="0"/>
                <w:szCs w:val="21"/>
              </w:rPr>
              <w:t>灭火器、灭火毯、消防沙、消防喷淋等，应正常有效、</w:t>
            </w:r>
            <w:r>
              <w:rPr>
                <w:rFonts w:ascii="宋体" w:hAnsi="宋体"/>
                <w:kern w:val="0"/>
                <w:szCs w:val="21"/>
              </w:rPr>
              <w:t>方便取用</w:t>
            </w:r>
            <w:r>
              <w:rPr>
                <w:rFonts w:hint="eastAsia" w:ascii="宋体" w:hAnsi="宋体"/>
                <w:kern w:val="0"/>
                <w:szCs w:val="21"/>
              </w:rPr>
              <w:t>；灭火器种类配置正确；灭火器在有效期内（压力指针</w:t>
            </w:r>
            <w:r>
              <w:rPr>
                <w:rFonts w:ascii="宋体" w:hAnsi="宋体"/>
                <w:kern w:val="0"/>
                <w:szCs w:val="21"/>
              </w:rPr>
              <w:t>位置</w:t>
            </w:r>
            <w:r>
              <w:rPr>
                <w:rFonts w:hint="eastAsia" w:ascii="宋体" w:hAnsi="宋体"/>
                <w:kern w:val="0"/>
                <w:szCs w:val="21"/>
              </w:rPr>
              <w:t>正常等），安全销（拉针）正常，瓶身无破损、腐蚀</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hint="eastAsia" w:eastAsia="等线"/>
                <w:szCs w:val="21"/>
              </w:rPr>
              <w:t>6</w:t>
            </w:r>
            <w:r>
              <w:rPr>
                <w:rFonts w:eastAsia="等线"/>
                <w:szCs w:val="21"/>
              </w:rPr>
              <w:t>.1.</w:t>
            </w:r>
            <w:r>
              <w:rPr>
                <w:rFonts w:hint="eastAsia" w:eastAsia="等线"/>
                <w:szCs w:val="21"/>
              </w:rPr>
              <w:t>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紧急逃生疏散路线通畅</w:t>
            </w:r>
          </w:p>
        </w:tc>
        <w:tc>
          <w:tcPr>
            <w:tcW w:w="7374" w:type="dxa"/>
            <w:tcMar>
              <w:left w:w="45" w:type="dxa"/>
              <w:right w:w="45" w:type="dxa"/>
            </w:tcMar>
            <w:vAlign w:val="center"/>
          </w:tcPr>
          <w:p>
            <w:pPr>
              <w:rPr>
                <w:rFonts w:ascii="宋体" w:hAnsi="宋体"/>
                <w:bCs/>
                <w:kern w:val="0"/>
                <w:szCs w:val="21"/>
              </w:rPr>
            </w:pPr>
            <w:r>
              <w:rPr>
                <w:rFonts w:hint="eastAsia" w:ascii="宋体" w:hAnsi="宋体"/>
                <w:kern w:val="0"/>
                <w:szCs w:val="21"/>
              </w:rPr>
              <w:t>在显著位置张贴有紧急逃生疏散路线图，疏散路线图的逃生路线应有二条（含）以上；路线与现场情况符合；主要逃生路径（室内、楼梯、通道和出口处）有足够的紧急照明灯，功能正常</w:t>
            </w:r>
            <w:r>
              <w:rPr>
                <w:rFonts w:hint="eastAsia" w:ascii="宋体" w:hAnsi="宋体"/>
                <w:kern w:val="0"/>
              </w:rPr>
              <w:t>，并设置有效标识指示逃生方向；</w:t>
            </w:r>
            <w:r>
              <w:rPr>
                <w:rFonts w:hint="eastAsia" w:ascii="宋体" w:hAnsi="宋体"/>
                <w:kern w:val="0"/>
                <w:szCs w:val="21"/>
              </w:rPr>
              <w:t>师生应熟悉紧急疏散路线及火场逃生注意事项</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应急喷淋</w:t>
            </w:r>
            <w:r>
              <w:rPr>
                <w:rFonts w:hint="eastAsia" w:ascii="宋体" w:hAnsi="宋体"/>
                <w:b/>
                <w:kern w:val="0"/>
                <w:szCs w:val="21"/>
              </w:rPr>
              <w:t>与</w:t>
            </w:r>
            <w:r>
              <w:rPr>
                <w:rFonts w:ascii="宋体" w:hAnsi="宋体"/>
                <w:b/>
                <w:kern w:val="0"/>
                <w:szCs w:val="21"/>
              </w:rPr>
              <w:t>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6.2.1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存在可能受到化学和生物伤害的实验区域，需配置应急喷淋和洗眼装置</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有显著标识</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6.2.2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应急喷淋与洗眼装置安装合理，并能正常使用</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应急喷淋安装地点与工作区域之间畅通，距离不超过30米；应急喷淋安装位置合适，拉杆位置</w:t>
            </w:r>
            <w:r>
              <w:rPr>
                <w:rFonts w:ascii="宋体" w:hAnsi="宋体"/>
                <w:kern w:val="0"/>
                <w:szCs w:val="21"/>
              </w:rPr>
              <w:t>合适、</w:t>
            </w:r>
            <w:r>
              <w:rPr>
                <w:rFonts w:hint="eastAsia" w:ascii="宋体" w:hAnsi="宋体"/>
                <w:kern w:val="0"/>
                <w:szCs w:val="21"/>
              </w:rPr>
              <w:t>方向</w:t>
            </w:r>
            <w:r>
              <w:rPr>
                <w:rFonts w:ascii="宋体" w:hAnsi="宋体"/>
                <w:kern w:val="0"/>
                <w:szCs w:val="21"/>
              </w:rPr>
              <w:t>正确</w:t>
            </w:r>
            <w:r>
              <w:rPr>
                <w:rFonts w:hint="eastAsia" w:ascii="宋体" w:hAnsi="宋体"/>
                <w:kern w:val="0"/>
                <w:szCs w:val="21"/>
              </w:rPr>
              <w:t>；</w:t>
            </w:r>
            <w:r>
              <w:rPr>
                <w:rFonts w:ascii="宋体" w:hAnsi="宋体"/>
                <w:kern w:val="0"/>
                <w:szCs w:val="21"/>
              </w:rPr>
              <w:t>应急喷淋装置水管总阀处常开状，喷</w:t>
            </w:r>
            <w:r>
              <w:rPr>
                <w:rFonts w:hint="eastAsia" w:ascii="宋体" w:hAnsi="宋体"/>
                <w:kern w:val="0"/>
                <w:szCs w:val="21"/>
              </w:rPr>
              <w:t>淋</w:t>
            </w:r>
            <w:r>
              <w:rPr>
                <w:rFonts w:ascii="宋体" w:hAnsi="宋体"/>
                <w:kern w:val="0"/>
                <w:szCs w:val="21"/>
              </w:rPr>
              <w:t>头下方无障碍物</w:t>
            </w:r>
            <w:r>
              <w:rPr>
                <w:rFonts w:hint="eastAsia" w:ascii="宋体" w:hAnsi="宋体"/>
                <w:kern w:val="0"/>
                <w:szCs w:val="21"/>
              </w:rPr>
              <w:t>；</w:t>
            </w:r>
            <w:r>
              <w:rPr>
                <w:rFonts w:ascii="宋体" w:hAnsi="宋体"/>
                <w:kern w:val="0"/>
                <w:szCs w:val="21"/>
              </w:rPr>
              <w:t>不能以普通淋浴装置代替应急喷淋装置</w:t>
            </w:r>
            <w:r>
              <w:rPr>
                <w:rFonts w:hint="eastAsia" w:ascii="宋体" w:hAnsi="宋体"/>
                <w:kern w:val="0"/>
                <w:szCs w:val="21"/>
              </w:rPr>
              <w:t>；洗眼装置接入生活用水管道，水量水压适中（喷出高度</w:t>
            </w:r>
            <w:r>
              <w:rPr>
                <w:rFonts w:ascii="宋体" w:hAnsi="宋体"/>
                <w:kern w:val="0"/>
                <w:szCs w:val="21"/>
              </w:rPr>
              <w:t>8</w:t>
            </w:r>
            <w:r>
              <w:rPr>
                <w:rFonts w:hint="eastAsia" w:ascii="宋体" w:hAnsi="宋体"/>
                <w:kern w:val="0"/>
                <w:szCs w:val="21"/>
              </w:rPr>
              <w:t>-10厘米），</w:t>
            </w:r>
            <w:r>
              <w:rPr>
                <w:rFonts w:hint="eastAsia" w:ascii="宋体" w:hAnsi="宋体"/>
                <w:bCs/>
                <w:kern w:val="0"/>
                <w:szCs w:val="21"/>
              </w:rPr>
              <w:t>水流畅通平稳</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6.2.3</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定期对应急喷淋与</w:t>
            </w:r>
            <w:r>
              <w:rPr>
                <w:rFonts w:ascii="宋体" w:hAnsi="宋体"/>
                <w:kern w:val="0"/>
                <w:szCs w:val="21"/>
              </w:rPr>
              <w:t>洗眼</w:t>
            </w:r>
            <w:r>
              <w:rPr>
                <w:rFonts w:hint="eastAsia" w:ascii="宋体" w:hAnsi="宋体"/>
                <w:kern w:val="0"/>
                <w:szCs w:val="21"/>
              </w:rPr>
              <w:t>装置进行维护</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有检查记录（每月启动一次阀门，时刻保证管内流水畅通）；每周擦拭洗眼喷头，</w:t>
            </w:r>
            <w:r>
              <w:rPr>
                <w:rFonts w:hint="eastAsia" w:ascii="宋体" w:hAnsi="宋体"/>
                <w:bCs/>
                <w:kern w:val="0"/>
                <w:szCs w:val="21"/>
              </w:rPr>
              <w:t>无锈水脏水</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6.3.1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有需要的实验场所</w:t>
            </w:r>
            <w:r>
              <w:rPr>
                <w:rFonts w:ascii="宋体" w:hAnsi="宋体"/>
                <w:kern w:val="0"/>
                <w:szCs w:val="21"/>
              </w:rPr>
              <w:t>配备符合</w:t>
            </w:r>
            <w:r>
              <w:rPr>
                <w:rFonts w:hint="eastAsia" w:ascii="宋体" w:hAnsi="宋体"/>
                <w:kern w:val="0"/>
                <w:szCs w:val="21"/>
              </w:rPr>
              <w:t>设计规范</w:t>
            </w:r>
            <w:r>
              <w:rPr>
                <w:rFonts w:ascii="宋体" w:hAnsi="宋体"/>
                <w:kern w:val="0"/>
                <w:szCs w:val="21"/>
              </w:rPr>
              <w:t>的通风系统</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hint="eastAsia" w:ascii="宋体" w:hAnsi="宋体"/>
                <w:bCs/>
                <w:kern w:val="0"/>
                <w:szCs w:val="21"/>
              </w:rPr>
              <w:t>；</w:t>
            </w:r>
            <w:r>
              <w:rPr>
                <w:rFonts w:hint="eastAsia" w:ascii="宋体" w:hAnsi="宋体"/>
                <w:kern w:val="0"/>
                <w:szCs w:val="21"/>
              </w:rPr>
              <w:t>实验室</w:t>
            </w:r>
            <w:r>
              <w:rPr>
                <w:rFonts w:ascii="宋体" w:hAnsi="宋体"/>
                <w:kern w:val="0"/>
                <w:szCs w:val="21"/>
              </w:rPr>
              <w:t>通风系统运行</w:t>
            </w:r>
            <w:r>
              <w:rPr>
                <w:rFonts w:hint="eastAsia" w:ascii="宋体" w:hAnsi="宋体"/>
                <w:kern w:val="0"/>
                <w:szCs w:val="21"/>
              </w:rPr>
              <w:t>正常，</w:t>
            </w:r>
            <w:r>
              <w:rPr>
                <w:rFonts w:hint="eastAsia"/>
                <w:szCs w:val="21"/>
              </w:rPr>
              <w:t>柜口面</w:t>
            </w:r>
            <w:r>
              <w:rPr>
                <w:rFonts w:hint="eastAsia" w:ascii="宋体" w:hAnsi="宋体"/>
                <w:kern w:val="0"/>
                <w:szCs w:val="21"/>
              </w:rPr>
              <w:t>风速</w:t>
            </w:r>
            <w:r>
              <w:rPr>
                <w:rFonts w:ascii="宋体" w:hAnsi="宋体"/>
                <w:kern w:val="0"/>
                <w:szCs w:val="21"/>
              </w:rPr>
              <w:t>0.30-0.75</w:t>
            </w:r>
            <w:r>
              <w:rPr>
                <w:rFonts w:hint="eastAsia" w:ascii="宋体" w:hAnsi="宋体"/>
                <w:kern w:val="0"/>
                <w:szCs w:val="21"/>
              </w:rPr>
              <w:t xml:space="preserve"> 米/秒，定期进行维护、检修；</w:t>
            </w:r>
            <w:r>
              <w:rPr>
                <w:rFonts w:ascii="宋体" w:hAnsi="宋体"/>
                <w:kern w:val="0"/>
                <w:szCs w:val="21"/>
              </w:rPr>
              <w:t>屋顶风机固定无松动、无异常噪声</w:t>
            </w:r>
          </w:p>
        </w:tc>
        <w:tc>
          <w:tcPr>
            <w:tcW w:w="2829" w:type="dxa"/>
            <w:tcMar>
              <w:left w:w="45" w:type="dxa"/>
              <w:right w:w="45" w:type="dxa"/>
            </w:tcMar>
            <w:vAlign w:val="center"/>
          </w:tcPr>
          <w:p>
            <w:pPr>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6.3.2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通风柜配置合理、使用正常、操作合规</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根据需要在通风柜管路上安装有毒有害气体的吸附或处理装置（如</w:t>
            </w:r>
            <w:r>
              <w:rPr>
                <w:rFonts w:ascii="宋体" w:hAnsi="宋体"/>
                <w:kern w:val="0"/>
                <w:szCs w:val="21"/>
              </w:rPr>
              <w:t>活性炭、光催化分</w:t>
            </w:r>
            <w:r>
              <w:rPr>
                <w:rFonts w:hint="eastAsia" w:ascii="宋体" w:hAnsi="宋体"/>
                <w:kern w:val="0"/>
                <w:szCs w:val="21"/>
              </w:rPr>
              <w:t>解</w:t>
            </w:r>
            <w:r>
              <w:rPr>
                <w:rFonts w:ascii="宋体" w:hAnsi="宋体"/>
                <w:kern w:val="0"/>
                <w:szCs w:val="21"/>
              </w:rPr>
              <w:t>、水喷淋等</w:t>
            </w:r>
            <w:r>
              <w:rPr>
                <w:rFonts w:hint="eastAsia" w:ascii="宋体" w:hAnsi="宋体"/>
                <w:kern w:val="0"/>
                <w:szCs w:val="21"/>
              </w:rPr>
              <w:t>）；任何可能产生高浓度有害气体而导致个人曝露、或产生可燃、可爆炸气体或蒸汽而导致积聚的实验，都应在通风柜内进行；进行实验时，可调玻璃视窗开至据台面10</w:t>
            </w:r>
            <w:r>
              <w:rPr>
                <w:rFonts w:ascii="宋体" w:hAnsi="宋体"/>
                <w:kern w:val="0"/>
                <w:szCs w:val="21"/>
              </w:rPr>
              <w:t>-</w:t>
            </w:r>
            <w:r>
              <w:rPr>
                <w:rFonts w:hint="eastAsia" w:ascii="宋体" w:hAnsi="宋体"/>
                <w:kern w:val="0"/>
                <w:szCs w:val="21"/>
              </w:rPr>
              <w:t>15厘米，保持</w:t>
            </w:r>
            <w:r>
              <w:rPr>
                <w:rFonts w:ascii="宋体" w:hAnsi="宋体"/>
                <w:kern w:val="0"/>
                <w:szCs w:val="21"/>
              </w:rPr>
              <w:t>通风效果，并保护</w:t>
            </w:r>
            <w:r>
              <w:rPr>
                <w:rFonts w:hint="eastAsia" w:ascii="宋体" w:hAnsi="宋体"/>
                <w:kern w:val="0"/>
                <w:szCs w:val="21"/>
              </w:rPr>
              <w:t>操作人员胸部以上部位；</w:t>
            </w:r>
            <w:r>
              <w:rPr>
                <w:rFonts w:ascii="宋体" w:hAnsi="宋体"/>
                <w:bCs/>
                <w:kern w:val="0"/>
                <w:szCs w:val="21"/>
              </w:rPr>
              <w:t>玻璃视窗材料应是钢化玻璃</w:t>
            </w:r>
            <w:r>
              <w:rPr>
                <w:rFonts w:hint="eastAsia" w:ascii="宋体" w:hAnsi="宋体"/>
                <w:bCs/>
                <w:kern w:val="0"/>
                <w:szCs w:val="21"/>
              </w:rPr>
              <w:t>；</w:t>
            </w:r>
            <w:r>
              <w:rPr>
                <w:rFonts w:hint="eastAsia" w:ascii="宋体" w:hAnsi="宋体"/>
                <w:kern w:val="0"/>
                <w:szCs w:val="21"/>
              </w:rPr>
              <w:t>实验人员在通风柜进行实验时，避免将头伸入调节门内；不可将一次性手套或较轻的塑料袋等留在通风柜内，以免堵塞排风口；通风柜内放置</w:t>
            </w:r>
            <w:r>
              <w:rPr>
                <w:rFonts w:ascii="宋体" w:hAnsi="宋体"/>
                <w:kern w:val="0"/>
                <w:szCs w:val="21"/>
              </w:rPr>
              <w:t>物品</w:t>
            </w:r>
            <w:r>
              <w:rPr>
                <w:rFonts w:hint="eastAsia" w:ascii="宋体" w:hAnsi="宋体"/>
                <w:kern w:val="0"/>
                <w:szCs w:val="21"/>
              </w:rPr>
              <w:t>应距离调节门内侧15厘米左右，以免</w:t>
            </w:r>
            <w:r>
              <w:rPr>
                <w:rFonts w:ascii="宋体" w:hAnsi="宋体"/>
                <w:kern w:val="0"/>
                <w:szCs w:val="21"/>
              </w:rPr>
              <w:t>掉落</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hint="eastAsia" w:ascii="宋体" w:hAnsi="宋体"/>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6.4.1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szCs w:val="21"/>
              </w:rPr>
              <w:t>重点</w:t>
            </w:r>
            <w:r>
              <w:rPr>
                <w:rFonts w:ascii="宋体" w:hAnsi="宋体"/>
                <w:szCs w:val="21"/>
              </w:rPr>
              <w:t>场所</w:t>
            </w:r>
            <w:r>
              <w:rPr>
                <w:rFonts w:hint="eastAsia" w:ascii="宋体" w:hAnsi="宋体"/>
                <w:szCs w:val="21"/>
              </w:rPr>
              <w:t>需安装门禁和监控设施，并有专人管理</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关注重点场所</w:t>
            </w:r>
            <w:r>
              <w:rPr>
                <w:rFonts w:ascii="宋体" w:hAnsi="宋体"/>
                <w:szCs w:val="21"/>
              </w:rPr>
              <w:t>，如</w:t>
            </w:r>
            <w:r>
              <w:rPr>
                <w:rFonts w:hint="eastAsia" w:ascii="宋体" w:hAnsi="宋体"/>
                <w:szCs w:val="21"/>
              </w:rPr>
              <w:t>剧毒品、病原微生物</w:t>
            </w:r>
            <w:r>
              <w:rPr>
                <w:rFonts w:ascii="宋体" w:hAnsi="宋体"/>
                <w:szCs w:val="21"/>
              </w:rPr>
              <w:t>、</w:t>
            </w:r>
            <w:r>
              <w:rPr>
                <w:rFonts w:hint="eastAsia" w:ascii="宋体" w:hAnsi="宋体"/>
                <w:szCs w:val="21"/>
              </w:rPr>
              <w:t>放射源存放点、</w:t>
            </w:r>
            <w:r>
              <w:rPr>
                <w:rFonts w:ascii="宋体" w:hAnsi="宋体"/>
                <w:szCs w:val="21"/>
              </w:rPr>
              <w:t>核材料</w:t>
            </w:r>
            <w:r>
              <w:rPr>
                <w:rFonts w:hint="eastAsia" w:ascii="宋体" w:hAnsi="宋体"/>
                <w:szCs w:val="21"/>
              </w:rPr>
              <w:t>等危险源的管理</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6.4.2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szCs w:val="21"/>
              </w:rPr>
              <w:t>门禁和监控系统运转正常，与</w:t>
            </w:r>
            <w:r>
              <w:rPr>
                <w:rFonts w:ascii="宋体" w:hAnsi="宋体"/>
                <w:szCs w:val="21"/>
              </w:rPr>
              <w:t>实验室准入制度</w:t>
            </w:r>
            <w:r>
              <w:rPr>
                <w:rFonts w:hint="eastAsia" w:ascii="宋体" w:hAnsi="宋体"/>
                <w:szCs w:val="21"/>
              </w:rPr>
              <w:t>相</w:t>
            </w:r>
            <w:r>
              <w:rPr>
                <w:rFonts w:ascii="宋体" w:hAnsi="宋体"/>
                <w:szCs w:val="21"/>
              </w:rPr>
              <w:t>匹配</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监控不留死角，图像清晰，人员出入记录可查，建议视频记录存储时间大于1个月；</w:t>
            </w:r>
            <w:r>
              <w:rPr>
                <w:rFonts w:ascii="宋体" w:hAnsi="宋体"/>
                <w:szCs w:val="21"/>
              </w:rPr>
              <w:t>停电时</w:t>
            </w:r>
            <w:r>
              <w:rPr>
                <w:rFonts w:hint="eastAsia" w:ascii="宋体" w:hAnsi="宋体"/>
                <w:szCs w:val="21"/>
              </w:rPr>
              <w:t>，电子</w:t>
            </w:r>
            <w:r>
              <w:rPr>
                <w:rFonts w:ascii="宋体" w:hAnsi="宋体"/>
                <w:szCs w:val="21"/>
              </w:rPr>
              <w:t>门禁系统</w:t>
            </w:r>
            <w:r>
              <w:rPr>
                <w:rFonts w:hint="eastAsia" w:ascii="宋体" w:hAnsi="宋体"/>
                <w:szCs w:val="21"/>
              </w:rPr>
              <w:t>应</w:t>
            </w:r>
            <w:r>
              <w:rPr>
                <w:rFonts w:ascii="宋体" w:hAnsi="宋体"/>
                <w:szCs w:val="21"/>
              </w:rPr>
              <w:t>是开启状态</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pPr>
              <w:widowControl/>
              <w:spacing w:line="300" w:lineRule="exact"/>
              <w:jc w:val="left"/>
              <w:rPr>
                <w:rFonts w:ascii="宋体" w:hAnsi="宋体"/>
                <w:b/>
                <w:szCs w:val="21"/>
              </w:rPr>
            </w:pPr>
            <w:r>
              <w:rPr>
                <w:rFonts w:hint="eastAsia" w:ascii="宋体" w:hAnsi="宋体"/>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6.5.1</w:t>
            </w:r>
          </w:p>
        </w:tc>
        <w:tc>
          <w:tcPr>
            <w:tcW w:w="3820" w:type="dxa"/>
            <w:tcMar>
              <w:left w:w="45" w:type="dxa"/>
              <w:right w:w="45" w:type="dxa"/>
            </w:tcMar>
            <w:vAlign w:val="center"/>
          </w:tcPr>
          <w:p>
            <w:pPr>
              <w:spacing w:line="300" w:lineRule="exact"/>
              <w:rPr>
                <w:rFonts w:ascii="宋体" w:hAnsi="宋体"/>
                <w:szCs w:val="21"/>
              </w:rPr>
            </w:pPr>
            <w:r>
              <w:rPr>
                <w:rFonts w:hint="eastAsia" w:ascii="宋体" w:hAnsi="宋体"/>
                <w:szCs w:val="21"/>
              </w:rPr>
              <w:t>有防爆需求</w:t>
            </w:r>
            <w:r>
              <w:rPr>
                <w:rFonts w:ascii="宋体" w:hAnsi="宋体"/>
                <w:szCs w:val="21"/>
              </w:rPr>
              <w:t>的</w:t>
            </w:r>
            <w:r>
              <w:rPr>
                <w:rFonts w:hint="eastAsia" w:ascii="宋体" w:hAnsi="宋体"/>
                <w:szCs w:val="21"/>
              </w:rPr>
              <w:t>实验室需符合防爆设计要求</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安装有防爆开关、防爆灯等，安装必要</w:t>
            </w:r>
            <w:r>
              <w:rPr>
                <w:rFonts w:ascii="宋体" w:hAnsi="宋体"/>
                <w:szCs w:val="21"/>
              </w:rPr>
              <w:t>的</w:t>
            </w:r>
            <w:r>
              <w:rPr>
                <w:rFonts w:hint="eastAsia" w:ascii="宋体" w:hAnsi="宋体"/>
                <w:szCs w:val="21"/>
              </w:rPr>
              <w:t>气体报警系统、监控系统、应急系统等；对于产生可燃气体或蒸汽的装置，应在其进、出口处安装阻火器；室内应加强通风，防止爆炸物聚积</w:t>
            </w:r>
          </w:p>
        </w:tc>
        <w:tc>
          <w:tcPr>
            <w:tcW w:w="2829" w:type="dxa"/>
            <w:tcMar>
              <w:left w:w="45" w:type="dxa"/>
              <w:right w:w="45" w:type="dxa"/>
            </w:tcMar>
            <w:vAlign w:val="center"/>
          </w:tcPr>
          <w:p>
            <w:pPr>
              <w:widowControl/>
              <w:spacing w:line="3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6.5.2</w:t>
            </w:r>
          </w:p>
        </w:tc>
        <w:tc>
          <w:tcPr>
            <w:tcW w:w="3820" w:type="dxa"/>
            <w:tcMar>
              <w:left w:w="45" w:type="dxa"/>
              <w:right w:w="45" w:type="dxa"/>
            </w:tcMar>
            <w:vAlign w:val="center"/>
          </w:tcPr>
          <w:p>
            <w:pPr>
              <w:spacing w:line="300" w:lineRule="exact"/>
              <w:rPr>
                <w:rFonts w:ascii="宋体" w:hAnsi="宋体"/>
                <w:szCs w:val="21"/>
              </w:rPr>
            </w:pPr>
            <w:r>
              <w:rPr>
                <w:rFonts w:hint="eastAsia" w:ascii="宋体" w:hAnsi="宋体"/>
                <w:szCs w:val="21"/>
              </w:rPr>
              <w:t>应妥善防护具有爆炸危险性的仪器设备</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使用合适的安全罩防护</w:t>
            </w:r>
          </w:p>
        </w:tc>
        <w:tc>
          <w:tcPr>
            <w:tcW w:w="2829" w:type="dxa"/>
            <w:tcMar>
              <w:left w:w="45" w:type="dxa"/>
              <w:right w:w="45" w:type="dxa"/>
            </w:tcMar>
            <w:vAlign w:val="center"/>
          </w:tcPr>
          <w:p>
            <w:pPr>
              <w:widowControl/>
              <w:spacing w:line="3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基础</w:t>
            </w:r>
            <w:r>
              <w:rPr>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7.1.1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pPr>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rFonts w:hint="eastAsia" w:ascii="宋体" w:hAnsi="宋体"/>
                <w:kern w:val="0"/>
              </w:rPr>
              <w:t>，禁止使用有破损的接线板；</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w:t>
            </w:r>
            <w:r>
              <w:rPr>
                <w:rFonts w:hint="eastAsia"/>
                <w:kern w:val="0"/>
                <w:szCs w:val="21"/>
              </w:rPr>
              <w:t>电器</w:t>
            </w:r>
            <w:r>
              <w:rPr>
                <w:kern w:val="0"/>
                <w:szCs w:val="21"/>
              </w:rPr>
              <w:t>长期不用时，应切断电源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个人</w:t>
            </w:r>
            <w:r>
              <w:rPr>
                <w:b/>
                <w:kern w:val="0"/>
                <w:szCs w:val="21"/>
              </w:rPr>
              <w:t>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危险</w:t>
            </w: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pPr>
              <w:spacing w:line="300" w:lineRule="exact"/>
              <w:jc w:val="left"/>
              <w:rPr>
                <w:kern w:val="0"/>
                <w:szCs w:val="21"/>
              </w:rPr>
            </w:pPr>
            <w:r>
              <w:rPr>
                <w:rFonts w:hint="eastAsia"/>
                <w:kern w:val="0"/>
                <w:szCs w:val="21"/>
              </w:rPr>
              <w:t>危险化学品需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tcMar>
              <w:left w:w="45" w:type="dxa"/>
              <w:right w:w="45" w:type="dxa"/>
            </w:tcMar>
            <w:vAlign w:val="center"/>
          </w:tcPr>
          <w:p>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8.2.1</w:t>
            </w:r>
          </w:p>
        </w:tc>
        <w:tc>
          <w:tcPr>
            <w:tcW w:w="3820" w:type="dxa"/>
            <w:tcMar>
              <w:left w:w="45" w:type="dxa"/>
              <w:right w:w="45" w:type="dxa"/>
            </w:tcMar>
            <w:vAlign w:val="center"/>
          </w:tcPr>
          <w:p>
            <w:pPr>
              <w:widowControl/>
              <w:spacing w:line="300" w:lineRule="exact"/>
              <w:rPr>
                <w:b/>
                <w:kern w:val="0"/>
                <w:szCs w:val="21"/>
              </w:rPr>
            </w:pPr>
            <w:r>
              <w:rPr>
                <w:rFonts w:hint="eastAsia"/>
                <w:kern w:val="0"/>
                <w:szCs w:val="21"/>
              </w:rPr>
              <w:t>实验室</w:t>
            </w:r>
            <w:r>
              <w:rPr>
                <w:kern w:val="0"/>
                <w:szCs w:val="21"/>
              </w:rPr>
              <w:t>内</w:t>
            </w:r>
            <w:r>
              <w:rPr>
                <w:rFonts w:hint="eastAsia"/>
                <w:kern w:val="0"/>
                <w:szCs w:val="21"/>
              </w:rPr>
              <w:t>危险</w:t>
            </w:r>
            <w:r>
              <w:rPr>
                <w:kern w:val="0"/>
                <w:szCs w:val="21"/>
              </w:rPr>
              <w:t>化学品</w:t>
            </w:r>
            <w:r>
              <w:rPr>
                <w:rFonts w:hint="eastAsia"/>
                <w:kern w:val="0"/>
                <w:szCs w:val="21"/>
              </w:rPr>
              <w:t>建有</w:t>
            </w:r>
            <w:r>
              <w:rPr>
                <w:kern w:val="0"/>
                <w:szCs w:val="21"/>
              </w:rPr>
              <w:t>动态台</w:t>
            </w:r>
            <w:r>
              <w:rPr>
                <w:rFonts w:hint="eastAsia"/>
                <w:kern w:val="0"/>
                <w:szCs w:val="21"/>
              </w:rPr>
              <w:t>账</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化学品安全技术说明书（MSDS）或安全周知卡，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pPr>
              <w:widowControl/>
              <w:jc w:val="left"/>
              <w:rPr>
                <w:bCs/>
                <w:kern w:val="0"/>
                <w:szCs w:val="21"/>
              </w:rPr>
            </w:pPr>
            <w:r>
              <w:rPr>
                <w:rFonts w:hint="eastAsia" w:ascii="宋体" w:hAnsi="宋体"/>
              </w:rPr>
              <w:t>储藏室、储藏</w:t>
            </w:r>
            <w:r>
              <w:rPr>
                <w:rFonts w:ascii="宋体" w:hAnsi="宋体"/>
              </w:rPr>
              <w:t>区</w:t>
            </w:r>
            <w:r>
              <w:rPr>
                <w:rFonts w:hint="eastAsia" w:ascii="宋体" w:hAnsi="宋体"/>
              </w:rPr>
              <w:t>、储存</w:t>
            </w:r>
            <w:r>
              <w:rPr>
                <w:rFonts w:ascii="宋体" w:hAnsi="宋体"/>
              </w:rPr>
              <w:t>柜</w:t>
            </w:r>
            <w:r>
              <w:rPr>
                <w:rFonts w:hint="eastAsia" w:ascii="宋体" w:hAnsi="宋体"/>
              </w:rPr>
              <w:t>等</w:t>
            </w:r>
            <w:r>
              <w:rPr>
                <w:rFonts w:hint="eastAsia" w:ascii="宋体" w:hAnsi="宋体"/>
                <w:bCs/>
                <w:kern w:val="0"/>
              </w:rPr>
              <w:t>应</w:t>
            </w:r>
            <w:r>
              <w:rPr>
                <w:rFonts w:ascii="宋体" w:hAnsi="宋体"/>
                <w:kern w:val="0"/>
              </w:rPr>
              <w:t>通风、隔热、避光、安全</w:t>
            </w:r>
            <w:r>
              <w:rPr>
                <w:rFonts w:hint="eastAsia" w:ascii="宋体" w:hAnsi="宋体"/>
                <w:kern w:val="0"/>
              </w:rPr>
              <w:t>；有</w:t>
            </w:r>
            <w:r>
              <w:rPr>
                <w:rFonts w:ascii="宋体" w:hAnsi="宋体"/>
                <w:kern w:val="0"/>
              </w:rPr>
              <w:t>机溶剂</w:t>
            </w:r>
            <w:r>
              <w:rPr>
                <w:rFonts w:hint="eastAsia" w:ascii="宋体" w:hAnsi="宋体"/>
                <w:kern w:val="0"/>
              </w:rPr>
              <w:t>储存</w:t>
            </w:r>
            <w:r>
              <w:rPr>
                <w:rFonts w:ascii="宋体" w:hAnsi="宋体"/>
                <w:kern w:val="0"/>
              </w:rPr>
              <w:t>区</w:t>
            </w:r>
            <w:r>
              <w:rPr>
                <w:rFonts w:hint="eastAsia" w:ascii="宋体" w:hAnsi="宋体"/>
                <w:kern w:val="0"/>
              </w:rPr>
              <w:t>应</w:t>
            </w:r>
            <w:r>
              <w:rPr>
                <w:rFonts w:ascii="宋体" w:hAnsi="宋体"/>
                <w:kern w:val="0"/>
              </w:rPr>
              <w:t>远离热源</w:t>
            </w:r>
            <w:r>
              <w:rPr>
                <w:rFonts w:hint="eastAsia" w:ascii="宋体" w:hAnsi="宋体"/>
                <w:kern w:val="0"/>
              </w:rPr>
              <w:t>和火源；</w:t>
            </w:r>
            <w:r>
              <w:rPr>
                <w:rFonts w:ascii="宋体" w:hAnsi="宋体"/>
                <w:kern w:val="0"/>
              </w:rPr>
              <w:t>易泄漏、</w:t>
            </w:r>
            <w:r>
              <w:rPr>
                <w:rFonts w:hint="eastAsia" w:ascii="宋体" w:hAnsi="宋体"/>
                <w:kern w:val="0"/>
              </w:rPr>
              <w:t>易</w:t>
            </w:r>
            <w:r>
              <w:rPr>
                <w:rFonts w:ascii="宋体" w:hAnsi="宋体"/>
                <w:kern w:val="0"/>
              </w:rPr>
              <w:t>挥发的试剂</w:t>
            </w:r>
            <w:r>
              <w:rPr>
                <w:rFonts w:hint="eastAsia" w:ascii="宋体" w:hAnsi="宋体"/>
                <w:kern w:val="0"/>
              </w:rPr>
              <w:t>保证</w:t>
            </w:r>
            <w:r>
              <w:rPr>
                <w:rFonts w:ascii="宋体" w:hAnsi="宋体"/>
                <w:kern w:val="0"/>
              </w:rPr>
              <w:t>充足的通风</w:t>
            </w:r>
            <w:r>
              <w:rPr>
                <w:rFonts w:hint="eastAsia" w:ascii="宋体" w:hAnsi="宋体"/>
                <w:kern w:val="0"/>
              </w:rPr>
              <w:t>；试剂柜</w:t>
            </w:r>
            <w:r>
              <w:rPr>
                <w:rFonts w:ascii="宋体" w:hAnsi="宋体"/>
                <w:kern w:val="0"/>
              </w:rPr>
              <w:t>中不能有电源插座</w:t>
            </w:r>
            <w:r>
              <w:rPr>
                <w:rFonts w:hint="eastAsia" w:ascii="宋体" w:hAnsi="宋体"/>
                <w:kern w:val="0"/>
              </w:rPr>
              <w:t>或接线板；化学品有序分类存放、固体液体不混乱放置、配伍禁忌化学品不得混放、试剂不得叠放；装有试剂的试剂瓶不得开口放置；配备必要的二次泄漏防护、吸附或防溢流功能；实验台架无挡板不得存放化学试剂</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8.2.3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pPr>
              <w:rPr>
                <w:bCs/>
                <w:kern w:val="0"/>
                <w:szCs w:val="21"/>
              </w:rPr>
            </w:pPr>
            <w:r>
              <w:rPr>
                <w:rFonts w:hint="eastAsia"/>
                <w:kern w:val="0"/>
                <w:szCs w:val="21"/>
              </w:rPr>
              <w:t>原</w:t>
            </w:r>
            <w:r>
              <w:rPr>
                <w:kern w:val="0"/>
                <w:szCs w:val="21"/>
              </w:rPr>
              <w:t>则上</w:t>
            </w:r>
            <w:r>
              <w:rPr>
                <w:rFonts w:hint="eastAsia"/>
                <w:kern w:val="0"/>
                <w:szCs w:val="21"/>
              </w:rPr>
              <w:t>不应超过100公升或100千克，其中易燃易爆性化学品的存放总量不应超过50公升或50千克，且单一包装容器不应大于20公升或20千克</w:t>
            </w:r>
            <w:r>
              <w:rPr>
                <w:rFonts w:hint="eastAsia" w:ascii="宋体" w:hAnsi="宋体"/>
                <w:kern w:val="0"/>
              </w:rPr>
              <w:t>（可</w:t>
            </w:r>
            <w:r>
              <w:rPr>
                <w:rFonts w:hint="eastAsia" w:ascii="宋体" w:hAnsi="宋体"/>
                <w:bCs/>
                <w:kern w:val="0"/>
              </w:rPr>
              <w:t>按</w:t>
            </w:r>
            <w:r>
              <w:rPr>
                <w:kern w:val="0"/>
              </w:rPr>
              <w:t>50</w:t>
            </w:r>
            <w:r>
              <w:rPr>
                <w:rFonts w:hint="eastAsia" w:ascii="宋体" w:hAnsi="宋体"/>
                <w:kern w:val="0"/>
              </w:rPr>
              <w:t>平方</w:t>
            </w:r>
            <w:r>
              <w:rPr>
                <w:rFonts w:ascii="宋体" w:hAnsi="宋体"/>
                <w:kern w:val="0"/>
              </w:rPr>
              <w:t>米</w:t>
            </w:r>
            <w:r>
              <w:rPr>
                <w:rFonts w:ascii="宋体" w:hAnsi="宋体"/>
                <w:bCs/>
                <w:kern w:val="0"/>
              </w:rPr>
              <w:t>为</w:t>
            </w:r>
            <w:r>
              <w:rPr>
                <w:rFonts w:hint="eastAsia" w:ascii="宋体" w:hAnsi="宋体"/>
                <w:kern w:val="0"/>
              </w:rPr>
              <w:t>标准，存</w:t>
            </w:r>
            <w:r>
              <w:rPr>
                <w:rFonts w:ascii="宋体" w:hAnsi="宋体"/>
                <w:kern w:val="0"/>
              </w:rPr>
              <w:t>放量</w:t>
            </w:r>
            <w:r>
              <w:rPr>
                <w:rFonts w:hint="eastAsia" w:ascii="宋体" w:hAnsi="宋体"/>
                <w:kern w:val="0"/>
              </w:rPr>
              <w:t>以</w:t>
            </w:r>
            <w:r>
              <w:rPr>
                <w:rFonts w:hint="eastAsia" w:ascii="宋体" w:hAnsi="宋体"/>
                <w:bCs/>
                <w:kern w:val="0"/>
              </w:rPr>
              <w:t>实验</w:t>
            </w:r>
            <w:r>
              <w:rPr>
                <w:rFonts w:ascii="宋体" w:hAnsi="宋体"/>
                <w:bCs/>
                <w:kern w:val="0"/>
              </w:rPr>
              <w:t>室</w:t>
            </w:r>
            <w:r>
              <w:rPr>
                <w:rFonts w:hint="eastAsia" w:ascii="宋体" w:hAnsi="宋体"/>
                <w:kern w:val="0"/>
              </w:rPr>
              <w:t>面积比</w:t>
            </w:r>
            <w:r>
              <w:rPr>
                <w:rFonts w:ascii="宋体" w:hAnsi="宋体"/>
                <w:kern w:val="0"/>
              </w:rPr>
              <w:t>考</w:t>
            </w:r>
            <w:r>
              <w:rPr>
                <w:rFonts w:hint="eastAsia" w:ascii="宋体" w:hAnsi="宋体"/>
                <w:kern w:val="0"/>
              </w:rPr>
              <w:t>察）；</w:t>
            </w:r>
            <w:r>
              <w:rPr>
                <w:kern w:val="0"/>
                <w:szCs w:val="21"/>
              </w:rPr>
              <w:t>单个实验装置存在10</w:t>
            </w:r>
            <w:r>
              <w:rPr>
                <w:rFonts w:hint="eastAsia"/>
                <w:kern w:val="0"/>
                <w:szCs w:val="21"/>
              </w:rPr>
              <w:t>公升</w:t>
            </w:r>
            <w:r>
              <w:rPr>
                <w:kern w:val="0"/>
                <w:szCs w:val="21"/>
              </w:rPr>
              <w:t>以上甲类物质储罐，或20</w:t>
            </w:r>
            <w:r>
              <w:rPr>
                <w:rFonts w:hint="eastAsia"/>
                <w:kern w:val="0"/>
                <w:szCs w:val="21"/>
              </w:rPr>
              <w:t>公升</w:t>
            </w:r>
            <w:r>
              <w:rPr>
                <w:kern w:val="0"/>
                <w:szCs w:val="21"/>
              </w:rPr>
              <w:t>以上乙类物质储罐，或50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化学品标签应显著完整清晰</w:t>
            </w:r>
          </w:p>
        </w:tc>
        <w:tc>
          <w:tcPr>
            <w:tcW w:w="7374" w:type="dxa"/>
            <w:tcMar>
              <w:left w:w="45" w:type="dxa"/>
              <w:right w:w="45" w:type="dxa"/>
            </w:tcMar>
            <w:vAlign w:val="center"/>
          </w:tcPr>
          <w:p>
            <w:pPr>
              <w:widowControl/>
              <w:spacing w:line="300" w:lineRule="exact"/>
              <w:jc w:val="left"/>
              <w:rPr>
                <w:bCs/>
                <w:kern w:val="0"/>
                <w:szCs w:val="21"/>
              </w:rPr>
            </w:pPr>
            <w:r>
              <w:rPr>
                <w:rFonts w:hint="eastAsia" w:ascii="宋体" w:hAnsi="ºÚÌå" w:cs="宋体"/>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hint="eastAsia" w:ascii="宋体" w:hAnsi="ºÚÌå" w:cs="宋体"/>
                <w:kern w:val="0"/>
                <w:szCs w:val="21"/>
              </w:rPr>
              <w:t>后应及时补上，如不能确认，则以废弃化学品处置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标准操作规程（SOP）</w:t>
            </w:r>
            <w:r>
              <w:rPr>
                <w:rFonts w:hint="eastAsia"/>
                <w:kern w:val="0"/>
                <w:szCs w:val="21"/>
              </w:rPr>
              <w:t>、应急预案</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柜中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pPr>
              <w:spacing w:line="300" w:lineRule="exact"/>
              <w:jc w:val="left"/>
              <w:rPr>
                <w:b/>
                <w:szCs w:val="21"/>
              </w:rPr>
            </w:pPr>
            <w:r>
              <w:rPr>
                <w:rFonts w:hint="eastAsia"/>
                <w:b/>
                <w:kern w:val="0"/>
                <w:szCs w:val="21"/>
              </w:rPr>
              <w:t>管制类化学品</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.4.1</w:t>
            </w:r>
          </w:p>
        </w:tc>
        <w:tc>
          <w:tcPr>
            <w:tcW w:w="3820" w:type="dxa"/>
            <w:tcMar>
              <w:left w:w="45" w:type="dxa"/>
              <w:right w:w="45" w:type="dxa"/>
            </w:tcMar>
            <w:vAlign w:val="center"/>
          </w:tcPr>
          <w:p>
            <w:pPr>
              <w:spacing w:line="300" w:lineRule="exact"/>
              <w:jc w:val="left"/>
              <w:rPr>
                <w:szCs w:val="21"/>
              </w:rPr>
            </w:pPr>
            <w:r>
              <w:rPr>
                <w:rFonts w:hint="eastAsia"/>
                <w:kern w:val="0"/>
                <w:szCs w:val="21"/>
              </w:rPr>
              <w:t>剧毒化学品执行“五双”管理</w:t>
            </w:r>
            <w:r>
              <w:rPr>
                <w:rFonts w:hint="eastAsia"/>
                <w:bCs/>
                <w:kern w:val="0"/>
                <w:szCs w:val="21"/>
              </w:rPr>
              <w:t>（即</w:t>
            </w:r>
            <w:r>
              <w:rPr>
                <w:bCs/>
                <w:kern w:val="0"/>
                <w:szCs w:val="21"/>
              </w:rPr>
              <w:t>双人验收、双人保管、双人发货、双把锁、双本账</w:t>
            </w:r>
            <w:r>
              <w:rPr>
                <w:rFonts w:hint="eastAsia"/>
                <w:bCs/>
                <w:kern w:val="0"/>
                <w:szCs w:val="21"/>
              </w:rPr>
              <w:t>）</w:t>
            </w:r>
            <w:r>
              <w:rPr>
                <w:kern w:val="0"/>
                <w:szCs w:val="21"/>
              </w:rPr>
              <w:t>，</w:t>
            </w:r>
            <w:r>
              <w:rPr>
                <w:rFonts w:hint="eastAsia"/>
                <w:kern w:val="0"/>
                <w:szCs w:val="21"/>
              </w:rPr>
              <w:t>技防措施</w:t>
            </w:r>
            <w:r>
              <w:rPr>
                <w:kern w:val="0"/>
                <w:szCs w:val="21"/>
              </w:rPr>
              <w:t>符合管制要求</w:t>
            </w:r>
          </w:p>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单独存放、不得与易燃、易爆、腐蚀性物品等―起存放；有专人管理并做好贮存、领取、发放情况登记，登记资料至少保存</w:t>
            </w:r>
            <w:r>
              <w:rPr>
                <w:kern w:val="0"/>
                <w:szCs w:val="21"/>
              </w:rPr>
              <w:t>1</w:t>
            </w:r>
            <w:r>
              <w:rPr>
                <w:rFonts w:hint="eastAsia"/>
                <w:kern w:val="0"/>
                <w:szCs w:val="21"/>
              </w:rPr>
              <w:t>年；防盗安全门应符合</w:t>
            </w:r>
            <w:r>
              <w:rPr>
                <w:kern w:val="0"/>
                <w:szCs w:val="21"/>
              </w:rPr>
              <w:t>GB17565</w:t>
            </w:r>
            <w:r>
              <w:rPr>
                <w:rFonts w:hint="eastAsia"/>
                <w:kern w:val="0"/>
                <w:szCs w:val="21"/>
              </w:rPr>
              <w:t>的要求，防盗安全级别为乙级</w:t>
            </w:r>
            <w:r>
              <w:rPr>
                <w:kern w:val="0"/>
                <w:szCs w:val="21"/>
              </w:rPr>
              <w:t>(</w:t>
            </w:r>
            <w:r>
              <w:rPr>
                <w:rFonts w:hint="eastAsia"/>
                <w:kern w:val="0"/>
                <w:szCs w:val="21"/>
              </w:rPr>
              <w:t>含</w:t>
            </w:r>
            <w:r>
              <w:rPr>
                <w:kern w:val="0"/>
                <w:szCs w:val="21"/>
              </w:rPr>
              <w:t>)</w:t>
            </w:r>
            <w:r>
              <w:rPr>
                <w:rFonts w:hint="eastAsia"/>
                <w:kern w:val="0"/>
                <w:szCs w:val="21"/>
              </w:rPr>
              <w:t>以上；防盗锁应符合</w:t>
            </w:r>
            <w:r>
              <w:rPr>
                <w:kern w:val="0"/>
                <w:szCs w:val="21"/>
              </w:rPr>
              <w:t>GA/T73</w:t>
            </w:r>
            <w:r>
              <w:rPr>
                <w:rFonts w:hint="eastAsia"/>
                <w:kern w:val="0"/>
                <w:szCs w:val="21"/>
              </w:rPr>
              <w:t>的要求；防盗保险柜应符合《防盗保险柜》</w:t>
            </w:r>
            <w:r>
              <w:rPr>
                <w:kern w:val="0"/>
                <w:szCs w:val="21"/>
              </w:rPr>
              <w:t>GB10409-2001</w:t>
            </w:r>
            <w:r>
              <w:rPr>
                <w:rFonts w:hint="eastAsia"/>
                <w:kern w:val="0"/>
                <w:szCs w:val="21"/>
              </w:rPr>
              <w:t>的要求；监控管控执行公安要求</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.4.2</w:t>
            </w:r>
          </w:p>
        </w:tc>
        <w:tc>
          <w:tcPr>
            <w:tcW w:w="3820" w:type="dxa"/>
            <w:tcMar>
              <w:left w:w="45" w:type="dxa"/>
              <w:right w:w="45" w:type="dxa"/>
            </w:tcMar>
            <w:vAlign w:val="center"/>
          </w:tcPr>
          <w:p>
            <w:pPr>
              <w:spacing w:line="300" w:lineRule="exact"/>
              <w:jc w:val="left"/>
              <w:rPr>
                <w:szCs w:val="21"/>
              </w:rPr>
            </w:pPr>
            <w:r>
              <w:rPr>
                <w:rFonts w:hint="eastAsia"/>
                <w:kern w:val="0"/>
                <w:szCs w:val="21"/>
              </w:rPr>
              <w:t>麻醉药品和第一类精神药品管理</w:t>
            </w:r>
            <w:r>
              <w:rPr>
                <w:kern w:val="0"/>
                <w:szCs w:val="21"/>
              </w:rPr>
              <w:t>符合</w:t>
            </w:r>
            <w:r>
              <w:rPr>
                <w:rFonts w:hint="eastAsia"/>
                <w:kern w:val="0"/>
                <w:szCs w:val="21"/>
              </w:rPr>
              <w:t>“双人双锁”，有</w:t>
            </w:r>
            <w:r>
              <w:rPr>
                <w:kern w:val="0"/>
                <w:szCs w:val="21"/>
              </w:rPr>
              <w:t>专用账册</w:t>
            </w:r>
          </w:p>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设立专库或者专柜储存；专库应当设有防盗设施并安装报警装置；专柜应当使用保险柜；专库和专柜应当实行双人双锁管理；配备专人管理并建立专用账册，专用账册的保存期限应当自药品有效期期满之日起不少于</w:t>
            </w:r>
            <w:r>
              <w:rPr>
                <w:kern w:val="0"/>
                <w:szCs w:val="21"/>
              </w:rPr>
              <w:t>5</w:t>
            </w:r>
            <w:r>
              <w:rPr>
                <w:rFonts w:hint="eastAsia"/>
                <w:kern w:val="0"/>
                <w:szCs w:val="21"/>
              </w:rPr>
              <w:t>年</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.4.3</w:t>
            </w:r>
          </w:p>
        </w:tc>
        <w:tc>
          <w:tcPr>
            <w:tcW w:w="3820" w:type="dxa"/>
            <w:tcMar>
              <w:left w:w="45" w:type="dxa"/>
              <w:right w:w="45" w:type="dxa"/>
            </w:tcMar>
            <w:vAlign w:val="center"/>
          </w:tcPr>
          <w:p>
            <w:pPr>
              <w:spacing w:line="300" w:lineRule="exact"/>
              <w:jc w:val="left"/>
              <w:rPr>
                <w:szCs w:val="21"/>
              </w:rPr>
            </w:pPr>
            <w:r>
              <w:rPr>
                <w:rFonts w:hint="eastAsia"/>
                <w:kern w:val="0"/>
                <w:szCs w:val="21"/>
              </w:rPr>
              <w:t>易制爆化学品存量合规</w:t>
            </w:r>
            <w:r>
              <w:rPr>
                <w:kern w:val="0"/>
                <w:szCs w:val="21"/>
              </w:rPr>
              <w:t>、</w:t>
            </w:r>
            <w:r>
              <w:rPr>
                <w:rFonts w:hint="eastAsia"/>
                <w:kern w:val="0"/>
                <w:szCs w:val="21"/>
              </w:rPr>
              <w:t>双人双锁</w:t>
            </w:r>
          </w:p>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存放场所出入口应设置防盗安全门，或存放在专用储存柜内；储存场所防盗安全级别应为乙级（含）以上；专用储存柜应具有防盗功能，符合双人双锁管理要求，并安装机械防盗锁</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.4.4</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易制毒化学品储存规范</w:t>
            </w:r>
            <w:r>
              <w:rPr>
                <w:kern w:val="0"/>
                <w:szCs w:val="21"/>
              </w:rPr>
              <w:t>，</w:t>
            </w:r>
            <w:r>
              <w:rPr>
                <w:rFonts w:hint="eastAsia"/>
                <w:kern w:val="0"/>
                <w:szCs w:val="21"/>
              </w:rPr>
              <w:t>台账清晰</w:t>
            </w:r>
          </w:p>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设置专库或者专柜储存；专库应当设有防盗设施，专柜应当使用保险柜；第一类易制毒化学品、药品类易制毒化学品实现双人双锁管理，账册保存期限不少于2年</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.4.5</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爆炸品单独隔离、限量存储，使用、销毁按照公安部门要求执行</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查看现场、台账</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w:t>
            </w:r>
            <w:r>
              <w:rPr>
                <w:rFonts w:hint="eastAsia"/>
                <w:kern w:val="0"/>
                <w:szCs w:val="21"/>
              </w:rPr>
              <w:t>账</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pPr>
              <w:rPr>
                <w:kern w:val="0"/>
                <w:szCs w:val="21"/>
              </w:rPr>
            </w:pPr>
            <w:r>
              <w:rPr>
                <w:kern w:val="0"/>
                <w:szCs w:val="21"/>
              </w:rPr>
              <w:t>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气瓶应合理固定；；</w:t>
            </w:r>
          </w:p>
          <w:p>
            <w:pPr>
              <w:rPr>
                <w:rFonts w:ascii="宋体" w:cs="宋体"/>
                <w:kern w:val="0"/>
                <w:szCs w:val="21"/>
              </w:rPr>
            </w:pPr>
            <w:r>
              <w:rPr>
                <w:rFonts w:hint="eastAsia" w:ascii="宋体" w:cs="宋体"/>
                <w:kern w:val="0"/>
                <w:szCs w:val="21"/>
              </w:rPr>
              <w:t>危险气体钢瓶尽量置于室外，室内放置应使用常时排风且带报警探头的气瓶柜；</w:t>
            </w:r>
          </w:p>
          <w:p>
            <w:pPr>
              <w:widowControl/>
              <w:jc w:val="left"/>
              <w:rPr>
                <w:bCs/>
                <w:kern w:val="0"/>
                <w:szCs w:val="21"/>
              </w:rPr>
            </w:pPr>
            <w:r>
              <w:rPr>
                <w:rFonts w:hint="eastAsia" w:ascii="宋体" w:cs="宋体"/>
                <w:kern w:val="0"/>
                <w:szCs w:val="21"/>
              </w:rPr>
              <w:t>气瓶的存放应控制在最小需求量；</w:t>
            </w:r>
            <w:r>
              <w:rPr>
                <w:rFonts w:ascii="宋体" w:hAnsi="宋体"/>
                <w:kern w:val="0"/>
              </w:rPr>
              <w:t>涉及</w:t>
            </w:r>
            <w:r>
              <w:rPr>
                <w:rFonts w:hint="eastAsia" w:ascii="宋体" w:hAnsi="宋体"/>
                <w:kern w:val="0"/>
              </w:rPr>
              <w:t>有</w:t>
            </w:r>
            <w:r>
              <w:rPr>
                <w:rFonts w:ascii="宋体" w:hAnsi="宋体"/>
                <w:kern w:val="0"/>
              </w:rPr>
              <w:t>毒、</w:t>
            </w:r>
            <w:r>
              <w:rPr>
                <w:rFonts w:hint="eastAsia" w:ascii="宋体" w:hAnsi="宋体"/>
                <w:kern w:val="0"/>
              </w:rPr>
              <w:t>可</w:t>
            </w:r>
            <w:r>
              <w:rPr>
                <w:rFonts w:ascii="宋体" w:hAnsi="宋体"/>
                <w:kern w:val="0"/>
              </w:rPr>
              <w:t>燃气体的场所，配有通风设施和</w:t>
            </w:r>
            <w:r>
              <w:rPr>
                <w:rFonts w:hint="eastAsia" w:ascii="宋体" w:hAnsi="宋体"/>
                <w:kern w:val="0"/>
              </w:rPr>
              <w:t>相应</w:t>
            </w:r>
            <w:r>
              <w:rPr>
                <w:rFonts w:ascii="宋体" w:hAnsi="宋体"/>
                <w:kern w:val="0"/>
              </w:rPr>
              <w:t>的</w:t>
            </w:r>
            <w:r>
              <w:rPr>
                <w:rFonts w:hint="eastAsia" w:ascii="宋体" w:hAnsi="宋体"/>
                <w:kern w:val="0"/>
              </w:rPr>
              <w:t>气体</w:t>
            </w:r>
            <w:r>
              <w:rPr>
                <w:rFonts w:ascii="宋体" w:hAnsi="宋体"/>
                <w:kern w:val="0"/>
              </w:rPr>
              <w:t>监控</w:t>
            </w:r>
            <w:r>
              <w:rPr>
                <w:rFonts w:hint="eastAsia" w:ascii="宋体" w:hAnsi="宋体"/>
                <w:kern w:val="0"/>
              </w:rPr>
              <w:t>和</w:t>
            </w:r>
            <w:r>
              <w:rPr>
                <w:rFonts w:ascii="宋体" w:hAnsi="宋体"/>
                <w:kern w:val="0"/>
              </w:rPr>
              <w:t>报警装置等</w:t>
            </w:r>
            <w:r>
              <w:rPr>
                <w:rFonts w:hint="eastAsia" w:ascii="宋体" w:hAnsi="宋体"/>
                <w:kern w:val="0"/>
              </w:rPr>
              <w:t>，</w:t>
            </w:r>
            <w:r>
              <w:rPr>
                <w:rFonts w:ascii="宋体" w:hAnsi="宋体"/>
                <w:kern w:val="0"/>
              </w:rPr>
              <w:t>张贴必要的安全警示标识</w:t>
            </w:r>
            <w:r>
              <w:rPr>
                <w:rFonts w:hint="eastAsia" w:ascii="宋体" w:hAnsi="宋体"/>
                <w:kern w:val="0"/>
              </w:rPr>
              <w:t>；</w:t>
            </w:r>
            <w:r>
              <w:rPr>
                <w:kern w:val="0"/>
                <w:szCs w:val="21"/>
              </w:rPr>
              <w:t>可燃性气体与氧气等助燃气体不混放</w:t>
            </w:r>
            <w:r>
              <w:rPr>
                <w:rFonts w:hint="eastAsia"/>
                <w:kern w:val="0"/>
                <w:szCs w:val="21"/>
              </w:rPr>
              <w:t>；</w:t>
            </w:r>
            <w:r>
              <w:rPr>
                <w:rFonts w:hint="eastAsia" w:ascii="宋体" w:hAnsi="宋体"/>
                <w:kern w:val="0"/>
              </w:rPr>
              <w:t>独立的气体钢瓶室，应通风、不混放、有监控，管路有标识、去向明确；</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pPr>
              <w:rPr>
                <w:kern w:val="0"/>
                <w:szCs w:val="21"/>
              </w:rPr>
            </w:pPr>
            <w:r>
              <w:rPr>
                <w:rFonts w:hint="eastAsia" w:ascii="宋体" w:hAnsi="宋体"/>
                <w:kern w:val="0"/>
              </w:rPr>
              <w:t>较小密封空间使用可引起窒息的气体，需安装有氧含量监测，</w:t>
            </w:r>
            <w:r>
              <w:rPr>
                <w:rFonts w:hint="eastAsia"/>
                <w:kern w:val="0"/>
                <w:szCs w:val="21"/>
              </w:rPr>
              <w:t>设置必要的气体报警装置</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w:t>
            </w:r>
            <w:r>
              <w:rPr>
                <w:rFonts w:hint="eastAsia"/>
                <w:szCs w:val="21"/>
              </w:rPr>
              <w:t>安</w:t>
            </w:r>
            <w:r>
              <w:rPr>
                <w:szCs w:val="21"/>
              </w:rPr>
              <w:t>装氧含量</w:t>
            </w:r>
            <w:r>
              <w:rPr>
                <w:rFonts w:hint="eastAsia"/>
                <w:szCs w:val="21"/>
              </w:rPr>
              <w:t>监测报警装置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pPr>
              <w:widowControl/>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rFonts w:hint="eastAsia" w:ascii="宋体" w:hAnsi="宋体"/>
                <w:kern w:val="0"/>
              </w:rPr>
              <w:t>无过期钢瓶、</w:t>
            </w:r>
            <w:r>
              <w:rPr>
                <w:rFonts w:ascii="宋体" w:hAnsi="宋体"/>
                <w:kern w:val="0"/>
              </w:rPr>
              <w:t>未使用的钢瓶有</w:t>
            </w:r>
            <w:r>
              <w:rPr>
                <w:rFonts w:hint="eastAsia" w:ascii="宋体" w:hAnsi="宋体"/>
                <w:kern w:val="0"/>
              </w:rPr>
              <w:t>钢瓶帽；钢瓶气体合格证内容完整、正确，气瓶颜色符合</w:t>
            </w:r>
            <w:r>
              <w:rPr>
                <w:rFonts w:hint="eastAsia"/>
                <w:kern w:val="0"/>
              </w:rPr>
              <w:t xml:space="preserve">GB/T 7144 </w:t>
            </w:r>
            <w:r>
              <w:rPr>
                <w:rFonts w:hint="eastAsia" w:ascii="宋体" w:hAnsi="宋体"/>
                <w:kern w:val="0"/>
              </w:rPr>
              <w:t>的规定要求；</w:t>
            </w:r>
            <w:r>
              <w:rPr>
                <w:rFonts w:hint="eastAsia"/>
                <w:kern w:val="0"/>
                <w:szCs w:val="21"/>
              </w:rPr>
              <w:t>确认“满、使用中、空瓶”三种状态；使用完毕，及时关闭气瓶总阀</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化学废弃物处置</w:t>
            </w:r>
            <w:r>
              <w:rPr>
                <w:rFonts w:hint="eastAsia"/>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8.6.</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w:t>
            </w:r>
            <w:r>
              <w:rPr>
                <w:kern w:val="0"/>
                <w:szCs w:val="21"/>
              </w:rPr>
              <w:t>应</w:t>
            </w:r>
            <w:r>
              <w:rPr>
                <w:rFonts w:hint="eastAsia"/>
                <w:kern w:val="0"/>
                <w:szCs w:val="21"/>
              </w:rPr>
              <w:t>设立</w:t>
            </w:r>
            <w:r>
              <w:rPr>
                <w:kern w:val="0"/>
                <w:szCs w:val="21"/>
              </w:rPr>
              <w:t>化学废弃物暂存区</w:t>
            </w:r>
          </w:p>
        </w:tc>
        <w:tc>
          <w:tcPr>
            <w:tcW w:w="7374" w:type="dxa"/>
            <w:tcMar>
              <w:left w:w="45" w:type="dxa"/>
              <w:right w:w="45" w:type="dxa"/>
            </w:tcMar>
            <w:vAlign w:val="center"/>
          </w:tcPr>
          <w:p>
            <w:pPr>
              <w:widowControl/>
              <w:jc w:val="left"/>
              <w:rPr>
                <w:rFonts w:ascii="宋体" w:cs="宋体"/>
                <w:kern w:val="0"/>
                <w:szCs w:val="21"/>
              </w:rPr>
            </w:pPr>
            <w:r>
              <w:rPr>
                <w:rFonts w:hint="eastAsia" w:ascii="宋体" w:cs="宋体"/>
                <w:kern w:val="0"/>
                <w:szCs w:val="21"/>
              </w:rPr>
              <w:t xml:space="preserve">暂存区要远离火源、热源和不相容物质，避免日晒、雨淋，存放两种及以上不相容的实验室危险废物时，应分不同区域暂存；暂存区应有警示标识并有防遗洒、防渗漏设施或措施 </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8.6.</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w:t>
            </w:r>
            <w:r>
              <w:rPr>
                <w:kern w:val="0"/>
                <w:szCs w:val="21"/>
              </w:rPr>
              <w:t>内</w:t>
            </w:r>
            <w:r>
              <w:rPr>
                <w:rFonts w:hint="eastAsia"/>
                <w:kern w:val="0"/>
                <w:szCs w:val="21"/>
              </w:rPr>
              <w:t>须规范收集</w:t>
            </w:r>
            <w:r>
              <w:rPr>
                <w:kern w:val="0"/>
                <w:szCs w:val="21"/>
              </w:rPr>
              <w:t>化学废弃物</w:t>
            </w:r>
          </w:p>
        </w:tc>
        <w:tc>
          <w:tcPr>
            <w:tcW w:w="7374" w:type="dxa"/>
            <w:tcMar>
              <w:left w:w="45" w:type="dxa"/>
              <w:right w:w="45" w:type="dxa"/>
            </w:tcMar>
            <w:vAlign w:val="center"/>
          </w:tcPr>
          <w:p>
            <w:pPr>
              <w:widowControl/>
              <w:jc w:val="left"/>
              <w:rPr>
                <w:rFonts w:ascii="宋体" w:cs="宋体"/>
                <w:kern w:val="0"/>
                <w:szCs w:val="21"/>
              </w:rPr>
            </w:pPr>
            <w:r>
              <w:rPr>
                <w:rFonts w:hint="eastAsia" w:ascii="宋体" w:cs="宋体"/>
                <w:kern w:val="0"/>
                <w:szCs w:val="21"/>
              </w:rPr>
              <w:t>危险废物应按化学特性和危险特性，进行分类收集和暂存；废弃的化学试剂应存放在原试剂瓶中，保留原标签，并瓶口朝上放入专用固废箱中；针头等利器需放入利器盒中收集；废液应分类装入专用废液桶中，废液桶须满足耐腐蚀、抗溶剂、耐挤压、抗冲击的要求；所有实验室危险废物收集容器上须粘贴专用的标签。严禁将实验室危险废物直接排入下水道，严禁与生活垃圾、感染性废物或放射性废物等混装</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8.6.</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kern w:val="0"/>
                <w:szCs w:val="21"/>
              </w:rPr>
              <w:t>化学废弃物</w:t>
            </w:r>
            <w:r>
              <w:rPr>
                <w:rFonts w:hint="eastAsia"/>
                <w:kern w:val="0"/>
                <w:szCs w:val="21"/>
              </w:rPr>
              <w:t>的</w:t>
            </w:r>
            <w:r>
              <w:rPr>
                <w:kern w:val="0"/>
                <w:szCs w:val="21"/>
              </w:rPr>
              <w:t>转运须</w:t>
            </w:r>
            <w:r>
              <w:rPr>
                <w:rFonts w:hint="eastAsia"/>
                <w:kern w:val="0"/>
                <w:szCs w:val="21"/>
              </w:rPr>
              <w:t>合规</w:t>
            </w:r>
          </w:p>
        </w:tc>
        <w:tc>
          <w:tcPr>
            <w:tcW w:w="7374" w:type="dxa"/>
            <w:tcMar>
              <w:left w:w="45" w:type="dxa"/>
              <w:right w:w="45" w:type="dxa"/>
            </w:tcMar>
            <w:vAlign w:val="center"/>
          </w:tcPr>
          <w:p>
            <w:pPr>
              <w:widowControl/>
              <w:jc w:val="left"/>
              <w:rPr>
                <w:rFonts w:ascii="宋体" w:cs="宋体"/>
                <w:kern w:val="0"/>
                <w:szCs w:val="21"/>
              </w:rPr>
            </w:pPr>
            <w:r>
              <w:rPr>
                <w:rFonts w:hint="eastAsia" w:ascii="宋体" w:cs="宋体"/>
                <w:kern w:val="0"/>
                <w:szCs w:val="21"/>
              </w:rPr>
              <w:t>委托有危险废物处置资质的专业厂家集中处置化学废弃物；校外转运之前，贮存站必须妥善管理实验室危险废物，采取有效措施，防止废物的扩散、流失、渗漏或者产生交叉污染</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8.6.</w:t>
            </w:r>
            <w:r>
              <w:rPr>
                <w:kern w:val="0"/>
                <w:szCs w:val="21"/>
              </w:rPr>
              <w:t>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应</w:t>
            </w:r>
            <w:r>
              <w:rPr>
                <w:rFonts w:hint="eastAsia"/>
                <w:kern w:val="0"/>
                <w:szCs w:val="21"/>
              </w:rPr>
              <w:t>建设</w:t>
            </w:r>
            <w:r>
              <w:rPr>
                <w:kern w:val="0"/>
                <w:szCs w:val="21"/>
              </w:rPr>
              <w:t>化学废弃物</w:t>
            </w:r>
            <w:r>
              <w:rPr>
                <w:rFonts w:hint="eastAsia"/>
                <w:kern w:val="0"/>
                <w:szCs w:val="21"/>
              </w:rPr>
              <w:t>贮存</w:t>
            </w:r>
            <w:r>
              <w:rPr>
                <w:kern w:val="0"/>
                <w:szCs w:val="21"/>
              </w:rPr>
              <w:t>站</w:t>
            </w:r>
            <w:r>
              <w:rPr>
                <w:rFonts w:hint="eastAsia"/>
                <w:kern w:val="0"/>
                <w:szCs w:val="21"/>
              </w:rPr>
              <w:t>并规范管理</w:t>
            </w:r>
          </w:p>
        </w:tc>
        <w:tc>
          <w:tcPr>
            <w:tcW w:w="7374" w:type="dxa"/>
            <w:tcMar>
              <w:left w:w="45" w:type="dxa"/>
              <w:right w:w="45" w:type="dxa"/>
            </w:tcMar>
            <w:vAlign w:val="center"/>
          </w:tcPr>
          <w:p>
            <w:pPr>
              <w:widowControl/>
              <w:jc w:val="left"/>
              <w:rPr>
                <w:rFonts w:ascii="宋体" w:cs="宋体"/>
                <w:kern w:val="0"/>
                <w:szCs w:val="21"/>
              </w:rPr>
            </w:pPr>
            <w:r>
              <w:rPr>
                <w:rFonts w:hint="eastAsia" w:ascii="宋体" w:cs="宋体"/>
                <w:kern w:val="0"/>
                <w:szCs w:val="21"/>
              </w:rPr>
              <w:t>贮存站应有具体的管理办法和安全应急预案，并将贮存站安全运行、实验室危险废物出站转运等日常管理工作落实到相关人员的岗位职责中；转运人员应使用专用运输工具，运输前根据运输废物的危险特性，应携带必要的应急物资和个人防护用具，如收集工具、手套、口罩等；贮存站管理员须作好实验室危险废物情况的记录；实验室危险废物的校外转运必须按照国家有关规定填写危险废物电子或者纸质转移联单，任何单位和个人未经许可不得非法转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p>
        </w:tc>
        <w:tc>
          <w:tcPr>
            <w:tcW w:w="3820" w:type="dxa"/>
            <w:tcMar>
              <w:left w:w="45" w:type="dxa"/>
              <w:right w:w="45" w:type="dxa"/>
            </w:tcMar>
            <w:vAlign w:val="center"/>
          </w:tcPr>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kern w:val="0"/>
                <w:szCs w:val="21"/>
              </w:rPr>
            </w:pP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危化品仓库与</w:t>
            </w:r>
            <w:r>
              <w:rPr>
                <w:b/>
                <w:kern w:val="0"/>
                <w:szCs w:val="21"/>
              </w:rPr>
              <w:t>废弃物</w:t>
            </w:r>
            <w:r>
              <w:rPr>
                <w:rFonts w:hint="eastAsia"/>
                <w:b/>
                <w:kern w:val="0"/>
                <w:szCs w:val="21"/>
              </w:rPr>
              <w:t>贮存站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化学实验废弃物贮存站</w:t>
            </w:r>
            <w:r>
              <w:rPr>
                <w:rFonts w:hint="eastAsia"/>
                <w:kern w:val="0"/>
                <w:szCs w:val="21"/>
              </w:rPr>
              <w:t>，对废弃物集中定点存放</w:t>
            </w:r>
          </w:p>
        </w:tc>
        <w:tc>
          <w:tcPr>
            <w:tcW w:w="7374" w:type="dxa"/>
            <w:tcMar>
              <w:left w:w="45" w:type="dxa"/>
              <w:right w:w="45" w:type="dxa"/>
            </w:tcMar>
            <w:vAlign w:val="center"/>
          </w:tcPr>
          <w:p>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化学实验废弃物贮存站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标识等技防</w:t>
            </w:r>
            <w:r>
              <w:rPr>
                <w:kern w:val="0"/>
                <w:szCs w:val="21"/>
              </w:rPr>
              <w:t>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若仓库或</w:t>
            </w:r>
            <w:r>
              <w:rPr>
                <w:kern w:val="0"/>
                <w:szCs w:val="21"/>
              </w:rPr>
              <w:t>贮存站在实验楼内</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等技防</w:t>
            </w:r>
            <w:r>
              <w:rPr>
                <w:kern w:val="0"/>
                <w:szCs w:val="21"/>
              </w:rPr>
              <w:t>措施</w:t>
            </w:r>
            <w:r>
              <w:rPr>
                <w:rFonts w:hint="eastAsia"/>
                <w:kern w:val="0"/>
                <w:szCs w:val="21"/>
              </w:rPr>
              <w:t>，</w:t>
            </w:r>
            <w:r>
              <w:rPr>
                <w:kern w:val="0"/>
                <w:szCs w:val="21"/>
              </w:rPr>
              <w:t>面积</w:t>
            </w:r>
            <w:r>
              <w:rPr>
                <w:rFonts w:hint="eastAsia"/>
                <w:kern w:val="0"/>
                <w:szCs w:val="21"/>
              </w:rPr>
              <w:t>不超过30平方米；</w:t>
            </w:r>
            <w:r>
              <w:rPr>
                <w:kern w:val="0"/>
                <w:szCs w:val="21"/>
              </w:rPr>
              <w:t>不混放、整箱试剂的叠加高度不大于1.5米；贮存站</w:t>
            </w:r>
            <w:r>
              <w:rPr>
                <w:rFonts w:hint="eastAsia"/>
                <w:kern w:val="0"/>
                <w:szCs w:val="21"/>
              </w:rPr>
              <w:t>不能在</w:t>
            </w:r>
            <w:r>
              <w:rPr>
                <w:kern w:val="0"/>
                <w:szCs w:val="21"/>
              </w:rPr>
              <w:t>地下室空间</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其它化学安全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8</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配制试剂</w:t>
            </w:r>
            <w:r>
              <w:rPr>
                <w:kern w:val="0"/>
                <w:szCs w:val="21"/>
              </w:rPr>
              <w:t>需要张贴标签</w:t>
            </w:r>
          </w:p>
        </w:tc>
        <w:tc>
          <w:tcPr>
            <w:tcW w:w="7374" w:type="dxa"/>
            <w:tcMar>
              <w:left w:w="45" w:type="dxa"/>
              <w:right w:w="45" w:type="dxa"/>
            </w:tcMar>
            <w:vAlign w:val="center"/>
          </w:tcPr>
          <w:p>
            <w:pPr>
              <w:widowControl/>
              <w:jc w:val="left"/>
              <w:rPr>
                <w:bCs/>
                <w:kern w:val="0"/>
                <w:szCs w:val="21"/>
              </w:rPr>
            </w:pPr>
            <w:r>
              <w:rPr>
                <w:rFonts w:hint="eastAsia" w:ascii="宋体" w:hAnsi="宋体"/>
                <w:kern w:val="0"/>
              </w:rPr>
              <w:t>装有</w:t>
            </w:r>
            <w:r>
              <w:rPr>
                <w:rFonts w:ascii="宋体" w:hAnsi="宋体"/>
                <w:kern w:val="0"/>
              </w:rPr>
              <w:t>配</w:t>
            </w:r>
            <w:r>
              <w:rPr>
                <w:rFonts w:hint="eastAsia" w:ascii="宋体" w:hAnsi="宋体"/>
                <w:kern w:val="0"/>
              </w:rPr>
              <w:t>制</w:t>
            </w:r>
            <w:r>
              <w:rPr>
                <w:rFonts w:ascii="宋体" w:hAnsi="宋体"/>
                <w:kern w:val="0"/>
              </w:rPr>
              <w:t>试剂、合成品、样品等</w:t>
            </w:r>
            <w:r>
              <w:rPr>
                <w:rFonts w:hint="eastAsia" w:ascii="宋体" w:hAnsi="宋体"/>
                <w:kern w:val="0"/>
              </w:rPr>
              <w:t>的容器</w:t>
            </w:r>
            <w:r>
              <w:rPr>
                <w:rFonts w:ascii="宋体" w:hAnsi="宋体"/>
                <w:kern w:val="0"/>
              </w:rPr>
              <w:t>上标签信息明确</w:t>
            </w:r>
            <w:r>
              <w:rPr>
                <w:rFonts w:hint="eastAsia" w:ascii="宋体" w:hAnsi="宋体"/>
                <w:kern w:val="0"/>
              </w:rPr>
              <w:t>，标签</w:t>
            </w:r>
            <w:r>
              <w:rPr>
                <w:rFonts w:ascii="宋体" w:hAnsi="宋体"/>
                <w:kern w:val="0"/>
              </w:rPr>
              <w:t>信息包括名称</w:t>
            </w:r>
            <w:r>
              <w:rPr>
                <w:rFonts w:hint="eastAsia" w:ascii="宋体" w:hAnsi="宋体"/>
                <w:kern w:val="0"/>
              </w:rPr>
              <w:t>或编号</w:t>
            </w:r>
            <w:r>
              <w:rPr>
                <w:rFonts w:ascii="宋体" w:hAnsi="宋体"/>
                <w:kern w:val="0"/>
              </w:rPr>
              <w:t>、</w:t>
            </w:r>
            <w:r>
              <w:rPr>
                <w:rFonts w:hint="eastAsia" w:ascii="宋体" w:hAnsi="宋体"/>
                <w:kern w:val="0"/>
              </w:rPr>
              <w:t>使用</w:t>
            </w:r>
            <w:r>
              <w:rPr>
                <w:rFonts w:ascii="宋体" w:hAnsi="宋体"/>
                <w:kern w:val="0"/>
              </w:rPr>
              <w:t>人、日期等</w:t>
            </w:r>
            <w:r>
              <w:rPr>
                <w:rFonts w:hint="eastAsia" w:ascii="宋体" w:hAnsi="宋体"/>
                <w:kern w:val="0"/>
              </w:rPr>
              <w:t>；</w:t>
            </w:r>
            <w:r>
              <w:rPr>
                <w:rFonts w:ascii="宋体" w:hAnsi="宋体"/>
                <w:kern w:val="0"/>
              </w:rPr>
              <w:t>无使用饮料瓶存放试剂、样品的现象</w:t>
            </w:r>
            <w:r>
              <w:rPr>
                <w:rFonts w:hint="eastAsia" w:ascii="宋体" w:hAnsi="宋体"/>
                <w:kern w:val="0"/>
              </w:rPr>
              <w:t>，</w:t>
            </w:r>
            <w:r>
              <w:rPr>
                <w:rFonts w:ascii="宋体" w:hAnsi="宋体"/>
                <w:kern w:val="0"/>
              </w:rPr>
              <w:t>如确需</w:t>
            </w:r>
            <w:r>
              <w:rPr>
                <w:rFonts w:hint="eastAsia" w:ascii="宋体" w:hAnsi="宋体"/>
                <w:kern w:val="0"/>
              </w:rPr>
              <w:t>使用</w:t>
            </w:r>
            <w:r>
              <w:rPr>
                <w:rFonts w:ascii="宋体" w:hAnsi="宋体"/>
                <w:kern w:val="0"/>
              </w:rPr>
              <w:t>，必须撕去原包装纸，贴上</w:t>
            </w:r>
            <w:r>
              <w:rPr>
                <w:rFonts w:hint="eastAsia" w:ascii="宋体" w:hAnsi="宋体"/>
                <w:kern w:val="0"/>
              </w:rPr>
              <w:t>统一</w:t>
            </w:r>
            <w:r>
              <w:rPr>
                <w:rFonts w:ascii="宋体" w:hAnsi="宋体"/>
                <w:kern w:val="0"/>
              </w:rPr>
              <w:t>的</w:t>
            </w:r>
            <w:r>
              <w:rPr>
                <w:rFonts w:hint="eastAsia" w:ascii="宋体" w:hAnsi="宋体"/>
                <w:kern w:val="0"/>
              </w:rPr>
              <w:t>试剂</w:t>
            </w:r>
            <w:r>
              <w:rPr>
                <w:rFonts w:ascii="宋体" w:hAnsi="宋体"/>
                <w:kern w:val="0"/>
              </w:rPr>
              <w:t>标签</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kern w:val="0"/>
                <w:szCs w:val="21"/>
              </w:rPr>
              <w:t>不使用破损量筒、试管</w:t>
            </w:r>
            <w:r>
              <w:rPr>
                <w:rFonts w:hint="eastAsia"/>
                <w:kern w:val="0"/>
                <w:szCs w:val="21"/>
              </w:rPr>
              <w:t>、</w:t>
            </w:r>
            <w:r>
              <w:rPr>
                <w:kern w:val="0"/>
                <w:szCs w:val="21"/>
              </w:rPr>
              <w:t>移液管等玻璃器皿</w:t>
            </w:r>
          </w:p>
        </w:tc>
        <w:tc>
          <w:tcPr>
            <w:tcW w:w="7374" w:type="dxa"/>
            <w:tcMar>
              <w:left w:w="45" w:type="dxa"/>
              <w:right w:w="45" w:type="dxa"/>
            </w:tcMar>
            <w:vAlign w:val="center"/>
          </w:tcPr>
          <w:p>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9.1.1</w:t>
            </w:r>
          </w:p>
        </w:tc>
        <w:tc>
          <w:tcPr>
            <w:tcW w:w="3820" w:type="dxa"/>
            <w:tcMar>
              <w:left w:w="45" w:type="dxa"/>
              <w:right w:w="45" w:type="dxa"/>
            </w:tcMar>
            <w:vAlign w:val="center"/>
          </w:tcPr>
          <w:p>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其中</w:t>
            </w:r>
            <w:r>
              <w:rPr>
                <w:kern w:val="0"/>
                <w:szCs w:val="21"/>
              </w:rPr>
              <w:t>BSL-3/ABSL-3、BSL-4/ABSL-4实验室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9.1.</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按《人间传染的病原微生物名录》对应的实验室安全级别进行致病性病原微生物研究，重点关注：</w:t>
            </w:r>
            <w:r>
              <w:rPr>
                <w:kern w:val="0"/>
                <w:szCs w:val="21"/>
              </w:rPr>
              <w:t>开展未经灭活的高致病性病原微生物（列入一类、二类）相关实验和研究，必须在BSL-3/ABSL-3、BSL-4/ABSL-4实验室中进行</w:t>
            </w:r>
            <w:r>
              <w:rPr>
                <w:rFonts w:hint="eastAsia"/>
                <w:kern w:val="0"/>
                <w:szCs w:val="21"/>
              </w:rPr>
              <w:t>；</w:t>
            </w:r>
            <w:r>
              <w:rPr>
                <w:kern w:val="0"/>
                <w:szCs w:val="21"/>
              </w:rPr>
              <w:t>开展低致病性病原微生物（列入三类、四类），或经灭活的高致病性感染性材料的相关实验和研究，必须在BSL-1/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pPr>
              <w:widowControl/>
              <w:spacing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9.2.1</w:t>
            </w:r>
          </w:p>
        </w:tc>
        <w:tc>
          <w:tcPr>
            <w:tcW w:w="3820" w:type="dxa"/>
            <w:tcMar>
              <w:left w:w="45" w:type="dxa"/>
              <w:right w:w="45" w:type="dxa"/>
            </w:tcMar>
            <w:vAlign w:val="center"/>
          </w:tcPr>
          <w:p>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pPr>
              <w:rPr>
                <w:bCs/>
                <w:kern w:val="0"/>
                <w:szCs w:val="21"/>
              </w:rPr>
            </w:pPr>
            <w:r>
              <w:rPr>
                <w:kern w:val="0"/>
                <w:szCs w:val="21"/>
              </w:rPr>
              <w:t>BSL-2/ABSL-2及以上安全等级实验室须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w:t>
            </w:r>
            <w:r>
              <w:rPr>
                <w:rFonts w:hint="eastAsia" w:ascii="宋体" w:hAnsi="宋体"/>
                <w:kern w:val="0"/>
              </w:rPr>
              <w:t>；</w:t>
            </w:r>
            <w:r>
              <w:rPr>
                <w:kern w:val="0"/>
              </w:rPr>
              <w:t>BSL-3/ABSL-3</w:t>
            </w:r>
            <w:r>
              <w:rPr>
                <w:rFonts w:hint="eastAsia" w:ascii="宋体" w:hAnsi="宋体"/>
                <w:kern w:val="0"/>
              </w:rPr>
              <w:t>及以上安全等级实验室须</w:t>
            </w:r>
            <w:r>
              <w:rPr>
                <w:kern w:val="0"/>
                <w:szCs w:val="21"/>
              </w:rPr>
              <w:t>安装监控报警装置</w:t>
            </w:r>
          </w:p>
        </w:tc>
        <w:tc>
          <w:tcPr>
            <w:tcW w:w="2829" w:type="dxa"/>
            <w:tcMar>
              <w:left w:w="45" w:type="dxa"/>
              <w:right w:w="45" w:type="dxa"/>
            </w:tcMar>
            <w:vAlign w:val="center"/>
          </w:tcPr>
          <w:p>
            <w:pPr>
              <w:pStyle w:val="55"/>
              <w:spacing w:line="360" w:lineRule="auto"/>
              <w:ind w:firstLine="0" w:firstLineChars="0"/>
              <w:rPr>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pPr>
              <w:widowControl/>
              <w:spacing w:line="300" w:lineRule="exact"/>
              <w:jc w:val="left"/>
              <w:rPr>
                <w:bCs/>
                <w:kern w:val="0"/>
                <w:szCs w:val="21"/>
              </w:rPr>
            </w:pPr>
            <w:r>
              <w:rPr>
                <w:kern w:val="0"/>
                <w:szCs w:val="21"/>
              </w:rPr>
              <w:t>配有</w:t>
            </w:r>
            <w:r>
              <w:rPr>
                <w:rFonts w:hint="eastAsia"/>
                <w:kern w:val="0"/>
                <w:szCs w:val="21"/>
              </w:rPr>
              <w:t>II级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防虫纱窗、入口处有挡鼠板</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pPr>
              <w:widowControl/>
              <w:spacing w:line="300" w:lineRule="exact"/>
              <w:jc w:val="left"/>
              <w:rPr>
                <w:kern w:val="0"/>
                <w:szCs w:val="21"/>
              </w:rPr>
            </w:pPr>
            <w:r>
              <w:rPr>
                <w:kern w:val="0"/>
                <w:szCs w:val="21"/>
              </w:rPr>
              <w:t>采购</w:t>
            </w:r>
            <w:r>
              <w:rPr>
                <w:rFonts w:hint="eastAsia"/>
                <w:kern w:val="0"/>
                <w:szCs w:val="21"/>
              </w:rPr>
              <w:t>或自行分离</w:t>
            </w:r>
            <w:r>
              <w:rPr>
                <w:kern w:val="0"/>
                <w:szCs w:val="21"/>
              </w:rPr>
              <w:t>高致病性病原微生物菌</w:t>
            </w:r>
            <w:r>
              <w:rPr>
                <w:rFonts w:hint="eastAsia"/>
                <w:kern w:val="0"/>
                <w:szCs w:val="21"/>
              </w:rPr>
              <w:t>（毒）种，须办理相应申请和报批手续</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审批，报行业主管部门批准</w:t>
            </w:r>
            <w:r>
              <w:rPr>
                <w:rFonts w:hint="eastAsia"/>
                <w:kern w:val="0"/>
                <w:szCs w:val="21"/>
              </w:rPr>
              <w:t>；转移和运输需按规定报卫生和农业主管部门批准，并按相应的运输包装要求包装后转移和运输</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kern w:val="0"/>
                <w:szCs w:val="21"/>
              </w:rPr>
              <w:t>高致病性病原微生物菌</w:t>
            </w:r>
            <w:r>
              <w:rPr>
                <w:rFonts w:hint="eastAsia"/>
                <w:kern w:val="0"/>
                <w:szCs w:val="21"/>
              </w:rPr>
              <w:t>（毒）种应妥善保存和严格管理</w:t>
            </w:r>
          </w:p>
        </w:tc>
        <w:tc>
          <w:tcPr>
            <w:tcW w:w="7374" w:type="dxa"/>
            <w:tcMar>
              <w:left w:w="45" w:type="dxa"/>
              <w:right w:w="45" w:type="dxa"/>
            </w:tcMar>
            <w:vAlign w:val="center"/>
          </w:tcPr>
          <w:p>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9.4</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人员</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pPr>
              <w:widowControl/>
              <w:spacing w:line="300" w:lineRule="exact"/>
              <w:jc w:val="left"/>
              <w:rPr>
                <w:bCs/>
                <w:kern w:val="0"/>
                <w:szCs w:val="21"/>
              </w:rPr>
            </w:pPr>
          </w:p>
        </w:tc>
      </w:tr>
      <w:tr>
        <w:tblPrEx>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9.5.1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pPr>
              <w:widowControl/>
              <w:spacing w:line="300" w:lineRule="exact"/>
              <w:jc w:val="left"/>
              <w:rPr>
                <w:bCs/>
                <w:kern w:val="0"/>
                <w:szCs w:val="21"/>
              </w:rPr>
            </w:pPr>
            <w:r>
              <w:rPr>
                <w:kern w:val="0"/>
                <w:szCs w:val="21"/>
              </w:rPr>
              <w:t>BSL-2 /ABSL-2及以上等级实验室，开展病原微生物的相关实验活动应有风险评估和应急预案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实验操作合规，安全防护措施合理</w:t>
            </w:r>
          </w:p>
        </w:tc>
        <w:tc>
          <w:tcPr>
            <w:tcW w:w="7374" w:type="dxa"/>
            <w:tcMar>
              <w:left w:w="45" w:type="dxa"/>
              <w:right w:w="45" w:type="dxa"/>
            </w:tcMar>
            <w:vAlign w:val="center"/>
          </w:tcPr>
          <w:p>
            <w:pPr>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w:t>
            </w:r>
            <w:r>
              <w:rPr>
                <w:rFonts w:hint="eastAsia" w:ascii="宋体" w:hAnsi="宋体"/>
              </w:rPr>
              <w:t>相关实验以外的</w:t>
            </w:r>
            <w:r>
              <w:rPr>
                <w:szCs w:val="21"/>
              </w:rPr>
              <w:t>设施设备</w:t>
            </w:r>
          </w:p>
        </w:tc>
        <w:tc>
          <w:tcPr>
            <w:tcW w:w="2829" w:type="dxa"/>
            <w:tcMar>
              <w:left w:w="45" w:type="dxa"/>
              <w:right w:w="45" w:type="dxa"/>
            </w:tcMar>
            <w:vAlign w:val="center"/>
          </w:tcPr>
          <w:p>
            <w:pPr>
              <w:pStyle w:val="55"/>
              <w:spacing w:line="360" w:lineRule="auto"/>
              <w:ind w:firstLine="0" w:firstLineChars="0"/>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pPr>
              <w:widowControl/>
              <w:spacing w:line="300" w:lineRule="exact"/>
              <w:jc w:val="left"/>
              <w:rPr>
                <w:bCs/>
                <w:kern w:val="0"/>
                <w:szCs w:val="21"/>
              </w:rPr>
            </w:pPr>
            <w:r>
              <w:rPr>
                <w:rFonts w:hint="eastAsia"/>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pPr>
              <w:widowControl/>
              <w:spacing w:line="300" w:lineRule="exact"/>
              <w:jc w:val="left"/>
              <w:rPr>
                <w:szCs w:val="21"/>
              </w:rPr>
            </w:pPr>
            <w:r>
              <w:rPr>
                <w:kern w:val="0"/>
                <w:szCs w:val="21"/>
              </w:rPr>
              <w:t>动物实验</w:t>
            </w:r>
            <w:r>
              <w:rPr>
                <w:rFonts w:hint="eastAsia"/>
                <w:kern w:val="0"/>
                <w:szCs w:val="21"/>
              </w:rPr>
              <w:t>按相关规定进行伦理审查，</w:t>
            </w:r>
            <w:r>
              <w:rPr>
                <w:kern w:val="0"/>
                <w:szCs w:val="21"/>
              </w:rPr>
              <w:t>保障动物权益</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9.7.1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生物废弃物的处置应有专用集中场所</w:t>
            </w:r>
          </w:p>
        </w:tc>
        <w:tc>
          <w:tcPr>
            <w:tcW w:w="7374" w:type="dxa"/>
            <w:tcMar>
              <w:left w:w="45" w:type="dxa"/>
              <w:right w:w="45" w:type="dxa"/>
            </w:tcMar>
            <w:vAlign w:val="center"/>
          </w:tcPr>
          <w:p>
            <w:pPr>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w:t>
            </w:r>
            <w:r>
              <w:rPr>
                <w:rFonts w:hint="eastAsia"/>
                <w:kern w:val="0"/>
                <w:szCs w:val="21"/>
              </w:rPr>
              <w:t>生物</w:t>
            </w:r>
            <w:r>
              <w:rPr>
                <w:kern w:val="0"/>
                <w:szCs w:val="21"/>
              </w:rPr>
              <w:t>废弃物，有</w:t>
            </w:r>
            <w:r>
              <w:rPr>
                <w:rFonts w:hint="eastAsia"/>
                <w:kern w:val="0"/>
                <w:szCs w:val="21"/>
              </w:rPr>
              <w:t>交接</w:t>
            </w:r>
            <w:r>
              <w:rPr>
                <w:kern w:val="0"/>
                <w:szCs w:val="21"/>
              </w:rPr>
              <w:t>记录</w:t>
            </w:r>
            <w:r>
              <w:rPr>
                <w:rFonts w:hint="eastAsia"/>
                <w:bCs/>
                <w:kern w:val="0"/>
                <w:szCs w:val="21"/>
              </w:rPr>
              <w:t>；</w:t>
            </w:r>
            <w:r>
              <w:rPr>
                <w:kern w:val="0"/>
                <w:szCs w:val="21"/>
              </w:rPr>
              <w:t>学校有</w:t>
            </w:r>
            <w:r>
              <w:rPr>
                <w:rFonts w:hint="eastAsia"/>
                <w:kern w:val="0"/>
                <w:szCs w:val="21"/>
              </w:rPr>
              <w:t>生物</w:t>
            </w:r>
            <w:r>
              <w:rPr>
                <w:kern w:val="0"/>
                <w:szCs w:val="21"/>
              </w:rPr>
              <w:t>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rFonts w:hint="eastAsia"/>
                <w:kern w:val="0"/>
                <w:szCs w:val="21"/>
              </w:rPr>
              <w:t>生物实验</w:t>
            </w:r>
            <w:r>
              <w:rPr>
                <w:kern w:val="0"/>
                <w:szCs w:val="21"/>
              </w:rPr>
              <w:t>废弃物</w:t>
            </w:r>
            <w:r>
              <w:rPr>
                <w:rFonts w:hint="eastAsia"/>
                <w:kern w:val="0"/>
                <w:szCs w:val="21"/>
              </w:rPr>
              <w:t>垃圾桶</w:t>
            </w:r>
            <w:r>
              <w:rPr>
                <w:kern w:val="0"/>
                <w:szCs w:val="21"/>
              </w:rPr>
              <w:t>（内置</w:t>
            </w:r>
            <w:r>
              <w:rPr>
                <w:rFonts w:hint="eastAsia" w:ascii="宋体" w:hAnsi="宋体"/>
                <w:kern w:val="0"/>
              </w:rPr>
              <w:t>生物废弃物专用</w:t>
            </w:r>
            <w:r>
              <w:rPr>
                <w:kern w:val="0"/>
                <w:szCs w:val="21"/>
              </w:rPr>
              <w:t>塑料袋）</w:t>
            </w:r>
            <w:r>
              <w:rPr>
                <w:rFonts w:hint="eastAsia"/>
                <w:kern w:val="0"/>
                <w:szCs w:val="21"/>
              </w:rPr>
              <w:t>，</w:t>
            </w:r>
            <w:r>
              <w:rPr>
                <w:kern w:val="0"/>
                <w:szCs w:val="21"/>
              </w:rPr>
              <w:t>有标</w:t>
            </w:r>
            <w:r>
              <w:rPr>
                <w:rFonts w:hint="eastAsia"/>
                <w:kern w:val="0"/>
                <w:szCs w:val="21"/>
              </w:rPr>
              <w:t>识；</w:t>
            </w:r>
            <w:r>
              <w:rPr>
                <w:kern w:val="0"/>
                <w:szCs w:val="21"/>
              </w:rPr>
              <w:t>学校有统一的</w:t>
            </w:r>
            <w:r>
              <w:rPr>
                <w:rFonts w:hint="eastAsia"/>
                <w:kern w:val="0"/>
                <w:szCs w:val="21"/>
              </w:rPr>
              <w:t>生物</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pPr>
              <w:widowControl/>
              <w:spacing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9.7.2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生物废弃物的处置应满足特殊要求</w:t>
            </w:r>
          </w:p>
        </w:tc>
        <w:tc>
          <w:tcPr>
            <w:tcW w:w="7374" w:type="dxa"/>
            <w:tcMar>
              <w:left w:w="45" w:type="dxa"/>
              <w:right w:w="45" w:type="dxa"/>
            </w:tcMar>
            <w:vAlign w:val="center"/>
          </w:tcPr>
          <w:p>
            <w:pPr>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刀片、移液枪头等尖锐物应使用耐扎的利器盒</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w:t>
            </w:r>
            <w:r>
              <w:rPr>
                <w:rFonts w:hint="eastAsia" w:ascii="宋体" w:hAnsi="宋体"/>
                <w:kern w:val="0"/>
              </w:rPr>
              <w:t>生物废弃物专用塑料袋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；生物实验废弃物不得混入与生活垃圾混放</w:t>
            </w:r>
          </w:p>
        </w:tc>
        <w:tc>
          <w:tcPr>
            <w:tcW w:w="2829" w:type="dxa"/>
            <w:tcMar>
              <w:left w:w="45" w:type="dxa"/>
              <w:right w:w="45" w:type="dxa"/>
            </w:tcMar>
            <w:vAlign w:val="center"/>
          </w:tcPr>
          <w:p>
            <w:pPr>
              <w:pStyle w:val="55"/>
              <w:spacing w:line="360" w:lineRule="auto"/>
              <w:ind w:firstLine="0" w:firstLineChars="0"/>
              <w:rPr>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辐射安全</w:t>
            </w:r>
            <w:r>
              <w:rPr>
                <w:rFonts w:hint="eastAsia"/>
                <w:b/>
                <w:kern w:val="0"/>
                <w:szCs w:val="21"/>
              </w:rPr>
              <w:t>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10.1.1</w:t>
            </w:r>
          </w:p>
        </w:tc>
        <w:tc>
          <w:tcPr>
            <w:tcW w:w="3820" w:type="dxa"/>
            <w:tcMar>
              <w:left w:w="45" w:type="dxa"/>
              <w:right w:w="45" w:type="dxa"/>
            </w:tcMar>
            <w:vAlign w:val="center"/>
          </w:tcPr>
          <w:p>
            <w:pPr>
              <w:widowControl/>
              <w:spacing w:line="300" w:lineRule="exact"/>
              <w:rPr>
                <w:b/>
                <w:kern w:val="0"/>
                <w:szCs w:val="21"/>
              </w:rPr>
            </w:pPr>
            <w:r>
              <w:rPr>
                <w:rFonts w:hint="eastAsia"/>
                <w:szCs w:val="21"/>
              </w:rPr>
              <w:t>辐射</w:t>
            </w:r>
            <w:r>
              <w:rPr>
                <w:szCs w:val="21"/>
              </w:rPr>
              <w:t>工作</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pPr>
              <w:widowControl/>
              <w:spacing w:line="300" w:lineRule="exact"/>
              <w:jc w:val="left"/>
              <w:rPr>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kern w:val="0"/>
                <w:szCs w:val="21"/>
              </w:rPr>
              <w:t>除已被豁免管理外，射线装置、放射源或者非密封放射性物质应纳入许可证范畴</w:t>
            </w:r>
          </w:p>
        </w:tc>
        <w:tc>
          <w:tcPr>
            <w:tcW w:w="2829" w:type="dxa"/>
            <w:tcMar>
              <w:left w:w="45" w:type="dxa"/>
              <w:right w:w="45" w:type="dxa"/>
            </w:tcMar>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辐射</w:t>
            </w:r>
            <w:r>
              <w:rPr>
                <w:szCs w:val="21"/>
              </w:rPr>
              <w:t>工作</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辐射</w:t>
            </w:r>
            <w:r>
              <w:rPr>
                <w:kern w:val="0"/>
                <w:szCs w:val="21"/>
              </w:rPr>
              <w:t>工作</w:t>
            </w:r>
            <w:r>
              <w:rPr>
                <w:rFonts w:hint="eastAsia"/>
                <w:kern w:val="0"/>
                <w:szCs w:val="21"/>
              </w:rPr>
              <w:t>人员具</w:t>
            </w:r>
            <w:r>
              <w:rPr>
                <w:kern w:val="0"/>
                <w:szCs w:val="21"/>
              </w:rPr>
              <w:t>有《辐射安全与防护培训合格证书》</w:t>
            </w:r>
            <w:r>
              <w:rPr>
                <w:rFonts w:hint="eastAsia"/>
                <w:kern w:val="0"/>
                <w:szCs w:val="21"/>
              </w:rPr>
              <w:t>，</w:t>
            </w:r>
            <w:bookmarkStart w:id="0" w:name="_Hlk67117721"/>
            <w:r>
              <w:rPr>
                <w:rFonts w:hint="eastAsia"/>
                <w:kern w:val="0"/>
                <w:szCs w:val="21"/>
              </w:rPr>
              <w:t>或者《生态环境部辐射安全与防护考核通过报告单</w:t>
            </w:r>
            <w:bookmarkEnd w:id="0"/>
            <w:r>
              <w:rPr>
                <w:rFonts w:hint="eastAsia"/>
                <w:kern w:val="0"/>
                <w:szCs w:val="21"/>
              </w:rPr>
              <w:t>》，</w:t>
            </w:r>
            <w:r>
              <w:rPr>
                <w:rFonts w:hint="eastAsia"/>
                <w:szCs w:val="21"/>
              </w:rPr>
              <w:t>辐射</w:t>
            </w:r>
            <w:r>
              <w:rPr>
                <w:szCs w:val="21"/>
              </w:rPr>
              <w:t>工作</w:t>
            </w:r>
            <w:r>
              <w:rPr>
                <w:kern w:val="0"/>
                <w:szCs w:val="21"/>
              </w:rPr>
              <w:t>人员按时参加</w:t>
            </w:r>
            <w:r>
              <w:rPr>
                <w:rFonts w:hint="eastAsia"/>
                <w:kern w:val="0"/>
                <w:szCs w:val="21"/>
              </w:rPr>
              <w:t>放射性</w:t>
            </w:r>
            <w:r>
              <w:rPr>
                <w:kern w:val="0"/>
                <w:szCs w:val="21"/>
              </w:rPr>
              <w:t>职业体检</w:t>
            </w:r>
            <w:r>
              <w:rPr>
                <w:rFonts w:hint="eastAsia"/>
                <w:kern w:val="0"/>
                <w:szCs w:val="21"/>
              </w:rPr>
              <w:t>（2年</w:t>
            </w:r>
            <w:r>
              <w:rPr>
                <w:kern w:val="0"/>
                <w:szCs w:val="21"/>
              </w:rPr>
              <w:t>1次</w:t>
            </w:r>
            <w:r>
              <w:rPr>
                <w:rFonts w:hint="eastAsia"/>
                <w:kern w:val="0"/>
                <w:szCs w:val="21"/>
              </w:rPr>
              <w:t>），有健康档案；</w:t>
            </w:r>
            <w:r>
              <w:rPr>
                <w:rFonts w:hint="eastAsia"/>
                <w:szCs w:val="21"/>
              </w:rPr>
              <w:t>辐射</w:t>
            </w:r>
            <w:r>
              <w:rPr>
                <w:szCs w:val="21"/>
              </w:rPr>
              <w:t>工作</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单位按时进行剂量检测（3个月一次）</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0.1.3</w:t>
            </w:r>
          </w:p>
        </w:tc>
        <w:tc>
          <w:tcPr>
            <w:tcW w:w="3820" w:type="dxa"/>
            <w:tcMar>
              <w:left w:w="45" w:type="dxa"/>
              <w:right w:w="45" w:type="dxa"/>
            </w:tcMar>
            <w:vAlign w:val="center"/>
          </w:tcPr>
          <w:p>
            <w:pPr>
              <w:widowControl/>
              <w:spacing w:line="300" w:lineRule="exact"/>
              <w:jc w:val="left"/>
              <w:rPr>
                <w:szCs w:val="21"/>
              </w:rPr>
            </w:pPr>
            <w:r>
              <w:rPr>
                <w:rFonts w:hint="eastAsia"/>
                <w:szCs w:val="21"/>
              </w:rPr>
              <w:t>核材料许可证持有单位须建立专职机构或指定专人负责保管核材料，执行国家管制条例要求。有帐目与报告制度，保证帐物相符</w:t>
            </w:r>
          </w:p>
        </w:tc>
        <w:tc>
          <w:tcPr>
            <w:tcW w:w="7374" w:type="dxa"/>
            <w:tcMar>
              <w:left w:w="45" w:type="dxa"/>
              <w:right w:w="45" w:type="dxa"/>
            </w:tcMar>
            <w:vAlign w:val="center"/>
          </w:tcPr>
          <w:p>
            <w:pPr>
              <w:widowControl/>
              <w:spacing w:line="300" w:lineRule="exact"/>
              <w:jc w:val="left"/>
              <w:rPr>
                <w:kern w:val="0"/>
                <w:szCs w:val="21"/>
              </w:rPr>
            </w:pPr>
            <w:r>
              <w:rPr>
                <w:rFonts w:hint="eastAsia"/>
                <w:bCs/>
                <w:kern w:val="0"/>
                <w:szCs w:val="21"/>
              </w:rPr>
              <w:t>持有核材料数量达到法定要求的单位须</w:t>
            </w:r>
            <w:r>
              <w:rPr>
                <w:kern w:val="0"/>
                <w:szCs w:val="21"/>
              </w:rPr>
              <w:t>取得</w:t>
            </w:r>
            <w:r>
              <w:rPr>
                <w:rFonts w:hint="eastAsia"/>
                <w:kern w:val="0"/>
                <w:szCs w:val="21"/>
              </w:rPr>
              <w:t>核材料</w:t>
            </w:r>
            <w:r>
              <w:rPr>
                <w:kern w:val="0"/>
                <w:szCs w:val="21"/>
              </w:rPr>
              <w:t>许可证</w:t>
            </w:r>
            <w:r>
              <w:rPr>
                <w:rFonts w:hint="eastAsia"/>
                <w:kern w:val="0"/>
                <w:szCs w:val="21"/>
              </w:rPr>
              <w:t>；</w:t>
            </w:r>
            <w:r>
              <w:rPr>
                <w:rFonts w:hint="eastAsia"/>
                <w:szCs w:val="21"/>
              </w:rPr>
              <w:t>有专职机构或指定专人负责办理；核材料衡算和核安保工作执行国家要求</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场所设施</w:t>
            </w:r>
            <w:r>
              <w:rPr>
                <w:rFonts w:hint="eastAsia"/>
                <w:b/>
                <w:kern w:val="0"/>
                <w:szCs w:val="21"/>
              </w:rPr>
              <w:t>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pPr>
              <w:widowControl/>
              <w:spacing w:line="300" w:lineRule="exact"/>
              <w:jc w:val="left"/>
              <w:rPr>
                <w:bCs/>
                <w:kern w:val="0"/>
                <w:szCs w:val="21"/>
              </w:rPr>
            </w:pPr>
            <w:r>
              <w:rPr>
                <w:kern w:val="0"/>
                <w:szCs w:val="21"/>
              </w:rPr>
              <w:t>放射源储存库</w:t>
            </w:r>
            <w:r>
              <w:rPr>
                <w:rFonts w:hint="eastAsia"/>
                <w:kern w:val="0"/>
                <w:szCs w:val="21"/>
              </w:rPr>
              <w:t>应设“双人双锁”</w:t>
            </w:r>
            <w:r>
              <w:rPr>
                <w:kern w:val="0"/>
                <w:szCs w:val="21"/>
              </w:rPr>
              <w:t>，并有安全报警系统和视频监控系统</w:t>
            </w:r>
            <w:r>
              <w:rPr>
                <w:rFonts w:hint="eastAsia"/>
                <w:kern w:val="0"/>
                <w:szCs w:val="21"/>
              </w:rPr>
              <w:t>，</w:t>
            </w:r>
            <w:r>
              <w:rPr>
                <w:kern w:val="0"/>
                <w:szCs w:val="21"/>
              </w:rPr>
              <w:t>辐照设施设备</w:t>
            </w:r>
            <w:r>
              <w:rPr>
                <w:rFonts w:hint="eastAsia"/>
                <w:kern w:val="0"/>
                <w:szCs w:val="21"/>
              </w:rPr>
              <w:t>和2类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辐射实验</w:t>
            </w:r>
            <w:r>
              <w:rPr>
                <w:szCs w:val="21"/>
              </w:rPr>
              <w:t>场所每年有合格的实验场所检测报告</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w:t>
            </w:r>
            <w:r>
              <w:rPr>
                <w:rFonts w:hint="eastAsia"/>
                <w:kern w:val="0"/>
                <w:szCs w:val="21"/>
              </w:rPr>
              <w:t>看</w:t>
            </w:r>
            <w:r>
              <w:rPr>
                <w:kern w:val="0"/>
                <w:szCs w:val="21"/>
              </w:rPr>
              <w:t>场所辐射环境监测报告</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10.2.</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以及3类</w:t>
            </w:r>
            <w:r>
              <w:rPr>
                <w:kern w:val="0"/>
                <w:szCs w:val="21"/>
              </w:rPr>
              <w:t>以上射线装置变更及时登记</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、5类</w:t>
            </w:r>
            <w:r>
              <w:rPr>
                <w:kern w:val="0"/>
                <w:szCs w:val="21"/>
              </w:rPr>
              <w:t>以上的密封性放射性实验操作</w:t>
            </w:r>
            <w:r>
              <w:rPr>
                <w:rFonts w:hint="eastAsia"/>
                <w:kern w:val="0"/>
                <w:szCs w:val="21"/>
              </w:rPr>
              <w:t>；</w:t>
            </w:r>
            <w:bookmarkStart w:id="1" w:name="_Hlk67119357"/>
            <w:r>
              <w:rPr>
                <w:rFonts w:hint="eastAsia"/>
                <w:kern w:val="0"/>
                <w:szCs w:val="21"/>
              </w:rPr>
              <w:t>查看辐射事故应急预案</w:t>
            </w:r>
            <w:bookmarkEnd w:id="1"/>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pPr>
              <w:widowControl/>
              <w:spacing w:line="300" w:lineRule="exact"/>
              <w:jc w:val="left"/>
              <w:rPr>
                <w:kern w:val="0"/>
                <w:szCs w:val="21"/>
              </w:rPr>
            </w:pPr>
            <w:r>
              <w:rPr>
                <w:kern w:val="0"/>
                <w:szCs w:val="21"/>
              </w:rPr>
              <w:t>中、长半衰期核素固液废弃物有符合国家相关规定的处置方案或回收协议，短半衰期核素固液废弃物放置10个半衰期经检测达标后作为普通废物处理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r>
              <w:rPr>
                <w:rFonts w:hint="eastAsia"/>
                <w:kern w:val="0"/>
                <w:szCs w:val="21"/>
              </w:rPr>
              <w:t>涉源</w:t>
            </w:r>
            <w:r>
              <w:rPr>
                <w:kern w:val="0"/>
                <w:szCs w:val="21"/>
              </w:rPr>
              <w:t>实验场所退役，须按国家相关规定</w:t>
            </w:r>
            <w:r>
              <w:rPr>
                <w:rFonts w:hint="eastAsia"/>
                <w:kern w:val="0"/>
                <w:szCs w:val="21"/>
              </w:rPr>
              <w:t>执行</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10.3.</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放射性废物（源）应严加管理，不得作为普通废物处理，不得擅自处置</w:t>
            </w:r>
          </w:p>
        </w:tc>
        <w:tc>
          <w:tcPr>
            <w:tcW w:w="7374" w:type="dxa"/>
            <w:tcMar>
              <w:left w:w="45" w:type="dxa"/>
              <w:right w:w="45" w:type="dxa"/>
            </w:tcMar>
            <w:vAlign w:val="center"/>
          </w:tcPr>
          <w:p>
            <w:pPr>
              <w:widowControl/>
              <w:spacing w:line="300" w:lineRule="exact"/>
              <w:jc w:val="left"/>
              <w:rPr>
                <w:kern w:val="0"/>
                <w:szCs w:val="21"/>
              </w:rPr>
            </w:pPr>
            <w:bookmarkStart w:id="2" w:name="_Hlk67118907"/>
            <w:r>
              <w:rPr>
                <w:rFonts w:hint="eastAsia"/>
                <w:kern w:val="0"/>
                <w:szCs w:val="21"/>
              </w:rPr>
              <w:t>相关实验室应当配置专门的放射性废物收集桶；放射性废液送贮前应进行固化整备；放射性废物应及时送交城市放废库收贮</w:t>
            </w:r>
            <w:bookmarkEnd w:id="2"/>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机电等</w:t>
            </w:r>
            <w:r>
              <w:rPr>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仪器设备</w:t>
            </w:r>
            <w:r>
              <w:rPr>
                <w:b/>
                <w:kern w:val="0"/>
                <w:szCs w:val="21"/>
              </w:rPr>
              <w:t>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pPr>
              <w:widowControl/>
              <w:spacing w:line="300" w:lineRule="exact"/>
              <w:jc w:val="left"/>
              <w:rPr>
                <w:kern w:val="0"/>
                <w:szCs w:val="21"/>
              </w:rPr>
            </w:pPr>
            <w:r>
              <w:rPr>
                <w:kern w:val="0"/>
                <w:szCs w:val="21"/>
              </w:rPr>
              <w:t>建立设备台</w:t>
            </w:r>
            <w:r>
              <w:rPr>
                <w:rFonts w:hint="eastAsia"/>
                <w:kern w:val="0"/>
                <w:szCs w:val="21"/>
              </w:rPr>
              <w:t>账，设备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pPr>
              <w:widowControl/>
              <w:spacing w:line="300" w:lineRule="exact"/>
              <w:jc w:val="left"/>
              <w:rPr>
                <w:b/>
                <w:bCs/>
                <w:kern w:val="0"/>
                <w:szCs w:val="21"/>
              </w:rPr>
            </w:pPr>
            <w:r>
              <w:rPr>
                <w:rFonts w:hint="eastAsia"/>
                <w:kern w:val="0"/>
                <w:szCs w:val="21"/>
              </w:rPr>
              <w:t>查看电子或纸质台账</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pPr>
              <w:widowControl/>
              <w:spacing w:line="300" w:lineRule="exact"/>
              <w:jc w:val="left"/>
              <w:rPr>
                <w:kern w:val="0"/>
                <w:szCs w:val="21"/>
              </w:rPr>
            </w:pPr>
            <w:r>
              <w:rPr>
                <w:rFonts w:hint="eastAsia"/>
                <w:szCs w:val="21"/>
              </w:rPr>
              <w:t>仪器设备接地系统应按规范要求，采用铜质材料，接地电阻不高于0.5欧；电脑、空调、电加热器等不随意开机过夜；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pPr>
              <w:widowControl/>
              <w:spacing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11.1.4</w:t>
            </w:r>
          </w:p>
        </w:tc>
        <w:tc>
          <w:tcPr>
            <w:tcW w:w="3820" w:type="dxa"/>
            <w:tcMar>
              <w:left w:w="45" w:type="dxa"/>
              <w:right w:w="45" w:type="dxa"/>
            </w:tcMar>
            <w:vAlign w:val="center"/>
          </w:tcPr>
          <w:p>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自研自制设备，须充分考虑安全系数，并有安全防护措施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hint="eastAsia" w:ascii="宋体" w:hAnsi="宋体" w:cs="宋体"/>
                <w:b/>
                <w:kern w:val="0"/>
                <w:szCs w:val="21"/>
              </w:rPr>
              <w:t>机械</w:t>
            </w:r>
            <w:r>
              <w:rPr>
                <w:rFonts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pPr>
              <w:widowControl/>
              <w:spacing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pPr>
              <w:rPr>
                <w:kern w:val="0"/>
                <w:szCs w:val="21"/>
              </w:rPr>
            </w:pPr>
            <w:r>
              <w:rPr>
                <w:rFonts w:hint="eastAsia" w:ascii="宋体" w:hAnsi="宋体"/>
                <w:kern w:val="0"/>
              </w:rPr>
              <w:t>个人</w:t>
            </w:r>
            <w:r>
              <w:rPr>
                <w:rFonts w:ascii="宋体" w:hAnsi="宋体"/>
                <w:kern w:val="0"/>
              </w:rPr>
              <w:t>防护用品要穿戴齐全，如工作服、</w:t>
            </w:r>
            <w:r>
              <w:rPr>
                <w:rFonts w:hint="eastAsia" w:ascii="宋体" w:hAnsi="宋体"/>
                <w:kern w:val="0"/>
              </w:rPr>
              <w:t>工作帽</w:t>
            </w:r>
            <w:r>
              <w:rPr>
                <w:rFonts w:ascii="宋体" w:hAnsi="宋体"/>
                <w:kern w:val="0"/>
              </w:rPr>
              <w:t>、工作鞋、防护眼镜等</w:t>
            </w:r>
            <w:r>
              <w:rPr>
                <w:rFonts w:hint="eastAsia" w:ascii="宋体" w:hAnsi="宋体"/>
                <w:kern w:val="0"/>
              </w:rPr>
              <w:t>；</w:t>
            </w:r>
            <w:r>
              <w:rPr>
                <w:rFonts w:ascii="宋体" w:hAnsi="宋体"/>
                <w:kern w:val="0"/>
              </w:rPr>
              <w:t>操作</w:t>
            </w:r>
            <w:r>
              <w:rPr>
                <w:rFonts w:hint="eastAsia" w:ascii="宋体" w:hAnsi="宋体"/>
                <w:kern w:val="0"/>
              </w:rPr>
              <w:t>冷加工</w:t>
            </w:r>
            <w:r>
              <w:rPr>
                <w:rFonts w:ascii="宋体" w:hAnsi="宋体"/>
                <w:kern w:val="0"/>
              </w:rPr>
              <w:t>设备必须穿</w:t>
            </w:r>
            <w:r>
              <w:rPr>
                <w:kern w:val="0"/>
              </w:rPr>
              <w:t>“</w:t>
            </w:r>
            <w:r>
              <w:rPr>
                <w:rFonts w:hint="eastAsia" w:ascii="宋体" w:hAnsi="宋体"/>
                <w:kern w:val="0"/>
              </w:rPr>
              <w:t>三紧式</w:t>
            </w:r>
            <w:r>
              <w:rPr>
                <w:kern w:val="0"/>
              </w:rPr>
              <w:t>”</w:t>
            </w:r>
            <w:r>
              <w:rPr>
                <w:rFonts w:hint="eastAsia" w:ascii="宋体" w:hAnsi="宋体"/>
                <w:kern w:val="0"/>
              </w:rPr>
              <w:t>工作服</w:t>
            </w:r>
            <w:r>
              <w:rPr>
                <w:rFonts w:ascii="宋体" w:hAnsi="宋体"/>
                <w:kern w:val="0"/>
              </w:rPr>
              <w:t>，不能留长发（</w:t>
            </w:r>
            <w:r>
              <w:rPr>
                <w:rFonts w:hint="eastAsia" w:ascii="宋体" w:hAnsi="宋体"/>
                <w:kern w:val="0"/>
              </w:rPr>
              <w:t>长发</w:t>
            </w:r>
            <w:r>
              <w:rPr>
                <w:rFonts w:ascii="宋体" w:hAnsi="宋体"/>
                <w:kern w:val="0"/>
              </w:rPr>
              <w:t>要盘在工作帽内）</w:t>
            </w:r>
            <w:r>
              <w:rPr>
                <w:rFonts w:hint="eastAsia" w:ascii="宋体" w:hAnsi="宋体"/>
                <w:kern w:val="0"/>
              </w:rPr>
              <w:t>，</w:t>
            </w:r>
            <w:r>
              <w:rPr>
                <w:rFonts w:ascii="宋体" w:hAnsi="宋体"/>
                <w:kern w:val="0"/>
              </w:rPr>
              <w:t>禁止戴手套</w:t>
            </w:r>
            <w:r>
              <w:rPr>
                <w:rFonts w:hint="eastAsia" w:ascii="宋体" w:hAnsi="宋体"/>
                <w:kern w:val="0"/>
              </w:rPr>
              <w:t>；</w:t>
            </w:r>
            <w:r>
              <w:rPr>
                <w:rFonts w:hint="eastAsia"/>
                <w:kern w:val="0"/>
                <w:szCs w:val="21"/>
              </w:rPr>
              <w:t>进入高速切削机械操作工作场所，穿好工作服，戴好防护眼镜，扣紧衣袖口，长发学生</w:t>
            </w:r>
            <w:r>
              <w:rPr>
                <w:rFonts w:hint="eastAsia" w:ascii="宋体" w:hAnsi="宋体"/>
                <w:kern w:val="0"/>
              </w:rPr>
              <w:t>必须将长发盘在工作帽内，</w:t>
            </w:r>
            <w:r>
              <w:rPr>
                <w:rFonts w:hint="eastAsia"/>
                <w:kern w:val="0"/>
                <w:szCs w:val="21"/>
              </w:rPr>
              <w:t>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等配饰物，禁穿拖鞋、高跟鞋等；设备运转时严禁用手调整工件</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 xml:space="preserve">；盐浴炉加热零件必须预先烘干，并用铁丝绑牢，缓慢放入炉中，以防盐液炸崩烫伤；淬火油槽不得有水，油量不能过少，以免发生火灾；与铁水接触的一切工具，使用前必须加热，严禁将冷的工具伸入铁水内，以免引起爆炸；锻压设备不得空打或大力敲打过薄锻件，锻造时锻件应达到850 </w:t>
            </w:r>
            <w:r>
              <w:rPr>
                <w:rFonts w:hint="eastAsia" w:ascii="宋体" w:hAnsi="宋体" w:cs="宋体"/>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szCs w:val="21"/>
              </w:rPr>
            </w:pPr>
            <w:r>
              <w:rPr>
                <w:rFonts w:hint="eastAsia"/>
                <w:kern w:val="0"/>
                <w:szCs w:val="21"/>
              </w:rPr>
              <w:t>11.2.4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2米以上高空临边、攀登作业，须穿防滑鞋、佩戴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hint="eastAsia" w:ascii="宋体" w:hAnsi="宋体" w:cs="宋体"/>
                <w:b/>
                <w:kern w:val="0"/>
                <w:szCs w:val="21"/>
              </w:rPr>
              <w:t>电气</w:t>
            </w:r>
            <w:r>
              <w:rPr>
                <w:rFonts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高度不低于2米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；禁止在有可燃气体泄露隐患的环境中使用电动工具；电烙铁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pPr>
              <w:widowControl/>
              <w:spacing w:line="300" w:lineRule="exact"/>
              <w:jc w:val="lef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强电类实验必须二人（含）以上，操作时应戴绝缘手套；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ascii="宋体" w:hAnsi="宋体" w:cs="宋体"/>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hint="eastAsia" w:ascii="Arial" w:hAnsi="Arial" w:cs="Arial"/>
                <w:szCs w:val="21"/>
                <w:shd w:val="clear" w:color="auto" w:fill="FFFFFF"/>
              </w:rPr>
              <w:t>禁止</w:t>
            </w:r>
            <w:r>
              <w:rPr>
                <w:rFonts w:ascii="Arial" w:hAnsi="Arial" w:cs="Arial"/>
                <w:szCs w:val="21"/>
                <w:shd w:val="clear" w:color="auto" w:fill="FFFFFF"/>
              </w:rPr>
              <w:t>直视激光束和它的反向光束</w:t>
            </w:r>
            <w:r>
              <w:rPr>
                <w:rFonts w:hint="eastAsia" w:ascii="Arial" w:hAnsi="Arial" w:cs="Arial"/>
                <w:szCs w:val="21"/>
                <w:shd w:val="clear" w:color="auto" w:fill="FFFFFF"/>
              </w:rPr>
              <w:t>，禁止</w:t>
            </w:r>
            <w:r>
              <w:rPr>
                <w:rFonts w:ascii="Arial" w:hAnsi="Arial" w:cs="Arial"/>
                <w:szCs w:val="21"/>
                <w:shd w:val="clear" w:color="auto" w:fill="FFFFFF"/>
              </w:rPr>
              <w:t>对激光器件做任何目视准直操作</w:t>
            </w:r>
            <w:r>
              <w:rPr>
                <w:rFonts w:hint="eastAsia" w:ascii="Arial" w:hAnsi="Arial" w:cs="Arial"/>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11.4.3</w:t>
            </w:r>
          </w:p>
        </w:tc>
        <w:tc>
          <w:tcPr>
            <w:tcW w:w="3820" w:type="dxa"/>
            <w:tcMar>
              <w:left w:w="45" w:type="dxa"/>
              <w:right w:w="45" w:type="dxa"/>
            </w:tcMar>
            <w:vAlign w:val="center"/>
          </w:tcPr>
          <w:p>
            <w:pPr>
              <w:widowControl/>
              <w:spacing w:line="300" w:lineRule="exact"/>
              <w:jc w:val="left"/>
              <w:rPr>
                <w:bCs/>
                <w:kern w:val="0"/>
                <w:szCs w:val="21"/>
              </w:rPr>
            </w:pPr>
            <w:r>
              <w:rPr>
                <w:bCs/>
                <w:kern w:val="0"/>
                <w:szCs w:val="21"/>
              </w:rPr>
              <w:t>警告</w:t>
            </w:r>
            <w:r>
              <w:rPr>
                <w:rFonts w:hint="eastAsia"/>
                <w:bCs/>
                <w:kern w:val="0"/>
                <w:szCs w:val="21"/>
              </w:rPr>
              <w:t>标识</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所有</w:t>
            </w:r>
            <w:r>
              <w:rPr>
                <w:bCs/>
                <w:kern w:val="0"/>
                <w:szCs w:val="21"/>
              </w:rPr>
              <w:t>激光区域内张贴警告</w:t>
            </w:r>
            <w:r>
              <w:rPr>
                <w:rFonts w:hint="eastAsia"/>
                <w:bCs/>
                <w:kern w:val="0"/>
                <w:szCs w:val="21"/>
              </w:rPr>
              <w:t>标识</w:t>
            </w:r>
          </w:p>
        </w:tc>
        <w:tc>
          <w:tcPr>
            <w:tcW w:w="2829" w:type="dxa"/>
            <w:tcMar>
              <w:left w:w="45" w:type="dxa"/>
              <w:right w:w="45" w:type="dxa"/>
            </w:tcMar>
            <w:vAlign w:val="center"/>
          </w:tcPr>
          <w:p>
            <w:pPr>
              <w:widowControl/>
              <w:spacing w:line="300" w:lineRule="exact"/>
              <w:jc w:val="lef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ascii="宋体" w:hAnsi="宋体" w:cs="宋体"/>
                <w:b/>
                <w:kern w:val="0"/>
                <w:szCs w:val="21"/>
              </w:rPr>
              <w:t>粉尘</w:t>
            </w:r>
            <w:r>
              <w:rPr>
                <w:rFonts w:hint="eastAsia"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pPr>
              <w:rPr>
                <w:kern w:val="0"/>
                <w:szCs w:val="21"/>
              </w:rPr>
            </w:pPr>
            <w:r>
              <w:rPr>
                <w:rFonts w:hint="eastAsia" w:ascii="宋体" w:hAnsi="宋体"/>
                <w:kern w:val="0"/>
              </w:rPr>
              <w:t>粉尘爆炸危险场所，</w:t>
            </w:r>
            <w:r>
              <w:rPr>
                <w:rFonts w:hint="eastAsia"/>
                <w:kern w:val="0"/>
                <w:szCs w:val="21"/>
              </w:rPr>
              <w:t>应选用防爆型的电气设备</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pPr>
              <w:pStyle w:val="55"/>
              <w:spacing w:line="360" w:lineRule="auto"/>
              <w:ind w:firstLine="0" w:firstLineChars="0"/>
              <w:rPr>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11.5.2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pPr>
              <w:rPr>
                <w:bCs/>
                <w:kern w:val="0"/>
                <w:szCs w:val="21"/>
              </w:rPr>
            </w:pPr>
            <w:r>
              <w:rPr>
                <w:rFonts w:hint="eastAsia" w:ascii="宋体" w:hAnsi="宋体"/>
                <w:kern w:val="0"/>
              </w:rPr>
              <w:t>粉尘爆炸危险场所</w:t>
            </w:r>
            <w:r>
              <w:rPr>
                <w:rFonts w:hint="eastAsia"/>
                <w:kern w:val="0"/>
                <w:szCs w:val="21"/>
              </w:rPr>
              <w:t>应穿防静电棉质衣服，禁止穿化纤材料制作的衣服，工作时必须佩戴防尘口罩和护耳器</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粉尘浓度较高的场所，有加湿装置（喷雾）使湿度在65%以上；配备</w:t>
            </w:r>
            <w:r>
              <w:rPr>
                <w:kern w:val="0"/>
                <w:szCs w:val="21"/>
              </w:rPr>
              <w:t>合适的灭火装置</w:t>
            </w:r>
          </w:p>
        </w:tc>
        <w:tc>
          <w:tcPr>
            <w:tcW w:w="2829" w:type="dxa"/>
            <w:tcMar>
              <w:left w:w="45" w:type="dxa"/>
              <w:right w:w="45" w:type="dxa"/>
            </w:tcMar>
            <w:vAlign w:val="center"/>
          </w:tcPr>
          <w:p>
            <w:pP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起重类</w:t>
            </w:r>
            <w:r>
              <w:rPr>
                <w:b/>
                <w:kern w:val="0"/>
                <w:szCs w:val="21"/>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额定起重量大于等于3吨且提升高度大于等于2米的起重设备须取得《特种设备使用登记证》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起重机械作业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pPr>
              <w:rPr>
                <w:kern w:val="0"/>
                <w:szCs w:val="21"/>
              </w:rPr>
            </w:pPr>
            <w:r>
              <w:rPr>
                <w:rFonts w:hint="eastAsia"/>
                <w:kern w:val="0"/>
                <w:szCs w:val="21"/>
              </w:rPr>
              <w:t>起重机指挥、起重机司机须取得《特种设备作业人员证》，</w:t>
            </w:r>
            <w:r>
              <w:rPr>
                <w:kern w:val="0"/>
                <w:szCs w:val="21"/>
              </w:rPr>
              <w:t>持证上岗</w:t>
            </w:r>
            <w:r>
              <w:rPr>
                <w:rFonts w:hint="eastAsia"/>
                <w:kern w:val="0"/>
                <w:szCs w:val="21"/>
              </w:rPr>
              <w:t>，并每4年复审一次；委托有资质单位进行定期检验，并将定期检验合格证置于特种设备显著位置</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r>
              <w:rPr>
                <w:kern w:val="0"/>
                <w:szCs w:val="21"/>
              </w:rPr>
              <w:t>废弃不用的起重机械应及时拆除</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pPr>
              <w:widowControl/>
              <w:spacing w:line="300" w:lineRule="exact"/>
              <w:jc w:val="left"/>
              <w:rPr>
                <w:bCs/>
                <w:kern w:val="0"/>
                <w:szCs w:val="21"/>
              </w:rPr>
            </w:pPr>
            <w:r>
              <w:rPr>
                <w:rFonts w:hint="eastAsia"/>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pPr>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w:t>
            </w:r>
            <w:r>
              <w:rPr>
                <w:rFonts w:hint="eastAsia" w:ascii="宋体" w:hAnsi="宋体"/>
                <w:kern w:val="0"/>
              </w:rPr>
              <w:t>《特种设备</w:t>
            </w:r>
            <w:r>
              <w:rPr>
                <w:rFonts w:ascii="宋体" w:hAnsi="宋体"/>
                <w:kern w:val="0"/>
              </w:rPr>
              <w:t>使用登记表</w:t>
            </w:r>
            <w:r>
              <w:rPr>
                <w:rFonts w:hint="eastAsia" w:ascii="宋体" w:hAnsi="宋体"/>
                <w:kern w:val="0"/>
              </w:rPr>
              <w:t>》</w:t>
            </w:r>
          </w:p>
        </w:tc>
        <w:tc>
          <w:tcPr>
            <w:tcW w:w="7374" w:type="dxa"/>
            <w:tcMar>
              <w:left w:w="45" w:type="dxa"/>
              <w:right w:w="45" w:type="dxa"/>
            </w:tcMar>
            <w:vAlign w:val="center"/>
          </w:tcPr>
          <w:p>
            <w:pPr>
              <w:rPr>
                <w:kern w:val="0"/>
                <w:szCs w:val="21"/>
              </w:rPr>
            </w:pPr>
            <w:r>
              <w:rPr>
                <w:rFonts w:hint="eastAsia"/>
                <w:kern w:val="0"/>
                <w:szCs w:val="21"/>
              </w:rPr>
              <w:t>压力大</w:t>
            </w:r>
            <w:r>
              <w:rPr>
                <w:kern w:val="0"/>
                <w:szCs w:val="21"/>
              </w:rPr>
              <w:t>于</w:t>
            </w:r>
            <w:r>
              <w:rPr>
                <w:rFonts w:hint="eastAsia"/>
                <w:kern w:val="0"/>
                <w:szCs w:val="21"/>
              </w:rPr>
              <w:t>等于0.1兆帕且</w:t>
            </w:r>
            <w:r>
              <w:rPr>
                <w:kern w:val="0"/>
                <w:szCs w:val="21"/>
              </w:rPr>
              <w:t>容积大于</w:t>
            </w:r>
            <w:r>
              <w:rPr>
                <w:rFonts w:hint="eastAsia"/>
                <w:kern w:val="0"/>
                <w:szCs w:val="21"/>
              </w:rPr>
              <w:t>等于30升的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w:t>
            </w:r>
            <w:r>
              <w:rPr>
                <w:rFonts w:hint="eastAsia" w:ascii="宋体" w:hAnsi="宋体"/>
                <w:kern w:val="0"/>
              </w:rPr>
              <w:t>《特种设备</w:t>
            </w:r>
            <w:r>
              <w:rPr>
                <w:rFonts w:ascii="宋体" w:hAnsi="宋体"/>
                <w:kern w:val="0"/>
              </w:rPr>
              <w:t>使用登记表</w:t>
            </w:r>
            <w:r>
              <w:rPr>
                <w:rFonts w:hint="eastAsia" w:ascii="宋体" w:hAnsi="宋体"/>
                <w:kern w:val="0"/>
              </w:rPr>
              <w:t>》《特种设备使用标志》</w:t>
            </w:r>
            <w:r>
              <w:rPr>
                <w:rFonts w:hint="eastAsia"/>
                <w:kern w:val="0"/>
                <w:szCs w:val="21"/>
              </w:rPr>
              <w:t>；设备铭牌上标明为简单压力容器不需办理</w:t>
            </w:r>
          </w:p>
        </w:tc>
        <w:tc>
          <w:tcPr>
            <w:tcW w:w="2829" w:type="dxa"/>
            <w:tcMar>
              <w:left w:w="45" w:type="dxa"/>
              <w:right w:w="45" w:type="dxa"/>
            </w:tcMar>
            <w:vAlign w:val="center"/>
          </w:tcPr>
          <w:p>
            <w:pP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压力容器作业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pPr>
              <w:widowControl/>
              <w:jc w:val="left"/>
              <w:rPr>
                <w:kern w:val="0"/>
                <w:szCs w:val="21"/>
              </w:rPr>
            </w:pPr>
            <w:r>
              <w:rPr>
                <w:rFonts w:hint="eastAsia" w:ascii="宋体" w:hAnsi="宋体"/>
                <w:kern w:val="0"/>
              </w:rPr>
              <w:t>快开门式压力容器操作人员、</w:t>
            </w:r>
            <w:r>
              <w:rPr>
                <w:rFonts w:ascii="宋体" w:hAnsi="宋体"/>
                <w:kern w:val="0"/>
              </w:rPr>
              <w:t>移动式压力容器充装</w:t>
            </w:r>
            <w:r>
              <w:rPr>
                <w:rFonts w:hint="eastAsia" w:ascii="宋体" w:hAnsi="宋体"/>
                <w:kern w:val="0"/>
              </w:rPr>
              <w:t>人员</w:t>
            </w:r>
            <w:r>
              <w:rPr>
                <w:rFonts w:ascii="宋体" w:hAnsi="宋体"/>
                <w:kern w:val="0"/>
              </w:rPr>
              <w:t>、氧舱维护保养</w:t>
            </w:r>
            <w:r>
              <w:rPr>
                <w:rFonts w:hint="eastAsia" w:ascii="宋体" w:hAnsi="宋体"/>
                <w:kern w:val="0"/>
              </w:rPr>
              <w:t>人员，</w:t>
            </w:r>
            <w:r>
              <w:rPr>
                <w:kern w:val="0"/>
                <w:szCs w:val="21"/>
              </w:rPr>
              <w:t>持证上岗</w:t>
            </w:r>
            <w:r>
              <w:rPr>
                <w:rFonts w:hint="eastAsia"/>
                <w:kern w:val="0"/>
                <w:szCs w:val="21"/>
              </w:rPr>
              <w:t>，取得《特种设备作业人员证》，并每4年复审一次；委托有资质单位进行定期检验，并将定期检验合格证置于特种设备显著位置；安全阀或压力表等附件需委托有资质单位定期校验或检定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pP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w:t>
            </w:r>
            <w:r>
              <w:rPr>
                <w:kern w:val="0"/>
                <w:szCs w:val="21"/>
              </w:rPr>
              <w:t>气罐远离火源热源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12.2.</w:t>
            </w:r>
            <w:r>
              <w:rPr>
                <w:rFonts w:hint="eastAsia"/>
                <w:kern w:val="0"/>
                <w:szCs w:val="21"/>
              </w:rPr>
              <w:t>5</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大型实验气体罐外观及附件是否完好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报告</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作业</w:t>
            </w:r>
            <w:r>
              <w:rPr>
                <w:kern w:val="0"/>
                <w:szCs w:val="21"/>
              </w:rPr>
              <w:t>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pPr>
              <w:rPr>
                <w:b/>
                <w:bCs/>
                <w:kern w:val="0"/>
                <w:szCs w:val="21"/>
              </w:rPr>
            </w:pPr>
            <w:r>
              <w:rPr>
                <w:rFonts w:hint="eastAsia"/>
                <w:kern w:val="0"/>
                <w:szCs w:val="21"/>
              </w:rPr>
              <w:t>作业人员的《特种设备作业人员证》在有效期内</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加热及制冷装置</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为防爆冰箱或经过防爆改造的冰箱，</w:t>
            </w:r>
            <w:r>
              <w:rPr>
                <w:rFonts w:hint="eastAsia"/>
                <w:kern w:val="0"/>
                <w:szCs w:val="21"/>
              </w:rPr>
              <w:t>并在</w:t>
            </w:r>
            <w:r>
              <w:rPr>
                <w:kern w:val="0"/>
                <w:szCs w:val="21"/>
              </w:rPr>
              <w:t>冰箱门上注明</w:t>
            </w:r>
            <w:r>
              <w:rPr>
                <w:rFonts w:hint="eastAsia"/>
                <w:kern w:val="0"/>
                <w:szCs w:val="21"/>
              </w:rPr>
              <w:t>是否</w:t>
            </w:r>
            <w:r>
              <w:rPr>
                <w:kern w:val="0"/>
                <w:szCs w:val="21"/>
              </w:rPr>
              <w:t>防爆</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w:t>
            </w:r>
            <w:r>
              <w:rPr>
                <w:rFonts w:hint="eastAsia"/>
                <w:kern w:val="0"/>
                <w:szCs w:val="21"/>
              </w:rPr>
              <w:t>非实验用</w:t>
            </w:r>
            <w:r>
              <w:rPr>
                <w:kern w:val="0"/>
                <w:szCs w:val="21"/>
              </w:rPr>
              <w:t>食品</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pPr>
              <w:widowControl/>
              <w:spacing w:line="300" w:lineRule="exact"/>
              <w:jc w:val="left"/>
              <w:rPr>
                <w:kern w:val="0"/>
                <w:szCs w:val="21"/>
              </w:rPr>
            </w:pPr>
            <w:r>
              <w:rPr>
                <w:kern w:val="0"/>
                <w:szCs w:val="21"/>
              </w:rPr>
              <w:t>冰箱</w:t>
            </w:r>
            <w:r>
              <w:rPr>
                <w:rFonts w:hint="eastAsia"/>
                <w:kern w:val="0"/>
                <w:szCs w:val="21"/>
              </w:rPr>
              <w:t>不</w:t>
            </w:r>
            <w:r>
              <w:rPr>
                <w:kern w:val="0"/>
                <w:szCs w:val="21"/>
              </w:rPr>
              <w:t>超期</w:t>
            </w:r>
            <w:r>
              <w:rPr>
                <w:rFonts w:hint="eastAsia"/>
                <w:kern w:val="0"/>
                <w:szCs w:val="21"/>
              </w:rPr>
              <w:t>使用</w:t>
            </w:r>
            <w:r>
              <w:rPr>
                <w:kern w:val="0"/>
                <w:szCs w:val="21"/>
              </w:rPr>
              <w:t>（一般使用期限控制为10年）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w:t>
            </w:r>
            <w:r>
              <w:rPr>
                <w:rFonts w:hint="eastAsia"/>
                <w:kern w:val="0"/>
                <w:szCs w:val="21"/>
              </w:rPr>
              <w:t>不</w:t>
            </w:r>
            <w:r>
              <w:rPr>
                <w:kern w:val="0"/>
                <w:szCs w:val="21"/>
              </w:rPr>
              <w:t>影响散热</w:t>
            </w:r>
            <w:r>
              <w:rPr>
                <w:rFonts w:hint="eastAsia"/>
                <w:kern w:val="0"/>
                <w:szCs w:val="21"/>
              </w:rPr>
              <w:t>；</w:t>
            </w:r>
            <w:r>
              <w:rPr>
                <w:kern w:val="0"/>
                <w:szCs w:val="21"/>
              </w:rPr>
              <w:t>烘箱、电阻炉</w:t>
            </w:r>
            <w:r>
              <w:rPr>
                <w:rFonts w:hint="eastAsia"/>
                <w:kern w:val="0"/>
                <w:szCs w:val="21"/>
              </w:rPr>
              <w:t>不</w:t>
            </w:r>
            <w:r>
              <w:rPr>
                <w:kern w:val="0"/>
                <w:szCs w:val="21"/>
              </w:rPr>
              <w:t>超期</w:t>
            </w:r>
            <w:r>
              <w:rPr>
                <w:rFonts w:hint="eastAsia"/>
                <w:kern w:val="0"/>
                <w:szCs w:val="21"/>
              </w:rPr>
              <w:t>使用</w:t>
            </w:r>
            <w:r>
              <w:rPr>
                <w:kern w:val="0"/>
                <w:szCs w:val="21"/>
              </w:rPr>
              <w:t>（一般使用期限控制为12年）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设备旁</w:t>
            </w:r>
            <w:r>
              <w:rPr>
                <w:kern w:val="0"/>
                <w:szCs w:val="21"/>
              </w:rPr>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pPr>
              <w:widowControl/>
              <w:spacing w:line="300" w:lineRule="exact"/>
              <w:jc w:val="left"/>
              <w:rPr>
                <w:bCs/>
                <w:kern w:val="0"/>
                <w:szCs w:val="21"/>
              </w:rPr>
            </w:pPr>
          </w:p>
        </w:tc>
      </w:tr>
      <w:tr>
        <w:tblPrEx>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使用电阻炉等</w:t>
            </w:r>
            <w:r>
              <w:rPr>
                <w:rFonts w:hint="eastAsia"/>
                <w:kern w:val="0"/>
                <w:szCs w:val="21"/>
              </w:rPr>
              <w:t>明火</w:t>
            </w:r>
            <w:r>
              <w:rPr>
                <w:kern w:val="0"/>
                <w:szCs w:val="21"/>
              </w:rPr>
              <w:t>设备时有人值守</w:t>
            </w:r>
            <w:r>
              <w:rPr>
                <w:rFonts w:hint="eastAsia"/>
                <w:kern w:val="0"/>
                <w:szCs w:val="21"/>
              </w:rPr>
              <w:t>；使用加热设备时，温度较高的实验需有人值守或有实时监控措施</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w:t>
            </w:r>
            <w:r>
              <w:rPr>
                <w:rFonts w:hint="eastAsia"/>
                <w:kern w:val="0"/>
                <w:szCs w:val="21"/>
              </w:rPr>
              <w:t>须</w:t>
            </w:r>
            <w:r>
              <w:rPr>
                <w:kern w:val="0"/>
                <w:szCs w:val="21"/>
              </w:rPr>
              <w:t>及时拔除电源插头</w:t>
            </w:r>
            <w:r>
              <w:rPr>
                <w:rFonts w:hint="eastAsia"/>
                <w:kern w:val="0"/>
                <w:szCs w:val="21"/>
              </w:rPr>
              <w:t>；不能用纸质、木质等材料自制红外灯烘箱</w:t>
            </w:r>
          </w:p>
        </w:tc>
        <w:tc>
          <w:tcPr>
            <w:tcW w:w="2829" w:type="dxa"/>
            <w:tcMar>
              <w:left w:w="45" w:type="dxa"/>
              <w:right w:w="45" w:type="dxa"/>
            </w:tcMar>
            <w:vAlign w:val="center"/>
          </w:tcPr>
          <w:p>
            <w:pPr>
              <w:widowControl/>
              <w:spacing w:line="300" w:lineRule="exact"/>
              <w:jc w:val="left"/>
              <w:rPr>
                <w:kern w:val="0"/>
                <w:szCs w:val="21"/>
              </w:rPr>
            </w:pPr>
          </w:p>
        </w:tc>
      </w:tr>
    </w:tbl>
    <w:p>
      <w:pPr>
        <w:adjustRightInd w:val="0"/>
        <w:snapToGrid w:val="0"/>
        <w:spacing w:beforeLines="50"/>
        <w:jc w:val="left"/>
      </w:pPr>
    </w:p>
    <w:sectPr>
      <w:footerReference r:id="rId3" w:type="default"/>
      <w:pgSz w:w="16838" w:h="11906" w:orient="landscape"/>
      <w:pgMar w:top="1077" w:right="1418"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ºÚÌå">
    <w:altName w:val="Arial"/>
    <w:panose1 w:val="00000000000000000000"/>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18</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38EE"/>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1AA5"/>
    <w:rsid w:val="00113C6B"/>
    <w:rsid w:val="00114A79"/>
    <w:rsid w:val="00117113"/>
    <w:rsid w:val="00117E7E"/>
    <w:rsid w:val="00120B03"/>
    <w:rsid w:val="00120EFB"/>
    <w:rsid w:val="0012236F"/>
    <w:rsid w:val="00122754"/>
    <w:rsid w:val="00122820"/>
    <w:rsid w:val="0012290E"/>
    <w:rsid w:val="0012298A"/>
    <w:rsid w:val="00123622"/>
    <w:rsid w:val="00125C51"/>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38A3"/>
    <w:rsid w:val="00195F30"/>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516"/>
    <w:rsid w:val="001E7EDD"/>
    <w:rsid w:val="001F1DB9"/>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09C"/>
    <w:rsid w:val="002336B8"/>
    <w:rsid w:val="00236EE4"/>
    <w:rsid w:val="0023790C"/>
    <w:rsid w:val="00237EBE"/>
    <w:rsid w:val="002401F5"/>
    <w:rsid w:val="00240734"/>
    <w:rsid w:val="00241712"/>
    <w:rsid w:val="00241A97"/>
    <w:rsid w:val="00242483"/>
    <w:rsid w:val="00242B32"/>
    <w:rsid w:val="00251B41"/>
    <w:rsid w:val="002542FD"/>
    <w:rsid w:val="00255794"/>
    <w:rsid w:val="00255C8C"/>
    <w:rsid w:val="00255D52"/>
    <w:rsid w:val="00260336"/>
    <w:rsid w:val="00260852"/>
    <w:rsid w:val="00261941"/>
    <w:rsid w:val="00262577"/>
    <w:rsid w:val="00263347"/>
    <w:rsid w:val="002655DC"/>
    <w:rsid w:val="00266A2B"/>
    <w:rsid w:val="002709C1"/>
    <w:rsid w:val="002717FD"/>
    <w:rsid w:val="00271D7A"/>
    <w:rsid w:val="002722D6"/>
    <w:rsid w:val="00275E3C"/>
    <w:rsid w:val="00276BD3"/>
    <w:rsid w:val="00276E06"/>
    <w:rsid w:val="00277FBA"/>
    <w:rsid w:val="00281C08"/>
    <w:rsid w:val="0028289C"/>
    <w:rsid w:val="00282D6E"/>
    <w:rsid w:val="00283339"/>
    <w:rsid w:val="0028397F"/>
    <w:rsid w:val="0028528B"/>
    <w:rsid w:val="00285831"/>
    <w:rsid w:val="00290798"/>
    <w:rsid w:val="002914AD"/>
    <w:rsid w:val="00291F5A"/>
    <w:rsid w:val="00297386"/>
    <w:rsid w:val="002A0679"/>
    <w:rsid w:val="002A1F9C"/>
    <w:rsid w:val="002A2A2E"/>
    <w:rsid w:val="002A35AC"/>
    <w:rsid w:val="002A6CBD"/>
    <w:rsid w:val="002A79BC"/>
    <w:rsid w:val="002B3ACD"/>
    <w:rsid w:val="002B60D7"/>
    <w:rsid w:val="002B61FB"/>
    <w:rsid w:val="002C0048"/>
    <w:rsid w:val="002C13EF"/>
    <w:rsid w:val="002C17E5"/>
    <w:rsid w:val="002C1E7F"/>
    <w:rsid w:val="002C350E"/>
    <w:rsid w:val="002C3C60"/>
    <w:rsid w:val="002C3D44"/>
    <w:rsid w:val="002C3FB7"/>
    <w:rsid w:val="002C4529"/>
    <w:rsid w:val="002C586F"/>
    <w:rsid w:val="002C5967"/>
    <w:rsid w:val="002C6B5B"/>
    <w:rsid w:val="002C7C8E"/>
    <w:rsid w:val="002D2063"/>
    <w:rsid w:val="002D20B1"/>
    <w:rsid w:val="002D216D"/>
    <w:rsid w:val="002D22B6"/>
    <w:rsid w:val="002D2C5E"/>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602"/>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1E9D"/>
    <w:rsid w:val="00382021"/>
    <w:rsid w:val="00384A4D"/>
    <w:rsid w:val="00384F21"/>
    <w:rsid w:val="00387213"/>
    <w:rsid w:val="00387D20"/>
    <w:rsid w:val="003910BA"/>
    <w:rsid w:val="00391CDC"/>
    <w:rsid w:val="003928D6"/>
    <w:rsid w:val="0039330B"/>
    <w:rsid w:val="00394BF6"/>
    <w:rsid w:val="003968EA"/>
    <w:rsid w:val="003979AA"/>
    <w:rsid w:val="003A108E"/>
    <w:rsid w:val="003A16FA"/>
    <w:rsid w:val="003A1BC1"/>
    <w:rsid w:val="003A30A2"/>
    <w:rsid w:val="003A363C"/>
    <w:rsid w:val="003A4EDD"/>
    <w:rsid w:val="003A6E6B"/>
    <w:rsid w:val="003A7A18"/>
    <w:rsid w:val="003A7E61"/>
    <w:rsid w:val="003B1481"/>
    <w:rsid w:val="003B319C"/>
    <w:rsid w:val="003B6FBC"/>
    <w:rsid w:val="003B7D8E"/>
    <w:rsid w:val="003C039B"/>
    <w:rsid w:val="003C22F8"/>
    <w:rsid w:val="003C2A42"/>
    <w:rsid w:val="003C44F0"/>
    <w:rsid w:val="003C6ABB"/>
    <w:rsid w:val="003C7F9A"/>
    <w:rsid w:val="003D175F"/>
    <w:rsid w:val="003D3C99"/>
    <w:rsid w:val="003D43C4"/>
    <w:rsid w:val="003D6177"/>
    <w:rsid w:val="003E49C0"/>
    <w:rsid w:val="003E5997"/>
    <w:rsid w:val="003E6F3F"/>
    <w:rsid w:val="003E78ED"/>
    <w:rsid w:val="003F2694"/>
    <w:rsid w:val="003F3BD2"/>
    <w:rsid w:val="003F3C46"/>
    <w:rsid w:val="003F4D88"/>
    <w:rsid w:val="003F5BA3"/>
    <w:rsid w:val="003F74C2"/>
    <w:rsid w:val="003F7839"/>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61B"/>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2034"/>
    <w:rsid w:val="004735DF"/>
    <w:rsid w:val="0047428E"/>
    <w:rsid w:val="0047457E"/>
    <w:rsid w:val="004753DB"/>
    <w:rsid w:val="00475423"/>
    <w:rsid w:val="004805DC"/>
    <w:rsid w:val="00481550"/>
    <w:rsid w:val="00482197"/>
    <w:rsid w:val="004826F7"/>
    <w:rsid w:val="00482F12"/>
    <w:rsid w:val="00486088"/>
    <w:rsid w:val="00486E81"/>
    <w:rsid w:val="00487029"/>
    <w:rsid w:val="004927BE"/>
    <w:rsid w:val="00494721"/>
    <w:rsid w:val="0049526A"/>
    <w:rsid w:val="00495560"/>
    <w:rsid w:val="00496A2B"/>
    <w:rsid w:val="0049748F"/>
    <w:rsid w:val="004A0637"/>
    <w:rsid w:val="004A064E"/>
    <w:rsid w:val="004A088C"/>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1C"/>
    <w:rsid w:val="004E04BA"/>
    <w:rsid w:val="004E052F"/>
    <w:rsid w:val="004E140E"/>
    <w:rsid w:val="004E1721"/>
    <w:rsid w:val="004E53B0"/>
    <w:rsid w:val="004E5633"/>
    <w:rsid w:val="004E60DC"/>
    <w:rsid w:val="004E72C7"/>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5C5"/>
    <w:rsid w:val="0052796F"/>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6E90"/>
    <w:rsid w:val="00577230"/>
    <w:rsid w:val="00577DFD"/>
    <w:rsid w:val="00581600"/>
    <w:rsid w:val="0058248B"/>
    <w:rsid w:val="00583D75"/>
    <w:rsid w:val="0058405E"/>
    <w:rsid w:val="00584886"/>
    <w:rsid w:val="0058656F"/>
    <w:rsid w:val="0059221F"/>
    <w:rsid w:val="00592A21"/>
    <w:rsid w:val="00596975"/>
    <w:rsid w:val="00596BD1"/>
    <w:rsid w:val="0059799E"/>
    <w:rsid w:val="00597C01"/>
    <w:rsid w:val="005A0E14"/>
    <w:rsid w:val="005A1751"/>
    <w:rsid w:val="005A1B98"/>
    <w:rsid w:val="005A29E8"/>
    <w:rsid w:val="005A50C3"/>
    <w:rsid w:val="005A5863"/>
    <w:rsid w:val="005A5FE9"/>
    <w:rsid w:val="005A6550"/>
    <w:rsid w:val="005A6D62"/>
    <w:rsid w:val="005A78E8"/>
    <w:rsid w:val="005B00CF"/>
    <w:rsid w:val="005B18DE"/>
    <w:rsid w:val="005B4A77"/>
    <w:rsid w:val="005B4DD4"/>
    <w:rsid w:val="005B4F7D"/>
    <w:rsid w:val="005B6D7D"/>
    <w:rsid w:val="005C069D"/>
    <w:rsid w:val="005C1A32"/>
    <w:rsid w:val="005C1C28"/>
    <w:rsid w:val="005C263D"/>
    <w:rsid w:val="005C3945"/>
    <w:rsid w:val="005C505C"/>
    <w:rsid w:val="005C79FC"/>
    <w:rsid w:val="005D1D68"/>
    <w:rsid w:val="005D3A48"/>
    <w:rsid w:val="005D3E53"/>
    <w:rsid w:val="005D47BC"/>
    <w:rsid w:val="005D70A6"/>
    <w:rsid w:val="005E4161"/>
    <w:rsid w:val="005E52F7"/>
    <w:rsid w:val="005E6842"/>
    <w:rsid w:val="005E68EB"/>
    <w:rsid w:val="005F1A8A"/>
    <w:rsid w:val="005F23A3"/>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210"/>
    <w:rsid w:val="00645E46"/>
    <w:rsid w:val="006509D7"/>
    <w:rsid w:val="00651AD6"/>
    <w:rsid w:val="006522DF"/>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3490"/>
    <w:rsid w:val="006A3E6D"/>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55F"/>
    <w:rsid w:val="006C5758"/>
    <w:rsid w:val="006C5D31"/>
    <w:rsid w:val="006C7A24"/>
    <w:rsid w:val="006D050C"/>
    <w:rsid w:val="006D09AB"/>
    <w:rsid w:val="006D0CB0"/>
    <w:rsid w:val="006D10F6"/>
    <w:rsid w:val="006D1915"/>
    <w:rsid w:val="006D2B49"/>
    <w:rsid w:val="006D7EC6"/>
    <w:rsid w:val="006E1A4E"/>
    <w:rsid w:val="006E208B"/>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33C"/>
    <w:rsid w:val="00705A27"/>
    <w:rsid w:val="007064EA"/>
    <w:rsid w:val="00707993"/>
    <w:rsid w:val="00711986"/>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71BC9"/>
    <w:rsid w:val="00775869"/>
    <w:rsid w:val="00776169"/>
    <w:rsid w:val="00776747"/>
    <w:rsid w:val="00776D81"/>
    <w:rsid w:val="00776EB4"/>
    <w:rsid w:val="007774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0AC"/>
    <w:rsid w:val="007A3799"/>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539D"/>
    <w:rsid w:val="007C5A7D"/>
    <w:rsid w:val="007C68DA"/>
    <w:rsid w:val="007D141A"/>
    <w:rsid w:val="007D283A"/>
    <w:rsid w:val="007D33EE"/>
    <w:rsid w:val="007D3994"/>
    <w:rsid w:val="007D440D"/>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3F99"/>
    <w:rsid w:val="007F3FBD"/>
    <w:rsid w:val="007F43AE"/>
    <w:rsid w:val="007F4C75"/>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0875"/>
    <w:rsid w:val="00837F34"/>
    <w:rsid w:val="00840781"/>
    <w:rsid w:val="00840D64"/>
    <w:rsid w:val="008434B7"/>
    <w:rsid w:val="008449EC"/>
    <w:rsid w:val="00844FFD"/>
    <w:rsid w:val="00845B4A"/>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1BA"/>
    <w:rsid w:val="00882299"/>
    <w:rsid w:val="00884271"/>
    <w:rsid w:val="008859D3"/>
    <w:rsid w:val="00892950"/>
    <w:rsid w:val="00895576"/>
    <w:rsid w:val="008960D5"/>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1325"/>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9DB"/>
    <w:rsid w:val="00906155"/>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508DE"/>
    <w:rsid w:val="00951CB9"/>
    <w:rsid w:val="00952C5F"/>
    <w:rsid w:val="0095331B"/>
    <w:rsid w:val="00953912"/>
    <w:rsid w:val="00954740"/>
    <w:rsid w:val="00957918"/>
    <w:rsid w:val="00960857"/>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12A6"/>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1AA7"/>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151E"/>
    <w:rsid w:val="00A12478"/>
    <w:rsid w:val="00A13A9E"/>
    <w:rsid w:val="00A1411D"/>
    <w:rsid w:val="00A14167"/>
    <w:rsid w:val="00A14328"/>
    <w:rsid w:val="00A159ED"/>
    <w:rsid w:val="00A1614E"/>
    <w:rsid w:val="00A167FC"/>
    <w:rsid w:val="00A210EE"/>
    <w:rsid w:val="00A217AB"/>
    <w:rsid w:val="00A22102"/>
    <w:rsid w:val="00A23526"/>
    <w:rsid w:val="00A23DDA"/>
    <w:rsid w:val="00A24540"/>
    <w:rsid w:val="00A24A15"/>
    <w:rsid w:val="00A27181"/>
    <w:rsid w:val="00A317C9"/>
    <w:rsid w:val="00A3284D"/>
    <w:rsid w:val="00A3405F"/>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51D"/>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A76"/>
    <w:rsid w:val="00AB7C20"/>
    <w:rsid w:val="00AC25B9"/>
    <w:rsid w:val="00AC337D"/>
    <w:rsid w:val="00AC408D"/>
    <w:rsid w:val="00AC4128"/>
    <w:rsid w:val="00AC4733"/>
    <w:rsid w:val="00AD0385"/>
    <w:rsid w:val="00AD09A4"/>
    <w:rsid w:val="00AD22A7"/>
    <w:rsid w:val="00AD24CB"/>
    <w:rsid w:val="00AD316C"/>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553F"/>
    <w:rsid w:val="00B06139"/>
    <w:rsid w:val="00B1169C"/>
    <w:rsid w:val="00B12170"/>
    <w:rsid w:val="00B122FA"/>
    <w:rsid w:val="00B14DB8"/>
    <w:rsid w:val="00B15A9C"/>
    <w:rsid w:val="00B17AE3"/>
    <w:rsid w:val="00B24420"/>
    <w:rsid w:val="00B2586B"/>
    <w:rsid w:val="00B25955"/>
    <w:rsid w:val="00B261C1"/>
    <w:rsid w:val="00B278FC"/>
    <w:rsid w:val="00B27EE0"/>
    <w:rsid w:val="00B30727"/>
    <w:rsid w:val="00B317FF"/>
    <w:rsid w:val="00B345A1"/>
    <w:rsid w:val="00B4012E"/>
    <w:rsid w:val="00B432A7"/>
    <w:rsid w:val="00B45003"/>
    <w:rsid w:val="00B5110F"/>
    <w:rsid w:val="00B51548"/>
    <w:rsid w:val="00B51606"/>
    <w:rsid w:val="00B51EA1"/>
    <w:rsid w:val="00B52EF3"/>
    <w:rsid w:val="00B548A4"/>
    <w:rsid w:val="00B54F4B"/>
    <w:rsid w:val="00B55C1F"/>
    <w:rsid w:val="00B56490"/>
    <w:rsid w:val="00B5652A"/>
    <w:rsid w:val="00B5681B"/>
    <w:rsid w:val="00B57A29"/>
    <w:rsid w:val="00B613C4"/>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41A9"/>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0295"/>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1A6"/>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1607"/>
    <w:rsid w:val="00C6305C"/>
    <w:rsid w:val="00C648EB"/>
    <w:rsid w:val="00C70A82"/>
    <w:rsid w:val="00C70B76"/>
    <w:rsid w:val="00C72075"/>
    <w:rsid w:val="00C7249A"/>
    <w:rsid w:val="00C74C81"/>
    <w:rsid w:val="00C750EA"/>
    <w:rsid w:val="00C75D02"/>
    <w:rsid w:val="00C76811"/>
    <w:rsid w:val="00C80B5A"/>
    <w:rsid w:val="00C82B59"/>
    <w:rsid w:val="00C84645"/>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8C5"/>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042"/>
    <w:rsid w:val="00D143D8"/>
    <w:rsid w:val="00D14B07"/>
    <w:rsid w:val="00D16419"/>
    <w:rsid w:val="00D17573"/>
    <w:rsid w:val="00D17BDF"/>
    <w:rsid w:val="00D227F2"/>
    <w:rsid w:val="00D2529C"/>
    <w:rsid w:val="00D30368"/>
    <w:rsid w:val="00D3050D"/>
    <w:rsid w:val="00D30622"/>
    <w:rsid w:val="00D30B1E"/>
    <w:rsid w:val="00D30E20"/>
    <w:rsid w:val="00D31C91"/>
    <w:rsid w:val="00D3201A"/>
    <w:rsid w:val="00D3442C"/>
    <w:rsid w:val="00D35D36"/>
    <w:rsid w:val="00D36E24"/>
    <w:rsid w:val="00D373A4"/>
    <w:rsid w:val="00D474FF"/>
    <w:rsid w:val="00D50079"/>
    <w:rsid w:val="00D50D3D"/>
    <w:rsid w:val="00D50DCB"/>
    <w:rsid w:val="00D51D76"/>
    <w:rsid w:val="00D529D9"/>
    <w:rsid w:val="00D555F4"/>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12A2"/>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0EC"/>
    <w:rsid w:val="00D97E7A"/>
    <w:rsid w:val="00DA13D9"/>
    <w:rsid w:val="00DA318B"/>
    <w:rsid w:val="00DA49ED"/>
    <w:rsid w:val="00DA5D6A"/>
    <w:rsid w:val="00DB0DD0"/>
    <w:rsid w:val="00DB0E1C"/>
    <w:rsid w:val="00DB22A6"/>
    <w:rsid w:val="00DB2981"/>
    <w:rsid w:val="00DB3EDD"/>
    <w:rsid w:val="00DB44BF"/>
    <w:rsid w:val="00DB4693"/>
    <w:rsid w:val="00DB4FB2"/>
    <w:rsid w:val="00DB5035"/>
    <w:rsid w:val="00DB584D"/>
    <w:rsid w:val="00DB6567"/>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C55"/>
    <w:rsid w:val="00E03E13"/>
    <w:rsid w:val="00E04B09"/>
    <w:rsid w:val="00E05E10"/>
    <w:rsid w:val="00E06D4E"/>
    <w:rsid w:val="00E06FA6"/>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E22"/>
    <w:rsid w:val="00E72F5F"/>
    <w:rsid w:val="00E746E0"/>
    <w:rsid w:val="00E755E6"/>
    <w:rsid w:val="00E757FD"/>
    <w:rsid w:val="00E75917"/>
    <w:rsid w:val="00E83421"/>
    <w:rsid w:val="00E857AD"/>
    <w:rsid w:val="00E859D0"/>
    <w:rsid w:val="00E914E0"/>
    <w:rsid w:val="00E9262B"/>
    <w:rsid w:val="00E93DE4"/>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682"/>
    <w:rsid w:val="00ED793B"/>
    <w:rsid w:val="00EE2D7F"/>
    <w:rsid w:val="00EE31CB"/>
    <w:rsid w:val="00EE3F04"/>
    <w:rsid w:val="00EE6178"/>
    <w:rsid w:val="00EE6541"/>
    <w:rsid w:val="00EE6C14"/>
    <w:rsid w:val="00EE7424"/>
    <w:rsid w:val="00EE7F4E"/>
    <w:rsid w:val="00EF0CC4"/>
    <w:rsid w:val="00EF340F"/>
    <w:rsid w:val="00EF4142"/>
    <w:rsid w:val="00EF533D"/>
    <w:rsid w:val="00EF5FC4"/>
    <w:rsid w:val="00EF6339"/>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47FB"/>
    <w:rsid w:val="00F60E6F"/>
    <w:rsid w:val="00F62C4C"/>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0BC6"/>
    <w:rsid w:val="00FA22D0"/>
    <w:rsid w:val="00FA4182"/>
    <w:rsid w:val="00FA49AE"/>
    <w:rsid w:val="00FA4EFD"/>
    <w:rsid w:val="00FA56ED"/>
    <w:rsid w:val="00FA6352"/>
    <w:rsid w:val="00FA720C"/>
    <w:rsid w:val="00FA7BA5"/>
    <w:rsid w:val="00FB00D1"/>
    <w:rsid w:val="00FB1F0B"/>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49623F8"/>
    <w:rsid w:val="05B95F1E"/>
    <w:rsid w:val="086E1568"/>
    <w:rsid w:val="09630209"/>
    <w:rsid w:val="0D9C70D9"/>
    <w:rsid w:val="0DE7465B"/>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F7A734E"/>
    <w:rsid w:val="33CE6340"/>
    <w:rsid w:val="37672FB0"/>
    <w:rsid w:val="381C5B0D"/>
    <w:rsid w:val="3A8F55CD"/>
    <w:rsid w:val="3B537E3D"/>
    <w:rsid w:val="40482E6A"/>
    <w:rsid w:val="463F2F6A"/>
    <w:rsid w:val="47C13C63"/>
    <w:rsid w:val="4DDB6F48"/>
    <w:rsid w:val="4DF0361D"/>
    <w:rsid w:val="4E9F73FB"/>
    <w:rsid w:val="5172570A"/>
    <w:rsid w:val="52C771B4"/>
    <w:rsid w:val="53980F62"/>
    <w:rsid w:val="54731278"/>
    <w:rsid w:val="54E86EE4"/>
    <w:rsid w:val="55AC4B21"/>
    <w:rsid w:val="56E9380E"/>
    <w:rsid w:val="57322C6A"/>
    <w:rsid w:val="5AA727CA"/>
    <w:rsid w:val="5CF01AC2"/>
    <w:rsid w:val="5D4E5899"/>
    <w:rsid w:val="60895EF6"/>
    <w:rsid w:val="612748DD"/>
    <w:rsid w:val="61E51EA2"/>
    <w:rsid w:val="63F60F25"/>
    <w:rsid w:val="65B37642"/>
    <w:rsid w:val="665A0FEA"/>
    <w:rsid w:val="68CE4C4D"/>
    <w:rsid w:val="69955344"/>
    <w:rsid w:val="6B5A63A7"/>
    <w:rsid w:val="6B6507A9"/>
    <w:rsid w:val="6F376AE5"/>
    <w:rsid w:val="6F581245"/>
    <w:rsid w:val="70E015B7"/>
    <w:rsid w:val="747B6D6D"/>
    <w:rsid w:val="75171DCD"/>
    <w:rsid w:val="7A7D47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0"/>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0"/>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Char"/>
    <w:link w:val="2"/>
    <w:qFormat/>
    <w:locked/>
    <w:uiPriority w:val="0"/>
    <w:rPr>
      <w:rFonts w:cs="Times New Roman"/>
      <w:b/>
      <w:bCs/>
      <w:kern w:val="44"/>
      <w:sz w:val="44"/>
      <w:szCs w:val="44"/>
    </w:rPr>
  </w:style>
  <w:style w:type="character" w:customStyle="1" w:styleId="38">
    <w:name w:val="正文文本缩进 Char"/>
    <w:link w:val="8"/>
    <w:qFormat/>
    <w:locked/>
    <w:uiPriority w:val="0"/>
    <w:rPr>
      <w:rFonts w:ascii="仿宋_GB2312" w:eastAsia="仿宋_GB2312" w:cs="Times New Roman"/>
      <w:kern w:val="2"/>
      <w:sz w:val="32"/>
    </w:rPr>
  </w:style>
  <w:style w:type="character" w:customStyle="1" w:styleId="39">
    <w:name w:val="标题 2 Char"/>
    <w:link w:val="3"/>
    <w:qFormat/>
    <w:locked/>
    <w:uiPriority w:val="0"/>
    <w:rPr>
      <w:rFonts w:ascii="宋体" w:eastAsia="宋体" w:cs="Times New Roman"/>
      <w:b/>
      <w:bCs/>
      <w:sz w:val="36"/>
      <w:szCs w:val="36"/>
    </w:rPr>
  </w:style>
  <w:style w:type="character" w:customStyle="1" w:styleId="40">
    <w:name w:val="正文文本缩进 3 Char"/>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Char"/>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Char"/>
    <w:link w:val="9"/>
    <w:qFormat/>
    <w:locked/>
    <w:uiPriority w:val="0"/>
    <w:rPr>
      <w:rFonts w:ascii="宋体" w:hAnsi="Courier New" w:cs="Times New Roman"/>
      <w:kern w:val="2"/>
      <w:sz w:val="21"/>
    </w:rPr>
  </w:style>
  <w:style w:type="character" w:customStyle="1" w:styleId="45">
    <w:name w:val="批注文字 Char"/>
    <w:link w:val="6"/>
    <w:qFormat/>
    <w:locked/>
    <w:uiPriority w:val="0"/>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Char"/>
    <w:link w:val="14"/>
    <w:qFormat/>
    <w:locked/>
    <w:uiPriority w:val="0"/>
    <w:rPr>
      <w:rFonts w:cs="Times New Roman"/>
      <w:sz w:val="18"/>
      <w:szCs w:val="18"/>
    </w:rPr>
  </w:style>
  <w:style w:type="character" w:customStyle="1" w:styleId="48">
    <w:name w:val="日期 Char"/>
    <w:link w:val="10"/>
    <w:qFormat/>
    <w:locked/>
    <w:uiPriority w:val="0"/>
    <w:rPr>
      <w:rFonts w:cs="Times New Roman"/>
      <w:sz w:val="24"/>
      <w:szCs w:val="24"/>
    </w:rPr>
  </w:style>
  <w:style w:type="character" w:customStyle="1" w:styleId="49">
    <w:name w:val="正文文本 Char"/>
    <w:link w:val="7"/>
    <w:qFormat/>
    <w:locked/>
    <w:uiPriority w:val="0"/>
    <w:rPr>
      <w:rFonts w:eastAsia="仿宋_GB2312" w:cs="Times New Roman"/>
      <w:kern w:val="2"/>
      <w:sz w:val="28"/>
    </w:rPr>
  </w:style>
  <w:style w:type="character" w:customStyle="1" w:styleId="50">
    <w:name w:val="页脚 Char"/>
    <w:link w:val="13"/>
    <w:qFormat/>
    <w:locked/>
    <w:uiPriority w:val="99"/>
    <w:rPr>
      <w:rFonts w:cs="Times New Roman"/>
      <w:sz w:val="18"/>
      <w:szCs w:val="18"/>
    </w:rPr>
  </w:style>
  <w:style w:type="character" w:customStyle="1" w:styleId="51">
    <w:name w:val="文档结构图 Char"/>
    <w:link w:val="5"/>
    <w:qFormat/>
    <w:locked/>
    <w:uiPriority w:val="0"/>
    <w:rPr>
      <w:rFonts w:ascii="宋体" w:cs="Times New Roman"/>
      <w:sz w:val="18"/>
      <w:szCs w:val="18"/>
    </w:rPr>
  </w:style>
  <w:style w:type="character" w:customStyle="1" w:styleId="52">
    <w:name w:val="批注主题 Char"/>
    <w:link w:val="17"/>
    <w:semiHidden/>
    <w:qFormat/>
    <w:locked/>
    <w:uiPriority w:val="0"/>
    <w:rPr>
      <w:rFonts w:ascii="Calibri" w:hAnsi="Calibri" w:cs="Calibri"/>
      <w:b/>
      <w:bCs/>
      <w:kern w:val="2"/>
      <w:sz w:val="21"/>
      <w:szCs w:val="21"/>
    </w:rPr>
  </w:style>
  <w:style w:type="character" w:customStyle="1" w:styleId="53">
    <w:name w:val="批注框文本 Char"/>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sdu</Company>
  <Pages>18</Pages>
  <Words>2375</Words>
  <Characters>13541</Characters>
  <Lines>112</Lines>
  <Paragraphs>31</Paragraphs>
  <TotalTime>1</TotalTime>
  <ScaleCrop>false</ScaleCrop>
  <LinksUpToDate>false</LinksUpToDate>
  <CharactersWithSpaces>15885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2021-04-21T00:48:00Z</dcterms:created>
  <dc:creator>LIU</dc:creator>
  <cp:lastModifiedBy>qiuhui</cp:lastModifiedBy>
  <cp:lastPrinted>2021-03-31T01:59:00Z</cp:lastPrinted>
  <dcterms:modified xsi:type="dcterms:W3CDTF">2021-04-24T14:59:08Z</dcterms:modified>
  <dc: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4F9CAD1D17854D8B8EE756686A277007</vt:lpwstr>
  </property>
</Properties>
</file>