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b w:val="0"/>
          <w:i w:val="0"/>
          <w:caps w:val="0"/>
          <w:color w:val="333333"/>
          <w:spacing w:val="0"/>
          <w:sz w:val="44"/>
          <w:szCs w:val="44"/>
          <w:bdr w:val="none" w:color="auto" w:sz="0" w:space="0"/>
          <w:shd w:val="clear" w:fill="FFFFFF"/>
        </w:rPr>
        <w:t xml:space="preserve">关于公布2020届本科生校级优秀毕业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Theme="majorEastAsia" w:hAnsiTheme="majorEastAsia" w:eastAsiaTheme="majorEastAsia" w:cstheme="majorEastAsia"/>
          <w:i w:val="0"/>
          <w:caps w:val="0"/>
          <w:color w:val="000000"/>
          <w:spacing w:val="0"/>
          <w:sz w:val="44"/>
          <w:szCs w:val="44"/>
        </w:rPr>
      </w:pPr>
      <w:r>
        <w:rPr>
          <w:rFonts w:hint="eastAsia" w:asciiTheme="majorEastAsia" w:hAnsiTheme="majorEastAsia" w:eastAsiaTheme="majorEastAsia" w:cstheme="majorEastAsia"/>
          <w:b w:val="0"/>
          <w:i w:val="0"/>
          <w:caps w:val="0"/>
          <w:color w:val="333333"/>
          <w:spacing w:val="0"/>
          <w:sz w:val="44"/>
          <w:szCs w:val="44"/>
          <w:bdr w:val="none" w:color="auto" w:sz="0" w:space="0"/>
          <w:shd w:val="clear" w:fill="FFFFFF"/>
        </w:rPr>
        <w:t>论文（设计）评选结果的通知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default" w:ascii="Calibri" w:hAnsi="Calibri" w:cs="Calibri"/>
          <w:i w:val="0"/>
          <w:caps w:val="0"/>
          <w:color w:val="000000"/>
          <w:spacing w:val="0"/>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经二级学院评选推荐,教务处审核，确定《论科塔萨尔短篇小说集《万火归一》的空间叙事》等77篇毕业论文（设计）为泉州师范学院2020届本科生校级优秀毕业论文（设计）。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479" w:right="0" w:hanging="19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附件：泉州师范学院2020届校级优秀毕业论文(设计)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2479" w:right="0" w:hanging="19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一览表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840" w:firstLine="640"/>
        <w:jc w:val="righ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教务处</w:t>
      </w:r>
      <w:bookmarkStart w:id="0" w:name="_GoBack"/>
      <w:bookmarkEnd w:id="0"/>
    </w:p>
    <w:tbl>
      <w:tblPr>
        <w:tblStyle w:val="3"/>
        <w:tblpPr w:leftFromText="180" w:rightFromText="180" w:vertAnchor="text" w:horzAnchor="page" w:tblpX="584" w:tblpY="962"/>
        <w:tblOverlap w:val="never"/>
        <w:tblW w:w="10590" w:type="dxa"/>
        <w:tblInd w:w="0" w:type="dxa"/>
        <w:shd w:val="clear" w:color="auto" w:fill="auto"/>
        <w:tblLayout w:type="autofit"/>
        <w:tblCellMar>
          <w:top w:w="0" w:type="dxa"/>
          <w:left w:w="0" w:type="dxa"/>
          <w:bottom w:w="0" w:type="dxa"/>
          <w:right w:w="0" w:type="dxa"/>
        </w:tblCellMar>
      </w:tblPr>
      <w:tblGrid>
        <w:gridCol w:w="626"/>
        <w:gridCol w:w="786"/>
        <w:gridCol w:w="1506"/>
        <w:gridCol w:w="972"/>
        <w:gridCol w:w="5221"/>
        <w:gridCol w:w="839"/>
        <w:gridCol w:w="640"/>
      </w:tblGrid>
      <w:tr>
        <w:tblPrEx>
          <w:shd w:val="clear" w:color="auto" w:fill="auto"/>
          <w:tblCellMar>
            <w:top w:w="0" w:type="dxa"/>
            <w:left w:w="0" w:type="dxa"/>
            <w:bottom w:w="0" w:type="dxa"/>
            <w:right w:w="0" w:type="dxa"/>
          </w:tblCellMar>
        </w:tblPrEx>
        <w:trPr>
          <w:trHeight w:val="920" w:hRule="atLeast"/>
        </w:trPr>
        <w:tc>
          <w:tcPr>
            <w:tcW w:w="10590"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泉州师范学院2020届校级优秀毕业论文(设计)一览表</w:t>
            </w:r>
          </w:p>
        </w:tc>
      </w:tr>
      <w:tr>
        <w:tblPrEx>
          <w:tblCellMar>
            <w:top w:w="0" w:type="dxa"/>
            <w:left w:w="0" w:type="dxa"/>
            <w:bottom w:w="0" w:type="dxa"/>
            <w:right w:w="0" w:type="dxa"/>
          </w:tblCellMar>
        </w:tblPrEx>
        <w:trPr>
          <w:trHeight w:val="58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序号</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专业</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姓名</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题目</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指导 老师</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类别</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汉语言文学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马安然</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论科塔萨尔短篇小说集《万火归一》的空间叙事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郑政</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汉语言文学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黄晓敏</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莫迪亚诺小说的存在主义解读——以《凄凉别墅》《暗店街》《青春咖啡馆》为例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吴春兰</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汉语国际教育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胡雅慧</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新时代国际汉语教师讲好中国故事的新思考——以《中国传统文化与现代生活》为例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王卓群</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6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广播电视学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黄子晴施敏瑜</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《微熏之恋》系列广告片</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王美清</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广告学（闽台合作）</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罗必翔</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伍继加恩——福建联通年度品牌视频作品</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宋天瀚</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广告学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陈漳毅</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让未来生长</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戴朝阳</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书法学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洪玲玲</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《论三晋古玺印风形成的因素》</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王守民</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书法学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马天月</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董其昌“字须熟后生”问题与书法实践</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王守民</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文传</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历史学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郭航</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从《一代华族论》看板垣退助晚年民权思想</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黄友泉</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物信</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物理学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杨木林</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以NPB为空穴传输层制备蓝色磷光OLED器件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杨惠山</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6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物信</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通信工程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张伟鑫</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基于建设性干扰的大规模多用户MIMO系统1-bit预编码器设计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袁怡圃</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物信</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电子信息科学与技术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卢文杰</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防堵塞翻斗式雨量测量仪设计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陈木生</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数学与应用数学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张景</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时间序列的聚类分析</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杨昔阳</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信息管理与信息系统</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邓吕嫣</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基于CRNN和CTC的九江方言语音识别App的设计与实现</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曾蔚</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计算机科学与技术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严和泓</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基于专利的竞争对手分析——以拉链行业为例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曾玉珠</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数计</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物联网工程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郝健祥</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基于5G+物联网的校车监测调度管理系统</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叶宇光</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资环</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地理科学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林宇晨</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初中地理学力的培育探索</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李子蓉</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资环</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环境科学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王玲玲</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江西省臭氧污染特征及防治措施</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孙境蔚</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19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资环</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人文地理与城乡规划</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黄丽丽</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基于在线评论的民宿顾客满意度研究——以鼓浪屿为例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董斌彬</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化工</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化学工程与工艺</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陈硕苑</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8000m</w:t>
            </w:r>
            <w:r>
              <w:rPr>
                <w:rStyle w:val="5"/>
                <w:rFonts w:hint="eastAsia" w:ascii="仿宋" w:hAnsi="仿宋" w:eastAsia="仿宋" w:cs="仿宋"/>
                <w:sz w:val="32"/>
                <w:szCs w:val="32"/>
                <w:lang w:val="en-US" w:eastAsia="zh-CN" w:bidi="ar"/>
              </w:rPr>
              <w:t>3</w:t>
            </w:r>
            <w:r>
              <w:rPr>
                <w:rStyle w:val="6"/>
                <w:rFonts w:hint="eastAsia" w:ascii="仿宋" w:hAnsi="仿宋" w:eastAsia="仿宋" w:cs="仿宋"/>
                <w:sz w:val="32"/>
                <w:szCs w:val="32"/>
                <w:lang w:val="en-US" w:eastAsia="zh-CN" w:bidi="ar"/>
              </w:rPr>
              <w:t>真空球罐设计及外压稳定的有限元分析</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高剑虹</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66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化工</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化学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魏晓磊</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一种 3,3'-（乙烷-1，2–二亚基）双（二氢吲哚-2-酮）共聚物的合成及在有机薄膜晶体管的应用</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陈少云</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化工</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材料化学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胡旭</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可生物降解发泡材料的制备及性能研究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罗水源</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化工</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材料化学（闽台合作）</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周永昌</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新型 PNIPAM 嵌段共聚物的合成与性能研究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吴清实</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化工</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制药工程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袁昕</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 xml:space="preserve"> 年产 3 亿粒诺氟沙星胶囊车间工艺设计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吕凤娇</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海洋</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海洋技术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王书宇</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西北印度洋Carlsberg脊热液区可培养硫氧化细菌的多样性</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黄晓舟</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海洋</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生物技术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王学文</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枯叶蛱蝶触角转录组测序分析及其嗅觉功能基因的挖掘</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蒋国芳</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海洋</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生物科学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雷文莺</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武夷山不同景点土壤真核生物多样性特征分析</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张秋芳</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84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海洋</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食品科学与工程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汤璧蔚</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可口革囊星虫体壁凝胶形成的影响因素和主要加工辅料对可口革囊星虫体壁肌原纤维蛋白及其凝胶结构的影响</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王芳</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国际经济与贸易</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张家丽</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中美贸易摩擦对中国外贸的影响及对策分析</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黄身发</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市场营销</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翁婉婷</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“信息茧房”效应下个性化推荐对消费者预期后悔的影响研究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张少卿</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金融工程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邝小平</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基于不同波动率模型的上证50ETF期权定价研究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吴庆春</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文化产业管理</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苏思敏</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南宁武鸣“三月三歌圩”文化旅游开发路径研究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陈洁君</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公共事业管理</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白雪</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政府“抢人”策略对城市发展的影响研究——以泉州市为例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刘艺灵</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经济学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赖凤玲</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晋江市建陶产业集群升级路径研究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裴彩霞</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物流管理</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郑海燕</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基于博弈论的共享快递盒循环使用策略研究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黄英艺</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商学院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电子商务</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程雨萌</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基于博弈论的电子商务卖方信用模型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许景贤</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学前教育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程小青</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幼儿生活自理能力与社会交往能力的关系研究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陈奕荣</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应用心理学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张灏宇</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大学生睡眠质量、正念水平与经验性回避的关系研究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陈秀丽</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39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应用心理学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岳思怡</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党务工作者工作态度的问卷编制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许松芽</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应用心理学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林荧</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大学生美好生活问卷的编制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邵华</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应用心理学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黄嘉莉</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新媒体时代大学生孤独感与网络自我表露的关系：生活满意度的中介作用</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吴忠良</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小学教育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白玛卓嘎</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西藏那曲地区小学普通话教学问题研究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黄志军</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小学教育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吴文蓉</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小学低年级班级榜样的产生及其教育策略的个案研究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熊和妮</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小学教育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廖思涵</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幼儿期家庭亲子教学互动对7-8岁儿童数学成绩的影响</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邵华</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特殊教育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方钰娴</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培智学校生活语文课程标准实施现状调查研究——以泉州市为例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朱媛媛</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特殊教育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邱丽玲</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发展性障碍儿童家庭需求的调查研究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吴春玉</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特殊教育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孙烁</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义务教育阶段普校教师融合教育素养调查研究——以恩施市为例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甘昭良</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特殊教育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曾昱榕</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语言行为法对自闭症儿童表达性语言发展的个案干预研究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雷雨田</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49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特殊教育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蔡宏伟</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我国自闭症儿童伤害行为单一被试研究Meta 分析</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林月仙</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应用心理学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袁诗懿</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特殊教育教师生命意义的建构——基于量化调查与扎根理论的研究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陈艺华</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应用心理学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傅清锖</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《大学生主动性人格与创业意愿的关系研究：以创业机会识别为中介变量》</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陈惠津</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数字媒体技术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朱胜男</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基于mBlock的自闭症儿童游戏治疗教具设计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黄婷</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数字媒体技术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江樑锋</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基于Blender的动作类游戏角色建模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吴伟信</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60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教科</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数字媒体技术</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刘东冀</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影视特效技术在影视广告中的运用——以HUAREN 2060手机广告为例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盛小清</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音舞</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舞蹈学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黄妮莉</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泉州府文庙祭孔乐舞探究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杨春祥</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音舞</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音乐学（南音方向）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蔡清雅</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泉州市培元中学南音教学模式与生源情况调查</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陈恩慧</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美设</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产品设计</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张冉冉</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半自动化车站清洁车设计应用研究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王坤</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美设</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环境设计</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张悦</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场所记忆在文化建筑中实践——以洛阳古街为例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郑鹏海</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59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美设</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动画</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翁宇欢</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2D横版游戏原画设计——《药》</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杨静如</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美设</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视觉传达设计</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林楠</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“喃喃”——南少林武术形象插画设计及应用</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陈学君</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top"/>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美设</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美术学</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蔡雅娟</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数码绘画《祈福》</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蔡永辉</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航海</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汽车服务工程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林景胜</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纯电动汽车动力电池箱优化设计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邓腾树</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720"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体院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社会体育指导与管理</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骆世豪</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泉州体育用品企业转型升级路径研究——基于2011-2018年6家上市公司面板数据</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魏太森</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体院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社会体育指导与管理</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陈云云</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体育强国建设背景下福建省体育场地建设与发展现状研究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许月云</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体院</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体育教育</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黄凯鹏</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厦门市同安区阿诺健身俱乐部现状分析</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杜德全</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纺服</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纺织工程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陈巧萍</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蟳蜅传统“红衣”的形成机理及工艺研究</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陈杨轶</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纺服</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服装设计与工程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把奕廷</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精纺毛织物力学性能与鱼尾裙造型的关系</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徐海燕</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论文</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68</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纺服</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服装设计与工程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石雯慧</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建筑艺术在服装设计中的运用——攀登者</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张银佳</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69</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纺服</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服装与服饰设计</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曾晓嘉</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基于服饰配件装饰理论的箱包设计创新</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李静</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70</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软件工程（软件开发方向）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林育洭</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毕业论文（设计）管理系统的设计与实现</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王竞菲</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71</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软件工程（软件开发方向）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黄靖禹</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基于PHP的宠物寄养生活管理系统的设计与实现</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沈广东</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72</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软件工程（媒体技术方向）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刘婉婷</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“清乐坊”南音馆VI设计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高小芳</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73</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软件工程（媒体技术方向）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王昱宸</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泉州南音中视觉图形艺术的探索—以“古韵南音APP”界面设计为例</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葛鹏</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74</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软件工程（信息管理方向）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王凯铃</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基于asp.net的集成一站式信息服务系统分析与设计</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郭俊</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75</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软件工程（信息管理方向）</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方亚浈</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基于Python Web的租房系统的设计与实现</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胡小琴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76</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软件工程</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王莉欣</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基于MVC模式的农副产品电商网站设计与实现</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庄银霞</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r>
        <w:tblPrEx>
          <w:tblCellMar>
            <w:top w:w="0" w:type="dxa"/>
            <w:left w:w="0" w:type="dxa"/>
            <w:bottom w:w="0" w:type="dxa"/>
            <w:right w:w="0" w:type="dxa"/>
          </w:tblCellMar>
        </w:tblPrEx>
        <w:trPr>
          <w:trHeight w:val="501" w:hRule="atLeast"/>
        </w:trPr>
        <w:tc>
          <w:tcPr>
            <w:tcW w:w="6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77</w:t>
            </w:r>
          </w:p>
        </w:tc>
        <w:tc>
          <w:tcPr>
            <w:tcW w:w="7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软件</w:t>
            </w:r>
          </w:p>
        </w:tc>
        <w:tc>
          <w:tcPr>
            <w:tcW w:w="150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动画</w:t>
            </w:r>
          </w:p>
        </w:tc>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杨婷婷</w:t>
            </w:r>
          </w:p>
        </w:tc>
        <w:tc>
          <w:tcPr>
            <w:tcW w:w="52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二维动画《蛋糕人》的场景设计与制作</w:t>
            </w:r>
          </w:p>
        </w:tc>
        <w:tc>
          <w:tcPr>
            <w:tcW w:w="8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罗小琴</w:t>
            </w:r>
          </w:p>
        </w:tc>
        <w:tc>
          <w:tcPr>
            <w:tcW w:w="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32"/>
                <w:szCs w:val="32"/>
                <w:u w:val="none"/>
              </w:rPr>
            </w:pPr>
            <w:r>
              <w:rPr>
                <w:rFonts w:hint="eastAsia" w:ascii="仿宋" w:hAnsi="仿宋" w:eastAsia="仿宋" w:cs="仿宋"/>
                <w:i w:val="0"/>
                <w:color w:val="000000"/>
                <w:kern w:val="0"/>
                <w:sz w:val="32"/>
                <w:szCs w:val="32"/>
                <w:u w:val="none"/>
                <w:lang w:val="en-US" w:eastAsia="zh-CN" w:bidi="ar"/>
              </w:rPr>
              <w:t>设计</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righ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 xml:space="preserve">2020年10月7日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00" w:lineRule="atLeast"/>
        <w:ind w:left="0" w:right="0" w:firstLine="320"/>
        <w:jc w:val="both"/>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sz w:val="32"/>
          <w:szCs w:val="32"/>
          <w:bdr w:val="none" w:color="auto" w:sz="0" w:space="0"/>
          <w:shd w:val="clear" w:fill="FFFFFF"/>
        </w:rPr>
        <w:t>泉州师范学院教务处 2020年10月7日印发</w:t>
      </w:r>
    </w:p>
    <w:p>
      <w:pPr>
        <w:jc w:val="left"/>
        <w:rPr>
          <w:rFonts w:hint="default" w:ascii="sans-serif" w:hAnsi="sans-serif" w:eastAsia="sans-serif" w:cs="sans-serif"/>
          <w:i w:val="0"/>
          <w:caps w:val="0"/>
          <w:spacing w:val="0"/>
          <w:sz w:val="39"/>
          <w:szCs w:val="39"/>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rif">
    <w:altName w:val="Segoe Print"/>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E35629"/>
    <w:rsid w:val="72E35629"/>
    <w:rsid w:val="7FAA2E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5">
    <w:name w:val="font21"/>
    <w:basedOn w:val="4"/>
    <w:uiPriority w:val="0"/>
    <w:rPr>
      <w:rFonts w:hint="eastAsia" w:ascii="仿宋" w:hAnsi="仿宋" w:eastAsia="仿宋" w:cs="仿宋"/>
      <w:color w:val="000000"/>
      <w:sz w:val="20"/>
      <w:szCs w:val="20"/>
      <w:u w:val="none"/>
      <w:vertAlign w:val="superscript"/>
    </w:rPr>
  </w:style>
  <w:style w:type="character" w:customStyle="1" w:styleId="6">
    <w:name w:val="font31"/>
    <w:basedOn w:val="4"/>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2020-10-21T01:17:00Z</dcterms:created>
  <dc:creator>殊荣舒蓉</dc:creator>
  <cp:lastModifiedBy>殊荣舒蓉</cp:lastModifiedBy>
  <dcterms:modified xsi:type="dcterms:W3CDTF">2020-10-21T01:47:39Z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