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0B717">
      <w:pPr>
        <w:keepNext w:val="0"/>
        <w:keepLines w:val="0"/>
        <w:pageBreakBefore w:val="0"/>
        <w:wordWrap/>
        <w:overflowPunct/>
        <w:topLinePunct w:val="0"/>
        <w:bidi w:val="0"/>
        <w:spacing w:before="101" w:line="540" w:lineRule="exact"/>
        <w:rPr>
          <w:rFonts w:hint="eastAsia" w:ascii="黑体" w:hAnsi="黑体" w:eastAsia="黑体" w:cs="黑体"/>
          <w:b w:val="0"/>
          <w:bCs w:val="0"/>
          <w:color w:val="auto"/>
          <w:spacing w:val="-19"/>
          <w:w w:val="95"/>
          <w:sz w:val="32"/>
          <w:szCs w:val="32"/>
        </w:rPr>
      </w:pPr>
      <w:r>
        <w:rPr>
          <w:rFonts w:hint="eastAsia" w:ascii="黑体" w:hAnsi="黑体" w:eastAsia="黑体" w:cs="黑体"/>
          <w:color w:val="auto"/>
          <w:spacing w:val="-4"/>
          <w:sz w:val="32"/>
          <w:szCs w:val="32"/>
        </w:rPr>
        <w:t>附件1</w:t>
      </w:r>
    </w:p>
    <w:p w14:paraId="53FD939E">
      <w:pPr>
        <w:widowControl/>
        <w:kinsoku/>
        <w:autoSpaceDE/>
        <w:autoSpaceDN/>
        <w:adjustRightInd/>
        <w:snapToGrid/>
        <w:spacing w:line="500" w:lineRule="exact"/>
        <w:jc w:val="center"/>
        <w:textAlignment w:val="auto"/>
        <w:outlineLvl w:val="1"/>
        <w:rPr>
          <w:rFonts w:hint="eastAsia" w:ascii="方正小标宋简体" w:hAnsi="方正小标宋简体" w:eastAsia="方正小标宋简体" w:cs="方正小标宋简体"/>
          <w:b w:val="0"/>
          <w:bCs/>
          <w:snapToGrid/>
          <w:color w:val="auto"/>
          <w:kern w:val="0"/>
          <w:sz w:val="44"/>
          <w:szCs w:val="44"/>
          <w:lang w:val="zh-CN" w:eastAsia="zh-CN"/>
        </w:rPr>
      </w:pPr>
    </w:p>
    <w:p w14:paraId="2AC75609">
      <w:pPr>
        <w:widowControl/>
        <w:kinsoku/>
        <w:autoSpaceDE/>
        <w:autoSpaceDN/>
        <w:adjustRightInd/>
        <w:snapToGrid/>
        <w:spacing w:line="500" w:lineRule="exact"/>
        <w:jc w:val="center"/>
        <w:textAlignment w:val="auto"/>
        <w:outlineLvl w:val="1"/>
        <w:rPr>
          <w:rFonts w:hint="eastAsia" w:ascii="方正小标宋简体" w:hAnsi="方正小标宋简体" w:eastAsia="方正小标宋简体" w:cs="方正小标宋简体"/>
          <w:b w:val="0"/>
          <w:bCs/>
          <w:snapToGrid/>
          <w:color w:val="auto"/>
          <w:kern w:val="0"/>
          <w:sz w:val="44"/>
          <w:szCs w:val="44"/>
          <w:lang w:val="zh-CN" w:eastAsia="zh-CN"/>
        </w:rPr>
      </w:pPr>
      <w:r>
        <w:rPr>
          <w:rFonts w:hint="eastAsia" w:ascii="方正小标宋简体" w:hAnsi="方正小标宋简体" w:eastAsia="方正小标宋简体" w:cs="方正小标宋简体"/>
          <w:b w:val="0"/>
          <w:bCs/>
          <w:snapToGrid/>
          <w:color w:val="auto"/>
          <w:kern w:val="0"/>
          <w:sz w:val="44"/>
          <w:szCs w:val="44"/>
          <w:lang w:val="zh-CN" w:eastAsia="zh-CN"/>
        </w:rPr>
        <w:t>202</w:t>
      </w:r>
      <w:r>
        <w:rPr>
          <w:rFonts w:hint="eastAsia" w:ascii="方正小标宋简体" w:hAnsi="方正小标宋简体" w:eastAsia="方正小标宋简体" w:cs="方正小标宋简体"/>
          <w:b w:val="0"/>
          <w:bCs/>
          <w:snapToGrid/>
          <w:color w:val="auto"/>
          <w:kern w:val="0"/>
          <w:sz w:val="44"/>
          <w:szCs w:val="44"/>
          <w:lang w:val="en-US" w:eastAsia="zh-CN"/>
        </w:rPr>
        <w:t>5</w:t>
      </w:r>
      <w:r>
        <w:rPr>
          <w:rFonts w:hint="eastAsia" w:ascii="方正小标宋简体" w:hAnsi="方正小标宋简体" w:eastAsia="方正小标宋简体" w:cs="方正小标宋简体"/>
          <w:b w:val="0"/>
          <w:bCs/>
          <w:snapToGrid/>
          <w:color w:val="auto"/>
          <w:kern w:val="0"/>
          <w:sz w:val="44"/>
          <w:szCs w:val="44"/>
          <w:lang w:val="zh-CN" w:eastAsia="zh-CN"/>
        </w:rPr>
        <w:t>年度教学单位教学工作奖和办学绩效奖</w:t>
      </w:r>
    </w:p>
    <w:p w14:paraId="1951118C">
      <w:pPr>
        <w:widowControl/>
        <w:kinsoku/>
        <w:autoSpaceDE/>
        <w:autoSpaceDN/>
        <w:adjustRightInd/>
        <w:snapToGrid/>
        <w:spacing w:line="500" w:lineRule="exact"/>
        <w:jc w:val="center"/>
        <w:textAlignment w:val="auto"/>
        <w:outlineLvl w:val="1"/>
        <w:rPr>
          <w:rFonts w:hint="eastAsia" w:ascii="方正小标宋简体" w:hAnsi="方正小标宋简体" w:eastAsia="方正小标宋简体" w:cs="方正小标宋简体"/>
          <w:b w:val="0"/>
          <w:bCs/>
          <w:snapToGrid/>
          <w:color w:val="auto"/>
          <w:kern w:val="0"/>
          <w:sz w:val="44"/>
          <w:szCs w:val="44"/>
          <w:lang w:val="zh-CN" w:eastAsia="zh-CN"/>
        </w:rPr>
      </w:pPr>
      <w:r>
        <w:rPr>
          <w:rFonts w:hint="eastAsia" w:ascii="方正小标宋简体" w:hAnsi="方正小标宋简体" w:eastAsia="方正小标宋简体" w:cs="方正小标宋简体"/>
          <w:b w:val="0"/>
          <w:bCs/>
          <w:snapToGrid/>
          <w:color w:val="auto"/>
          <w:kern w:val="0"/>
          <w:sz w:val="44"/>
          <w:szCs w:val="44"/>
          <w:lang w:val="zh-CN" w:eastAsia="zh-CN"/>
        </w:rPr>
        <w:t>发放原则意见</w:t>
      </w:r>
    </w:p>
    <w:p w14:paraId="5A9EAF8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p>
    <w:p w14:paraId="630DB11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为</w:t>
      </w:r>
      <w:r>
        <w:rPr>
          <w:rFonts w:hint="eastAsia" w:ascii="仿宋_GB2312" w:hAnsi="仿宋_GB2312" w:eastAsia="仿宋_GB2312" w:cs="仿宋_GB2312"/>
          <w:snapToGrid/>
          <w:color w:val="auto"/>
          <w:kern w:val="0"/>
          <w:sz w:val="32"/>
          <w:szCs w:val="32"/>
          <w:lang w:eastAsia="zh-CN"/>
        </w:rPr>
        <w:t>激发二级学院的办学活力</w:t>
      </w:r>
      <w:r>
        <w:rPr>
          <w:rFonts w:hint="eastAsia" w:ascii="仿宋_GB2312" w:hAnsi="仿宋_GB2312" w:eastAsia="仿宋_GB2312" w:cs="仿宋_GB2312"/>
          <w:snapToGrid/>
          <w:color w:val="auto"/>
          <w:kern w:val="2"/>
          <w:sz w:val="32"/>
          <w:szCs w:val="32"/>
          <w:lang w:eastAsia="zh-CN"/>
        </w:rPr>
        <w:t>，提高教育教学质量、科学研究水平和服务社会能力，根据学校实际，提出2</w:t>
      </w:r>
      <w:r>
        <w:rPr>
          <w:rFonts w:hint="eastAsia" w:ascii="仿宋_GB2312" w:hAnsi="仿宋_GB2312" w:eastAsia="仿宋_GB2312" w:cs="仿宋_GB2312"/>
          <w:snapToGrid/>
          <w:color w:val="auto"/>
          <w:kern w:val="2"/>
          <w:sz w:val="32"/>
          <w:szCs w:val="32"/>
          <w:lang w:val="en-US" w:eastAsia="zh-CN"/>
        </w:rPr>
        <w:t>025</w:t>
      </w:r>
      <w:r>
        <w:rPr>
          <w:rFonts w:hint="eastAsia" w:ascii="仿宋_GB2312" w:hAnsi="仿宋_GB2312" w:eastAsia="仿宋_GB2312" w:cs="仿宋_GB2312"/>
          <w:snapToGrid/>
          <w:color w:val="auto"/>
          <w:kern w:val="2"/>
          <w:sz w:val="32"/>
          <w:szCs w:val="32"/>
          <w:lang w:eastAsia="zh-CN"/>
        </w:rPr>
        <w:t>年度教学单位教学工作奖和办学绩效奖发放的原则意见。</w:t>
      </w:r>
    </w:p>
    <w:p w14:paraId="37E72DBC">
      <w:pPr>
        <w:keepNext w:val="0"/>
        <w:keepLines w:val="0"/>
        <w:pageBreakBefore w:val="0"/>
        <w:widowControl w:val="0"/>
        <w:kinsoku/>
        <w:wordWrap/>
        <w:overflowPunct/>
        <w:topLinePunct w:val="0"/>
        <w:autoSpaceDE/>
        <w:autoSpaceDN/>
        <w:bidi w:val="0"/>
        <w:adjustRightInd/>
        <w:snapToGrid/>
        <w:spacing w:line="540" w:lineRule="exact"/>
        <w:ind w:firstLine="555"/>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一、适用范围</w:t>
      </w:r>
    </w:p>
    <w:p w14:paraId="2091816D">
      <w:pPr>
        <w:keepNext w:val="0"/>
        <w:keepLines w:val="0"/>
        <w:pageBreakBefore w:val="0"/>
        <w:widowControl w:val="0"/>
        <w:kinsoku/>
        <w:wordWrap/>
        <w:overflowPunct/>
        <w:topLinePunct w:val="0"/>
        <w:autoSpaceDE/>
        <w:autoSpaceDN/>
        <w:bidi w:val="0"/>
        <w:adjustRightInd/>
        <w:snapToGrid/>
        <w:spacing w:line="540" w:lineRule="exact"/>
        <w:ind w:firstLine="616" w:firstLineChars="200"/>
        <w:jc w:val="both"/>
        <w:textAlignment w:val="auto"/>
        <w:rPr>
          <w:rFonts w:hint="eastAsia" w:ascii="仿宋_GB2312" w:hAnsi="仿宋_GB2312" w:eastAsia="仿宋_GB2312" w:cs="仿宋_GB2312"/>
          <w:snapToGrid/>
          <w:color w:val="auto"/>
          <w:spacing w:val="-6"/>
          <w:kern w:val="2"/>
          <w:sz w:val="32"/>
          <w:szCs w:val="32"/>
          <w:lang w:eastAsia="zh-CN"/>
        </w:rPr>
      </w:pPr>
      <w:r>
        <w:rPr>
          <w:rFonts w:hint="eastAsia" w:ascii="仿宋_GB2312" w:hAnsi="仿宋_GB2312" w:eastAsia="仿宋_GB2312" w:cs="仿宋_GB2312"/>
          <w:snapToGrid/>
          <w:color w:val="auto"/>
          <w:spacing w:val="-6"/>
          <w:kern w:val="2"/>
          <w:sz w:val="32"/>
          <w:szCs w:val="32"/>
          <w:lang w:eastAsia="zh-CN"/>
        </w:rPr>
        <w:t>本原则意见适用于我校</w:t>
      </w:r>
      <w:r>
        <w:rPr>
          <w:rFonts w:hint="eastAsia" w:ascii="仿宋_GB2312" w:hAnsi="仿宋_GB2312" w:eastAsia="仿宋_GB2312" w:cs="仿宋_GB2312"/>
          <w:b w:val="0"/>
          <w:bCs w:val="0"/>
          <w:snapToGrid/>
          <w:color w:val="auto"/>
          <w:spacing w:val="-6"/>
          <w:kern w:val="2"/>
          <w:sz w:val="32"/>
          <w:szCs w:val="32"/>
          <w:u w:val="none"/>
          <w:lang w:val="en-US" w:eastAsia="zh-CN"/>
        </w:rPr>
        <w:t>有承担全日制研究生和本科生教学工作</w:t>
      </w:r>
      <w:r>
        <w:rPr>
          <w:rFonts w:hint="eastAsia" w:ascii="仿宋_GB2312" w:hAnsi="仿宋_GB2312" w:eastAsia="仿宋_GB2312" w:cs="仿宋_GB2312"/>
          <w:snapToGrid/>
          <w:color w:val="auto"/>
          <w:spacing w:val="-6"/>
          <w:kern w:val="2"/>
          <w:sz w:val="32"/>
          <w:szCs w:val="32"/>
          <w:lang w:eastAsia="zh-CN"/>
        </w:rPr>
        <w:t>的教学单位。</w:t>
      </w:r>
    </w:p>
    <w:p w14:paraId="6F8CEAB9">
      <w:pPr>
        <w:keepNext w:val="0"/>
        <w:keepLines w:val="0"/>
        <w:pageBreakBefore w:val="0"/>
        <w:widowControl w:val="0"/>
        <w:kinsoku/>
        <w:wordWrap/>
        <w:overflowPunct/>
        <w:topLinePunct w:val="0"/>
        <w:autoSpaceDE/>
        <w:autoSpaceDN/>
        <w:bidi w:val="0"/>
        <w:adjustRightInd/>
        <w:snapToGrid/>
        <w:spacing w:line="540" w:lineRule="exact"/>
        <w:ind w:firstLine="555"/>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二、核拨方式</w:t>
      </w:r>
    </w:p>
    <w:p w14:paraId="3198A7E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教学单位教学工作奖和办学绩效奖，坚持向教学一线倾斜的原则，由人事处统一划拨后，由教务处统筹并核拨二级学院进行二级分配。</w:t>
      </w:r>
    </w:p>
    <w:p w14:paraId="0CB77090">
      <w:pPr>
        <w:keepNext w:val="0"/>
        <w:keepLines w:val="0"/>
        <w:pageBreakBefore w:val="0"/>
        <w:widowControl w:val="0"/>
        <w:kinsoku/>
        <w:wordWrap/>
        <w:overflowPunct/>
        <w:topLinePunct w:val="0"/>
        <w:autoSpaceDE/>
        <w:autoSpaceDN/>
        <w:bidi w:val="0"/>
        <w:adjustRightInd/>
        <w:snapToGrid/>
        <w:spacing w:line="540" w:lineRule="exact"/>
        <w:ind w:firstLine="555"/>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三、核拨标准</w:t>
      </w:r>
    </w:p>
    <w:p w14:paraId="2786C2E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snapToGrid/>
          <w:color w:val="auto"/>
          <w:kern w:val="2"/>
          <w:sz w:val="32"/>
          <w:szCs w:val="32"/>
          <w:lang w:eastAsia="zh-CN"/>
        </w:rPr>
      </w:pPr>
      <w:r>
        <w:rPr>
          <w:rFonts w:hint="eastAsia" w:ascii="楷体_GB2312" w:hAnsi="楷体_GB2312" w:eastAsia="楷体_GB2312" w:cs="楷体_GB2312"/>
          <w:b/>
          <w:bCs/>
          <w:snapToGrid/>
          <w:color w:val="auto"/>
          <w:kern w:val="2"/>
          <w:sz w:val="32"/>
          <w:szCs w:val="32"/>
          <w:lang w:eastAsia="zh-CN"/>
        </w:rPr>
        <w:t>（一）马克思主义学院绩效。</w:t>
      </w:r>
      <w:r>
        <w:rPr>
          <w:rFonts w:hint="eastAsia" w:ascii="仿宋_GB2312" w:hAnsi="仿宋_GB2312" w:eastAsia="仿宋_GB2312" w:cs="仿宋_GB2312"/>
          <w:b w:val="0"/>
          <w:bCs w:val="0"/>
          <w:snapToGrid/>
          <w:color w:val="auto"/>
          <w:kern w:val="2"/>
          <w:sz w:val="32"/>
          <w:szCs w:val="32"/>
          <w:lang w:eastAsia="zh-CN"/>
        </w:rPr>
        <w:t>按二级学院总平均绩效（不含办学分成、校选课等）上浮10%核拨，不再参与办学绩效奖分配。</w:t>
      </w:r>
    </w:p>
    <w:p w14:paraId="1EF59DB4">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napToGrid/>
          <w:color w:val="auto"/>
          <w:kern w:val="2"/>
          <w:sz w:val="32"/>
          <w:szCs w:val="32"/>
          <w:lang w:eastAsia="zh-CN"/>
        </w:rPr>
      </w:pPr>
      <w:r>
        <w:rPr>
          <w:rFonts w:hint="eastAsia" w:ascii="楷体_GB2312" w:hAnsi="楷体_GB2312" w:eastAsia="楷体_GB2312" w:cs="楷体_GB2312"/>
          <w:b/>
          <w:bCs/>
          <w:snapToGrid/>
          <w:color w:val="auto"/>
          <w:kern w:val="2"/>
          <w:sz w:val="32"/>
          <w:szCs w:val="32"/>
          <w:lang w:eastAsia="zh-CN"/>
        </w:rPr>
        <w:t>（二）教学工作奖核拨</w:t>
      </w:r>
    </w:p>
    <w:p w14:paraId="4614FC4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1.单位基本教学奖励</w:t>
      </w:r>
    </w:p>
    <w:p w14:paraId="503B251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rPr>
      </w:pPr>
      <w:r>
        <w:rPr>
          <w:rFonts w:hint="eastAsia" w:ascii="仿宋_GB2312" w:hAnsi="仿宋_GB2312" w:eastAsia="仿宋_GB2312" w:cs="仿宋_GB2312"/>
          <w:b w:val="0"/>
          <w:bCs w:val="0"/>
          <w:snapToGrid/>
          <w:color w:val="auto"/>
          <w:kern w:val="2"/>
          <w:sz w:val="32"/>
          <w:szCs w:val="32"/>
          <w:lang w:eastAsia="zh-CN"/>
        </w:rPr>
        <w:t>（</w:t>
      </w:r>
      <w:r>
        <w:rPr>
          <w:rFonts w:hint="eastAsia" w:ascii="仿宋_GB2312" w:hAnsi="仿宋_GB2312" w:eastAsia="仿宋_GB2312" w:cs="仿宋_GB2312"/>
          <w:b w:val="0"/>
          <w:bCs w:val="0"/>
          <w:snapToGrid/>
          <w:color w:val="auto"/>
          <w:kern w:val="2"/>
          <w:sz w:val="32"/>
          <w:szCs w:val="32"/>
          <w:lang w:val="en-US" w:eastAsia="zh-CN"/>
        </w:rPr>
        <w:t>1）本科生</w:t>
      </w:r>
    </w:p>
    <w:p w14:paraId="7FB8125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按学费收入的12%核拨（闽台合作班、</w:t>
      </w:r>
      <w:r>
        <w:rPr>
          <w:rFonts w:hint="eastAsia" w:ascii="仿宋_GB2312" w:hAnsi="仿宋_GB2312" w:eastAsia="仿宋_GB2312" w:cs="仿宋_GB2312"/>
          <w:b w:val="0"/>
          <w:bCs w:val="0"/>
          <w:snapToGrid/>
          <w:color w:val="auto"/>
          <w:kern w:val="2"/>
          <w:sz w:val="32"/>
          <w:szCs w:val="32"/>
          <w:u w:val="none"/>
          <w:lang w:eastAsia="zh-CN"/>
        </w:rPr>
        <w:t>国际课程班</w:t>
      </w:r>
      <w:r>
        <w:rPr>
          <w:rFonts w:hint="eastAsia" w:ascii="仿宋_GB2312" w:hAnsi="仿宋_GB2312" w:eastAsia="仿宋_GB2312" w:cs="仿宋_GB2312"/>
          <w:snapToGrid/>
          <w:color w:val="auto"/>
          <w:kern w:val="2"/>
          <w:sz w:val="32"/>
          <w:szCs w:val="32"/>
          <w:lang w:eastAsia="zh-CN"/>
        </w:rPr>
        <w:t>按普通专业学费标准），其中：</w:t>
      </w:r>
    </w:p>
    <w:p w14:paraId="55A5D24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理学、工学专业核拨系数</w:t>
      </w:r>
      <w:r>
        <w:rPr>
          <w:rFonts w:hint="eastAsia" w:ascii="仿宋_GB2312" w:hAnsi="仿宋_GB2312" w:eastAsia="仿宋_GB2312" w:cs="仿宋_GB2312"/>
          <w:snapToGrid/>
          <w:color w:val="auto"/>
          <w:kern w:val="2"/>
          <w:sz w:val="32"/>
          <w:szCs w:val="32"/>
          <w:lang w:val="en-US" w:eastAsia="zh-CN"/>
        </w:rPr>
        <w:t>1.1；</w:t>
      </w:r>
      <w:r>
        <w:rPr>
          <w:rFonts w:hint="eastAsia" w:ascii="仿宋_GB2312" w:hAnsi="仿宋_GB2312" w:eastAsia="仿宋_GB2312" w:cs="仿宋_GB2312"/>
          <w:snapToGrid/>
          <w:color w:val="auto"/>
          <w:kern w:val="2"/>
          <w:sz w:val="32"/>
          <w:szCs w:val="32"/>
          <w:lang w:eastAsia="zh-CN"/>
        </w:rPr>
        <w:t>航海类、理工类师范专业、学前教育专业核拨系数</w:t>
      </w:r>
      <w:r>
        <w:rPr>
          <w:rFonts w:hint="eastAsia" w:ascii="仿宋_GB2312" w:hAnsi="仿宋_GB2312" w:eastAsia="仿宋_GB2312" w:cs="仿宋_GB2312"/>
          <w:snapToGrid/>
          <w:color w:val="auto"/>
          <w:kern w:val="2"/>
          <w:sz w:val="32"/>
          <w:szCs w:val="32"/>
          <w:lang w:val="en-US" w:eastAsia="zh-CN"/>
        </w:rPr>
        <w:t>1.3，文史类师范专业</w:t>
      </w:r>
      <w:r>
        <w:rPr>
          <w:rFonts w:hint="eastAsia" w:ascii="仿宋_GB2312" w:hAnsi="仿宋_GB2312" w:eastAsia="仿宋_GB2312" w:cs="仿宋_GB2312"/>
          <w:snapToGrid/>
          <w:color w:val="auto"/>
          <w:kern w:val="2"/>
          <w:sz w:val="32"/>
          <w:szCs w:val="32"/>
          <w:lang w:eastAsia="zh-CN"/>
        </w:rPr>
        <w:t>核拨系数</w:t>
      </w:r>
      <w:r>
        <w:rPr>
          <w:rFonts w:hint="eastAsia" w:ascii="仿宋_GB2312" w:hAnsi="仿宋_GB2312" w:eastAsia="仿宋_GB2312" w:cs="仿宋_GB2312"/>
          <w:snapToGrid/>
          <w:color w:val="auto"/>
          <w:kern w:val="2"/>
          <w:sz w:val="32"/>
          <w:szCs w:val="32"/>
          <w:lang w:val="en-US" w:eastAsia="zh-CN"/>
        </w:rPr>
        <w:t>1.2；军转干部学员</w:t>
      </w:r>
      <w:r>
        <w:rPr>
          <w:rFonts w:hint="eastAsia" w:ascii="仿宋_GB2312" w:hAnsi="仿宋_GB2312" w:eastAsia="仿宋_GB2312" w:cs="仿宋_GB2312"/>
          <w:snapToGrid/>
          <w:color w:val="auto"/>
          <w:kern w:val="2"/>
          <w:sz w:val="32"/>
          <w:szCs w:val="32"/>
          <w:lang w:eastAsia="zh-CN"/>
        </w:rPr>
        <w:t>核拨系数</w:t>
      </w:r>
      <w:r>
        <w:rPr>
          <w:rFonts w:hint="eastAsia" w:ascii="仿宋_GB2312" w:hAnsi="仿宋_GB2312" w:eastAsia="仿宋_GB2312" w:cs="仿宋_GB2312"/>
          <w:snapToGrid/>
          <w:color w:val="auto"/>
          <w:kern w:val="2"/>
          <w:sz w:val="32"/>
          <w:szCs w:val="32"/>
          <w:lang w:val="en-US" w:eastAsia="zh-CN"/>
        </w:rPr>
        <w:t>2.0，其他专业</w:t>
      </w:r>
      <w:r>
        <w:rPr>
          <w:rFonts w:hint="eastAsia" w:ascii="仿宋_GB2312" w:hAnsi="仿宋_GB2312" w:eastAsia="仿宋_GB2312" w:cs="仿宋_GB2312"/>
          <w:snapToGrid/>
          <w:color w:val="auto"/>
          <w:kern w:val="2"/>
          <w:sz w:val="32"/>
          <w:szCs w:val="32"/>
          <w:lang w:eastAsia="zh-CN"/>
        </w:rPr>
        <w:t>核拨系数为</w:t>
      </w:r>
      <w:r>
        <w:rPr>
          <w:rFonts w:hint="eastAsia" w:ascii="仿宋_GB2312" w:hAnsi="仿宋_GB2312" w:eastAsia="仿宋_GB2312" w:cs="仿宋_GB2312"/>
          <w:snapToGrid/>
          <w:color w:val="auto"/>
          <w:kern w:val="2"/>
          <w:sz w:val="32"/>
          <w:szCs w:val="32"/>
          <w:lang w:val="en-US" w:eastAsia="zh-CN"/>
        </w:rPr>
        <w:t>1</w:t>
      </w:r>
      <w:r>
        <w:rPr>
          <w:rFonts w:hint="eastAsia" w:ascii="仿宋_GB2312" w:hAnsi="仿宋_GB2312" w:eastAsia="仿宋_GB2312" w:cs="仿宋_GB2312"/>
          <w:snapToGrid/>
          <w:color w:val="auto"/>
          <w:kern w:val="2"/>
          <w:sz w:val="32"/>
          <w:szCs w:val="32"/>
          <w:lang w:eastAsia="zh-CN"/>
        </w:rPr>
        <w:t>；</w:t>
      </w:r>
    </w:p>
    <w:p w14:paraId="628F84A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学生数按上半年和下半年在校学生数的平均值计算。</w:t>
      </w:r>
    </w:p>
    <w:p w14:paraId="20F5C8B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仿宋_GB2312" w:cs="仿宋"/>
          <w:b w:val="0"/>
          <w:bCs w:val="0"/>
          <w:i w:val="0"/>
          <w:iCs w:val="0"/>
          <w:snapToGrid/>
          <w:color w:val="auto"/>
          <w:kern w:val="0"/>
          <w:sz w:val="32"/>
          <w:szCs w:val="32"/>
          <w:u w:val="none"/>
          <w:lang w:val="en-US" w:eastAsia="zh-CN"/>
        </w:rPr>
      </w:pPr>
      <w:r>
        <w:rPr>
          <w:rFonts w:hint="eastAsia" w:ascii="宋体" w:hAnsi="宋体" w:eastAsia="仿宋_GB2312" w:cs="仿宋"/>
          <w:b w:val="0"/>
          <w:bCs w:val="0"/>
          <w:i w:val="0"/>
          <w:iCs w:val="0"/>
          <w:snapToGrid/>
          <w:color w:val="auto"/>
          <w:kern w:val="0"/>
          <w:sz w:val="32"/>
          <w:szCs w:val="32"/>
          <w:u w:val="none"/>
          <w:lang w:eastAsia="zh-CN"/>
        </w:rPr>
        <w:t>（</w:t>
      </w:r>
      <w:r>
        <w:rPr>
          <w:rFonts w:hint="eastAsia" w:ascii="宋体" w:hAnsi="宋体" w:eastAsia="仿宋_GB2312" w:cs="仿宋"/>
          <w:b w:val="0"/>
          <w:bCs w:val="0"/>
          <w:i w:val="0"/>
          <w:iCs w:val="0"/>
          <w:snapToGrid/>
          <w:color w:val="auto"/>
          <w:kern w:val="0"/>
          <w:sz w:val="32"/>
          <w:szCs w:val="32"/>
          <w:u w:val="none"/>
          <w:lang w:val="en-US" w:eastAsia="zh-CN"/>
        </w:rPr>
        <w:t>2）研究生</w:t>
      </w:r>
    </w:p>
    <w:p w14:paraId="762ADC0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i w:val="0"/>
          <w:iCs w:val="0"/>
          <w:snapToGrid/>
          <w:color w:val="auto"/>
          <w:kern w:val="2"/>
          <w:sz w:val="32"/>
          <w:szCs w:val="32"/>
          <w:u w:val="none"/>
          <w:lang w:val="en-US" w:eastAsia="zh-CN"/>
        </w:rPr>
      </w:pPr>
      <w:r>
        <w:rPr>
          <w:rFonts w:hint="eastAsia" w:ascii="仿宋_GB2312" w:hAnsi="仿宋_GB2312" w:eastAsia="仿宋_GB2312" w:cs="仿宋_GB2312"/>
          <w:b w:val="0"/>
          <w:bCs w:val="0"/>
          <w:i w:val="0"/>
          <w:iCs w:val="0"/>
          <w:snapToGrid/>
          <w:color w:val="auto"/>
          <w:kern w:val="2"/>
          <w:sz w:val="32"/>
          <w:szCs w:val="32"/>
          <w:u w:val="none"/>
          <w:lang w:eastAsia="zh-CN"/>
        </w:rPr>
        <w:t>本校学籍研究生</w:t>
      </w:r>
      <w:r>
        <w:rPr>
          <w:rFonts w:hint="eastAsia" w:ascii="仿宋_GB2312" w:hAnsi="仿宋_GB2312" w:eastAsia="仿宋_GB2312" w:cs="仿宋_GB2312"/>
          <w:i w:val="0"/>
          <w:iCs w:val="0"/>
          <w:snapToGrid/>
          <w:color w:val="auto"/>
          <w:kern w:val="2"/>
          <w:sz w:val="32"/>
          <w:szCs w:val="32"/>
          <w:u w:val="none"/>
          <w:lang w:eastAsia="zh-CN"/>
        </w:rPr>
        <w:t>按每生7700元标准</w:t>
      </w:r>
      <w:r>
        <w:rPr>
          <w:rFonts w:hint="eastAsia" w:ascii="仿宋_GB2312" w:hAnsi="仿宋_GB2312" w:eastAsia="仿宋_GB2312" w:cs="仿宋_GB2312"/>
          <w:bCs w:val="0"/>
          <w:i w:val="0"/>
          <w:iCs w:val="0"/>
          <w:snapToGrid/>
          <w:color w:val="auto"/>
          <w:kern w:val="2"/>
          <w:sz w:val="32"/>
          <w:szCs w:val="32"/>
          <w:u w:val="none"/>
          <w:lang w:eastAsia="zh-CN"/>
        </w:rPr>
        <w:t>核拨</w:t>
      </w:r>
      <w:r>
        <w:rPr>
          <w:rFonts w:hint="eastAsia" w:ascii="仿宋_GB2312" w:hAnsi="仿宋_GB2312" w:eastAsia="仿宋_GB2312" w:cs="仿宋_GB2312"/>
          <w:i w:val="0"/>
          <w:iCs w:val="0"/>
          <w:snapToGrid/>
          <w:color w:val="auto"/>
          <w:kern w:val="2"/>
          <w:sz w:val="32"/>
          <w:szCs w:val="32"/>
          <w:u w:val="none"/>
          <w:lang w:eastAsia="zh-CN"/>
        </w:rPr>
        <w:t>；</w:t>
      </w:r>
      <w:r>
        <w:rPr>
          <w:rFonts w:hint="eastAsia" w:ascii="仿宋_GB2312" w:hAnsi="仿宋_GB2312" w:eastAsia="仿宋_GB2312" w:cs="仿宋_GB2312"/>
          <w:b w:val="0"/>
          <w:bCs w:val="0"/>
          <w:i w:val="0"/>
          <w:iCs w:val="0"/>
          <w:snapToGrid/>
          <w:color w:val="auto"/>
          <w:kern w:val="2"/>
          <w:sz w:val="32"/>
          <w:szCs w:val="32"/>
          <w:u w:val="none"/>
          <w:lang w:eastAsia="zh-CN"/>
        </w:rPr>
        <w:t>协议联培研究生</w:t>
      </w:r>
      <w:r>
        <w:rPr>
          <w:rFonts w:hint="eastAsia" w:ascii="仿宋_GB2312" w:hAnsi="仿宋_GB2312" w:eastAsia="仿宋_GB2312" w:cs="仿宋_GB2312"/>
          <w:i w:val="0"/>
          <w:iCs w:val="0"/>
          <w:snapToGrid/>
          <w:color w:val="auto"/>
          <w:kern w:val="2"/>
          <w:sz w:val="32"/>
          <w:szCs w:val="32"/>
          <w:u w:val="none"/>
          <w:lang w:eastAsia="zh-CN"/>
        </w:rPr>
        <w:t>按每生1000元标准</w:t>
      </w:r>
      <w:r>
        <w:rPr>
          <w:rFonts w:hint="eastAsia" w:ascii="仿宋_GB2312" w:hAnsi="仿宋_GB2312" w:eastAsia="仿宋_GB2312" w:cs="仿宋_GB2312"/>
          <w:bCs w:val="0"/>
          <w:i w:val="0"/>
          <w:iCs w:val="0"/>
          <w:snapToGrid/>
          <w:color w:val="auto"/>
          <w:kern w:val="2"/>
          <w:sz w:val="32"/>
          <w:szCs w:val="32"/>
          <w:u w:val="none"/>
          <w:lang w:eastAsia="zh-CN"/>
        </w:rPr>
        <w:t>核</w:t>
      </w:r>
      <w:r>
        <w:rPr>
          <w:rFonts w:hint="eastAsia" w:ascii="仿宋_GB2312" w:hAnsi="仿宋_GB2312" w:eastAsia="仿宋_GB2312" w:cs="仿宋_GB2312"/>
          <w:snapToGrid/>
          <w:color w:val="auto"/>
          <w:kern w:val="2"/>
          <w:sz w:val="32"/>
          <w:szCs w:val="32"/>
          <w:u w:val="none"/>
          <w:lang w:eastAsia="zh-CN"/>
        </w:rPr>
        <w:t>拨。由研究生处核定。</w:t>
      </w:r>
    </w:p>
    <w:p w14:paraId="21D178A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bCs/>
          <w:snapToGrid/>
          <w:color w:val="auto"/>
          <w:kern w:val="2"/>
          <w:sz w:val="32"/>
          <w:szCs w:val="32"/>
          <w:u w:val="single"/>
          <w:lang w:eastAsia="zh-CN"/>
        </w:rPr>
      </w:pPr>
      <w:r>
        <w:rPr>
          <w:rFonts w:hint="eastAsia" w:ascii="仿宋_GB2312" w:hAnsi="仿宋_GB2312" w:eastAsia="仿宋_GB2312" w:cs="仿宋_GB2312"/>
          <w:snapToGrid/>
          <w:color w:val="auto"/>
          <w:kern w:val="2"/>
          <w:sz w:val="32"/>
          <w:szCs w:val="32"/>
          <w:lang w:eastAsia="zh-CN"/>
        </w:rPr>
        <w:t>2.行政人员、实验技术人员基本奖励。参照学校非教学单位人均管理服务奖核拨，实验技术人员仅限坐班制考勤人员，具体人数由人事处核定。</w:t>
      </w:r>
    </w:p>
    <w:p w14:paraId="0C59170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u w:val="none"/>
          <w:lang w:eastAsia="zh-CN"/>
        </w:rPr>
      </w:pPr>
      <w:r>
        <w:rPr>
          <w:rFonts w:hint="eastAsia" w:ascii="仿宋_GB2312" w:hAnsi="仿宋_GB2312" w:eastAsia="仿宋_GB2312" w:cs="仿宋_GB2312"/>
          <w:snapToGrid/>
          <w:color w:val="auto"/>
          <w:kern w:val="2"/>
          <w:sz w:val="32"/>
          <w:szCs w:val="32"/>
          <w:u w:val="none"/>
          <w:lang w:eastAsia="zh-CN"/>
        </w:rPr>
        <w:t>3.全校性课时奖励</w:t>
      </w:r>
    </w:p>
    <w:p w14:paraId="180CE0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u w:val="none"/>
          <w:lang w:eastAsia="zh-CN"/>
        </w:rPr>
      </w:pPr>
      <w:r>
        <w:rPr>
          <w:rFonts w:hint="eastAsia" w:ascii="仿宋_GB2312" w:hAnsi="仿宋_GB2312" w:eastAsia="仿宋_GB2312" w:cs="仿宋_GB2312"/>
          <w:snapToGrid/>
          <w:color w:val="auto"/>
          <w:kern w:val="2"/>
          <w:sz w:val="32"/>
          <w:szCs w:val="32"/>
          <w:u w:val="none"/>
          <w:lang w:eastAsia="zh-CN"/>
        </w:rPr>
        <w:t>（1）公共课教学奖励。本科生公共课课时（马院除外）由开课学院和学生所在学院共同核算签字，报教务处核准。教务处按每课时</w:t>
      </w:r>
      <w:r>
        <w:rPr>
          <w:rFonts w:hint="eastAsia" w:ascii="仿宋_GB2312" w:hAnsi="仿宋_GB2312" w:eastAsia="仿宋_GB2312" w:cs="仿宋_GB2312"/>
          <w:snapToGrid/>
          <w:color w:val="auto"/>
          <w:kern w:val="2"/>
          <w:sz w:val="32"/>
          <w:szCs w:val="32"/>
          <w:u w:val="none"/>
          <w:lang w:val="en-US" w:eastAsia="zh-CN"/>
        </w:rPr>
        <w:t>70元的标准</w:t>
      </w:r>
      <w:r>
        <w:rPr>
          <w:rFonts w:hint="eastAsia" w:ascii="仿宋_GB2312" w:hAnsi="仿宋_GB2312" w:eastAsia="仿宋_GB2312" w:cs="仿宋_GB2312"/>
          <w:snapToGrid/>
          <w:color w:val="auto"/>
          <w:kern w:val="2"/>
          <w:sz w:val="32"/>
          <w:szCs w:val="32"/>
          <w:u w:val="none"/>
          <w:lang w:eastAsia="zh-CN"/>
        </w:rPr>
        <w:t>核拨。</w:t>
      </w:r>
      <w:r>
        <w:rPr>
          <w:rFonts w:hint="eastAsia" w:ascii="仿宋_GB2312" w:hAnsi="仿宋_GB2312" w:eastAsia="仿宋_GB2312" w:cs="仿宋_GB2312"/>
          <w:b w:val="0"/>
          <w:bCs w:val="0"/>
          <w:snapToGrid/>
          <w:color w:val="auto"/>
          <w:kern w:val="2"/>
          <w:sz w:val="32"/>
          <w:szCs w:val="32"/>
          <w:u w:val="none"/>
          <w:lang w:val="en-US" w:eastAsia="zh-CN"/>
        </w:rPr>
        <w:t>少数民族预科班的课程按</w:t>
      </w:r>
      <w:r>
        <w:rPr>
          <w:rFonts w:hint="eastAsia" w:ascii="仿宋_GB2312" w:hAnsi="仿宋_GB2312" w:eastAsia="仿宋_GB2312" w:cs="仿宋_GB2312"/>
          <w:b w:val="0"/>
          <w:bCs w:val="0"/>
          <w:snapToGrid/>
          <w:color w:val="auto"/>
          <w:kern w:val="2"/>
          <w:sz w:val="32"/>
          <w:szCs w:val="32"/>
          <w:u w:val="none"/>
          <w:lang w:eastAsia="zh-CN"/>
        </w:rPr>
        <w:t>公共课教学的1.5倍</w:t>
      </w:r>
      <w:r>
        <w:rPr>
          <w:rFonts w:hint="eastAsia" w:ascii="仿宋_GB2312" w:hAnsi="仿宋_GB2312" w:eastAsia="仿宋_GB2312" w:cs="仿宋_GB2312"/>
          <w:b w:val="0"/>
          <w:bCs w:val="0"/>
          <w:snapToGrid/>
          <w:color w:val="auto"/>
          <w:kern w:val="2"/>
          <w:sz w:val="32"/>
          <w:szCs w:val="32"/>
          <w:u w:val="none"/>
          <w:lang w:val="en-US" w:eastAsia="zh-CN"/>
        </w:rPr>
        <w:t>核</w:t>
      </w:r>
      <w:r>
        <w:rPr>
          <w:rFonts w:hint="eastAsia" w:ascii="仿宋_GB2312" w:hAnsi="仿宋_GB2312" w:eastAsia="仿宋_GB2312" w:cs="仿宋_GB2312"/>
          <w:b w:val="0"/>
          <w:bCs w:val="0"/>
          <w:snapToGrid/>
          <w:color w:val="auto"/>
          <w:kern w:val="2"/>
          <w:sz w:val="32"/>
          <w:szCs w:val="32"/>
          <w:u w:val="none"/>
          <w:lang w:eastAsia="zh-CN"/>
        </w:rPr>
        <w:t>拨</w:t>
      </w:r>
      <w:r>
        <w:rPr>
          <w:rFonts w:hint="eastAsia" w:ascii="仿宋_GB2312" w:hAnsi="仿宋_GB2312" w:eastAsia="仿宋_GB2312" w:cs="仿宋_GB2312"/>
          <w:b w:val="0"/>
          <w:bCs w:val="0"/>
          <w:snapToGrid/>
          <w:color w:val="auto"/>
          <w:kern w:val="2"/>
          <w:sz w:val="32"/>
          <w:szCs w:val="32"/>
          <w:u w:val="none"/>
          <w:lang w:val="en-US" w:eastAsia="zh-CN"/>
        </w:rPr>
        <w:t>给开课学院。</w:t>
      </w:r>
      <w:r>
        <w:rPr>
          <w:rFonts w:hint="eastAsia" w:ascii="仿宋_GB2312" w:hAnsi="仿宋_GB2312" w:eastAsia="仿宋_GB2312" w:cs="仿宋_GB2312"/>
          <w:snapToGrid/>
          <w:color w:val="auto"/>
          <w:kern w:val="2"/>
          <w:sz w:val="32"/>
          <w:szCs w:val="32"/>
          <w:u w:val="none"/>
          <w:lang w:eastAsia="zh-CN"/>
        </w:rPr>
        <w:t>研究生公共课由研究生处核拨。</w:t>
      </w:r>
    </w:p>
    <w:p w14:paraId="6198E14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u w:val="none"/>
          <w:lang w:eastAsia="zh-CN"/>
        </w:rPr>
        <w:t>（2）跨学院专业课奖励。本科生</w:t>
      </w:r>
      <w:r>
        <w:rPr>
          <w:rFonts w:hint="eastAsia" w:ascii="仿宋_GB2312" w:hAnsi="仿宋_GB2312" w:eastAsia="仿宋_GB2312" w:cs="仿宋_GB2312"/>
          <w:b w:val="0"/>
          <w:bCs w:val="0"/>
          <w:snapToGrid/>
          <w:color w:val="auto"/>
          <w:kern w:val="2"/>
          <w:sz w:val="32"/>
          <w:szCs w:val="32"/>
          <w:u w:val="none"/>
          <w:lang w:val="en-US" w:eastAsia="zh-CN"/>
        </w:rPr>
        <w:t>专业课课时</w:t>
      </w:r>
      <w:r>
        <w:rPr>
          <w:rFonts w:hint="eastAsia" w:ascii="仿宋_GB2312" w:hAnsi="仿宋_GB2312" w:eastAsia="仿宋_GB2312" w:cs="仿宋_GB2312"/>
          <w:snapToGrid/>
          <w:color w:val="auto"/>
          <w:kern w:val="2"/>
          <w:sz w:val="32"/>
          <w:szCs w:val="32"/>
          <w:u w:val="none"/>
          <w:lang w:eastAsia="zh-CN"/>
        </w:rPr>
        <w:t>由开课学院和学生所在学院共同核算签字，由教务处按核算后</w:t>
      </w:r>
      <w:r>
        <w:rPr>
          <w:rFonts w:hint="eastAsia" w:ascii="仿宋_GB2312" w:hAnsi="仿宋_GB2312" w:eastAsia="仿宋_GB2312" w:cs="仿宋_GB2312"/>
          <w:snapToGrid/>
          <w:color w:val="auto"/>
          <w:kern w:val="2"/>
          <w:sz w:val="32"/>
          <w:szCs w:val="32"/>
          <w:lang w:eastAsia="zh-CN"/>
        </w:rPr>
        <w:t>的金额从</w:t>
      </w:r>
      <w:r>
        <w:rPr>
          <w:rFonts w:hint="eastAsia" w:ascii="仿宋_GB2312" w:hAnsi="仿宋_GB2312" w:eastAsia="仿宋_GB2312" w:cs="仿宋_GB2312"/>
          <w:snapToGrid/>
          <w:color w:val="auto"/>
          <w:kern w:val="2"/>
          <w:sz w:val="32"/>
          <w:szCs w:val="32"/>
          <w:u w:val="none"/>
          <w:lang w:eastAsia="zh-CN"/>
        </w:rPr>
        <w:t>学生所在学院</w:t>
      </w:r>
      <w:r>
        <w:rPr>
          <w:rFonts w:hint="eastAsia" w:ascii="仿宋_GB2312" w:hAnsi="仿宋_GB2312" w:eastAsia="仿宋_GB2312" w:cs="仿宋_GB2312"/>
          <w:snapToGrid/>
          <w:color w:val="auto"/>
          <w:kern w:val="2"/>
          <w:sz w:val="32"/>
          <w:szCs w:val="32"/>
          <w:lang w:eastAsia="zh-CN"/>
        </w:rPr>
        <w:t>划拨给开课学院。</w:t>
      </w:r>
      <w:r>
        <w:rPr>
          <w:rFonts w:hint="eastAsia" w:ascii="仿宋_GB2312" w:hAnsi="仿宋_GB2312" w:eastAsia="仿宋_GB2312" w:cs="仿宋_GB2312"/>
          <w:snapToGrid/>
          <w:color w:val="auto"/>
          <w:kern w:val="2"/>
          <w:sz w:val="32"/>
          <w:szCs w:val="32"/>
          <w:u w:val="none"/>
          <w:lang w:eastAsia="zh-CN"/>
        </w:rPr>
        <w:t>研究生课程由研究生处核算。</w:t>
      </w:r>
    </w:p>
    <w:p w14:paraId="1B85FCB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（3）全校公选课奖励。由教务处按教授每课时</w:t>
      </w:r>
      <w:r>
        <w:rPr>
          <w:rFonts w:hint="eastAsia" w:ascii="仿宋_GB2312" w:hAnsi="仿宋_GB2312" w:eastAsia="仿宋_GB2312" w:cs="仿宋_GB2312"/>
          <w:snapToGrid/>
          <w:color w:val="auto"/>
          <w:kern w:val="2"/>
          <w:sz w:val="32"/>
          <w:szCs w:val="32"/>
          <w:lang w:val="en-US" w:eastAsia="zh-CN"/>
        </w:rPr>
        <w:t>75元、副教授70元、讲师65元的标准</w:t>
      </w:r>
      <w:r>
        <w:rPr>
          <w:rFonts w:hint="eastAsia" w:ascii="仿宋_GB2312" w:hAnsi="仿宋_GB2312" w:eastAsia="仿宋_GB2312" w:cs="仿宋_GB2312"/>
          <w:snapToGrid/>
          <w:color w:val="auto"/>
          <w:kern w:val="2"/>
          <w:sz w:val="32"/>
          <w:szCs w:val="32"/>
          <w:lang w:eastAsia="zh-CN"/>
        </w:rPr>
        <w:t>核拨给开课学院。</w:t>
      </w:r>
    </w:p>
    <w:p w14:paraId="61AECEE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（4）在线课程选用奖励。由教务处根据外校选用我校课程情况折算课时，按</w:t>
      </w:r>
      <w:r>
        <w:rPr>
          <w:rFonts w:hint="eastAsia" w:ascii="仿宋_GB2312" w:hAnsi="仿宋_GB2312" w:eastAsia="仿宋_GB2312" w:cs="仿宋_GB2312"/>
          <w:snapToGrid/>
          <w:color w:val="auto"/>
          <w:kern w:val="2"/>
          <w:sz w:val="32"/>
          <w:szCs w:val="32"/>
          <w:u w:val="none"/>
          <w:lang w:eastAsia="zh-CN"/>
        </w:rPr>
        <w:t>每课时</w:t>
      </w:r>
      <w:r>
        <w:rPr>
          <w:rFonts w:hint="eastAsia" w:ascii="仿宋_GB2312" w:hAnsi="仿宋_GB2312" w:eastAsia="仿宋_GB2312" w:cs="仿宋_GB2312"/>
          <w:snapToGrid/>
          <w:color w:val="auto"/>
          <w:kern w:val="2"/>
          <w:sz w:val="32"/>
          <w:szCs w:val="32"/>
          <w:u w:val="none"/>
          <w:lang w:val="en-US" w:eastAsia="zh-CN"/>
        </w:rPr>
        <w:t>70元的标准</w:t>
      </w:r>
      <w:r>
        <w:rPr>
          <w:rFonts w:hint="eastAsia" w:ascii="仿宋_GB2312" w:hAnsi="仿宋_GB2312" w:eastAsia="仿宋_GB2312" w:cs="仿宋_GB2312"/>
          <w:snapToGrid/>
          <w:color w:val="auto"/>
          <w:kern w:val="2"/>
          <w:sz w:val="32"/>
          <w:szCs w:val="32"/>
          <w:lang w:eastAsia="zh-CN"/>
        </w:rPr>
        <w:t>核拨给开课学院。</w:t>
      </w:r>
    </w:p>
    <w:p w14:paraId="74C759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（5）学生体质测试奖励。根据省教育厅、省发展改革委、省财政厅、省体育局《关于进一步加强学校体育工作的实施意见》规定，学生体质健康测试按每班（每班按</w:t>
      </w:r>
      <w:r>
        <w:rPr>
          <w:rFonts w:hint="eastAsia" w:ascii="仿宋_GB2312" w:hAnsi="仿宋_GB2312" w:eastAsia="仿宋_GB2312" w:cs="仿宋_GB2312"/>
          <w:snapToGrid/>
          <w:color w:val="auto"/>
          <w:kern w:val="2"/>
          <w:sz w:val="32"/>
          <w:szCs w:val="32"/>
          <w:lang w:val="en-US" w:eastAsia="zh-CN"/>
        </w:rPr>
        <w:t>50人计算</w:t>
      </w:r>
      <w:r>
        <w:rPr>
          <w:rFonts w:hint="eastAsia" w:ascii="仿宋_GB2312" w:hAnsi="仿宋_GB2312" w:eastAsia="仿宋_GB2312" w:cs="仿宋_GB2312"/>
          <w:snapToGrid/>
          <w:color w:val="auto"/>
          <w:kern w:val="2"/>
          <w:sz w:val="32"/>
          <w:szCs w:val="32"/>
          <w:lang w:eastAsia="zh-CN"/>
        </w:rPr>
        <w:t>）每年8课时计算课时数，体育教师组织开展课外体育活动按每周2课时（每年按24周计算）计算课时数。由体育学院核算，报教务处核准并按</w:t>
      </w:r>
      <w:r>
        <w:rPr>
          <w:rFonts w:hint="eastAsia" w:ascii="仿宋_GB2312" w:hAnsi="仿宋_GB2312" w:eastAsia="仿宋_GB2312" w:cs="仿宋_GB2312"/>
          <w:snapToGrid/>
          <w:color w:val="auto"/>
          <w:kern w:val="2"/>
          <w:sz w:val="32"/>
          <w:szCs w:val="32"/>
          <w:u w:val="none"/>
          <w:lang w:eastAsia="zh-CN"/>
        </w:rPr>
        <w:t>每课时</w:t>
      </w:r>
      <w:r>
        <w:rPr>
          <w:rFonts w:hint="eastAsia" w:ascii="仿宋_GB2312" w:hAnsi="仿宋_GB2312" w:eastAsia="仿宋_GB2312" w:cs="仿宋_GB2312"/>
          <w:snapToGrid/>
          <w:color w:val="auto"/>
          <w:kern w:val="2"/>
          <w:sz w:val="32"/>
          <w:szCs w:val="32"/>
          <w:u w:val="none"/>
          <w:lang w:val="en-US" w:eastAsia="zh-CN"/>
        </w:rPr>
        <w:t>70元</w:t>
      </w:r>
      <w:r>
        <w:rPr>
          <w:rFonts w:hint="eastAsia" w:ascii="仿宋_GB2312" w:hAnsi="仿宋_GB2312" w:eastAsia="仿宋_GB2312" w:cs="仿宋_GB2312"/>
          <w:snapToGrid/>
          <w:color w:val="auto"/>
          <w:kern w:val="2"/>
          <w:sz w:val="32"/>
          <w:szCs w:val="32"/>
          <w:lang w:eastAsia="zh-CN"/>
        </w:rPr>
        <w:t>的标准核拨给体育学院。</w:t>
      </w:r>
    </w:p>
    <w:p w14:paraId="7C61A7C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snapToGrid/>
          <w:color w:val="auto"/>
          <w:kern w:val="2"/>
          <w:sz w:val="32"/>
          <w:szCs w:val="32"/>
          <w:lang w:eastAsia="zh-CN"/>
        </w:rPr>
      </w:pPr>
      <w:r>
        <w:rPr>
          <w:rFonts w:hint="eastAsia" w:ascii="楷体_GB2312" w:hAnsi="楷体_GB2312" w:eastAsia="楷体_GB2312" w:cs="楷体_GB2312"/>
          <w:b/>
          <w:bCs/>
          <w:snapToGrid/>
          <w:color w:val="auto"/>
          <w:kern w:val="2"/>
          <w:sz w:val="32"/>
          <w:szCs w:val="32"/>
          <w:lang w:eastAsia="zh-CN"/>
        </w:rPr>
        <w:t>（三）办学绩效奖核拨</w:t>
      </w:r>
    </w:p>
    <w:p w14:paraId="0CBA356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bCs/>
          <w:snapToGrid/>
          <w:color w:val="auto"/>
          <w:kern w:val="2"/>
          <w:sz w:val="32"/>
          <w:szCs w:val="32"/>
          <w:u w:val="single"/>
          <w:lang w:val="en-US" w:eastAsia="zh-CN"/>
        </w:rPr>
      </w:pPr>
      <w:r>
        <w:rPr>
          <w:rFonts w:hint="eastAsia" w:ascii="仿宋_GB2312" w:hAnsi="仿宋_GB2312" w:eastAsia="仿宋_GB2312" w:cs="仿宋_GB2312"/>
          <w:snapToGrid/>
          <w:color w:val="auto"/>
          <w:kern w:val="2"/>
          <w:sz w:val="32"/>
          <w:szCs w:val="32"/>
          <w:lang w:eastAsia="zh-CN"/>
        </w:rPr>
        <w:t>1.办学绩效评价奖励：按《20</w:t>
      </w:r>
      <w:r>
        <w:rPr>
          <w:rFonts w:hint="eastAsia" w:ascii="仿宋_GB2312" w:hAnsi="仿宋_GB2312" w:eastAsia="仿宋_GB2312" w:cs="仿宋_GB2312"/>
          <w:snapToGrid/>
          <w:color w:val="auto"/>
          <w:kern w:val="2"/>
          <w:sz w:val="32"/>
          <w:szCs w:val="32"/>
          <w:lang w:val="en-US" w:eastAsia="zh-CN"/>
        </w:rPr>
        <w:t>25</w:t>
      </w:r>
      <w:r>
        <w:rPr>
          <w:rFonts w:hint="eastAsia" w:ascii="仿宋_GB2312" w:hAnsi="仿宋_GB2312" w:eastAsia="仿宋_GB2312" w:cs="仿宋_GB2312"/>
          <w:snapToGrid/>
          <w:color w:val="auto"/>
          <w:kern w:val="2"/>
          <w:sz w:val="32"/>
          <w:szCs w:val="32"/>
          <w:lang w:eastAsia="zh-CN"/>
        </w:rPr>
        <w:t>年度二级学院办学绩效评价体系》对二级学院进行绩效评价，并核拨奖励金额。</w:t>
      </w:r>
    </w:p>
    <w:p w14:paraId="5C4B5B7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u w:val="none"/>
          <w:lang w:eastAsia="zh-CN"/>
        </w:rPr>
      </w:pPr>
      <w:r>
        <w:rPr>
          <w:rFonts w:hint="eastAsia" w:ascii="仿宋_GB2312" w:hAnsi="仿宋_GB2312" w:eastAsia="仿宋_GB2312" w:cs="仿宋_GB2312"/>
          <w:b w:val="0"/>
          <w:bCs w:val="0"/>
          <w:snapToGrid/>
          <w:color w:val="auto"/>
          <w:kern w:val="2"/>
          <w:sz w:val="32"/>
          <w:szCs w:val="32"/>
          <w:u w:val="none"/>
          <w:lang w:val="en-US" w:eastAsia="zh-CN"/>
        </w:rPr>
        <w:t>2</w:t>
      </w:r>
      <w:r>
        <w:rPr>
          <w:rFonts w:hint="eastAsia" w:ascii="仿宋_GB2312" w:hAnsi="仿宋_GB2312" w:eastAsia="仿宋_GB2312" w:cs="仿宋_GB2312"/>
          <w:b w:val="0"/>
          <w:bCs w:val="0"/>
          <w:snapToGrid/>
          <w:color w:val="auto"/>
          <w:kern w:val="2"/>
          <w:sz w:val="32"/>
          <w:szCs w:val="32"/>
          <w:u w:val="none"/>
          <w:lang w:eastAsia="zh-CN"/>
        </w:rPr>
        <w:t>.南安校区办学奖励：</w:t>
      </w:r>
      <w:r>
        <w:rPr>
          <w:rFonts w:hint="eastAsia" w:ascii="仿宋_GB2312" w:hAnsi="仿宋_GB2312" w:eastAsia="仿宋_GB2312" w:cs="仿宋_GB2312"/>
          <w:b w:val="0"/>
          <w:bCs w:val="0"/>
          <w:snapToGrid/>
          <w:color w:val="auto"/>
          <w:kern w:val="2"/>
          <w:sz w:val="32"/>
          <w:szCs w:val="32"/>
          <w:u w:val="none"/>
          <w:lang w:val="en-US" w:eastAsia="zh-CN"/>
        </w:rPr>
        <w:t>按</w:t>
      </w:r>
      <w:r>
        <w:rPr>
          <w:rFonts w:hint="eastAsia" w:ascii="仿宋_GB2312" w:hAnsi="仿宋_GB2312" w:eastAsia="仿宋_GB2312" w:cs="仿宋_GB2312"/>
          <w:b w:val="0"/>
          <w:bCs w:val="0"/>
          <w:snapToGrid/>
          <w:color w:val="auto"/>
          <w:kern w:val="2"/>
          <w:sz w:val="32"/>
          <w:szCs w:val="32"/>
          <w:u w:val="none"/>
          <w:lang w:eastAsia="zh-CN"/>
        </w:rPr>
        <w:t>每生</w:t>
      </w:r>
      <w:r>
        <w:rPr>
          <w:rFonts w:hint="eastAsia" w:ascii="仿宋_GB2312" w:hAnsi="仿宋_GB2312" w:eastAsia="仿宋_GB2312" w:cs="仿宋_GB2312"/>
          <w:b w:val="0"/>
          <w:bCs w:val="0"/>
          <w:snapToGrid/>
          <w:color w:val="auto"/>
          <w:kern w:val="2"/>
          <w:sz w:val="32"/>
          <w:szCs w:val="32"/>
          <w:u w:val="none"/>
          <w:lang w:val="en-US" w:eastAsia="zh-CN"/>
        </w:rPr>
        <w:t>300</w:t>
      </w:r>
      <w:r>
        <w:rPr>
          <w:rFonts w:hint="eastAsia" w:ascii="仿宋_GB2312" w:hAnsi="仿宋_GB2312" w:eastAsia="仿宋_GB2312" w:cs="仿宋_GB2312"/>
          <w:b w:val="0"/>
          <w:bCs w:val="0"/>
          <w:snapToGrid/>
          <w:color w:val="auto"/>
          <w:kern w:val="2"/>
          <w:sz w:val="32"/>
          <w:szCs w:val="32"/>
          <w:u w:val="none"/>
          <w:lang w:eastAsia="zh-CN"/>
        </w:rPr>
        <w:t>元</w:t>
      </w:r>
      <w:r>
        <w:rPr>
          <w:rFonts w:hint="eastAsia" w:ascii="仿宋_GB2312" w:hAnsi="仿宋_GB2312" w:eastAsia="仿宋_GB2312" w:cs="仿宋_GB2312"/>
          <w:b w:val="0"/>
          <w:bCs w:val="0"/>
          <w:snapToGrid/>
          <w:color w:val="auto"/>
          <w:kern w:val="2"/>
          <w:sz w:val="32"/>
          <w:szCs w:val="32"/>
          <w:u w:val="none"/>
          <w:lang w:val="en-US" w:eastAsia="zh-CN"/>
        </w:rPr>
        <w:t>奖励</w:t>
      </w:r>
      <w:r>
        <w:rPr>
          <w:rFonts w:hint="eastAsia" w:ascii="仿宋_GB2312" w:hAnsi="仿宋_GB2312" w:eastAsia="仿宋_GB2312" w:cs="仿宋_GB2312"/>
          <w:b w:val="0"/>
          <w:bCs w:val="0"/>
          <w:snapToGrid/>
          <w:color w:val="auto"/>
          <w:kern w:val="2"/>
          <w:sz w:val="32"/>
          <w:szCs w:val="32"/>
          <w:u w:val="none"/>
          <w:lang w:eastAsia="zh-CN"/>
        </w:rPr>
        <w:t>。</w:t>
      </w:r>
    </w:p>
    <w:p w14:paraId="60AC716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u w:val="none"/>
          <w:lang w:eastAsia="zh-CN"/>
        </w:rPr>
      </w:pPr>
      <w:r>
        <w:rPr>
          <w:rFonts w:hint="eastAsia" w:ascii="仿宋_GB2312" w:hAnsi="仿宋_GB2312" w:eastAsia="仿宋_GB2312" w:cs="仿宋_GB2312"/>
          <w:snapToGrid/>
          <w:color w:val="auto"/>
          <w:kern w:val="2"/>
          <w:sz w:val="32"/>
          <w:szCs w:val="32"/>
          <w:lang w:val="en-US" w:eastAsia="zh-CN"/>
        </w:rPr>
        <w:t>3</w:t>
      </w:r>
      <w:r>
        <w:rPr>
          <w:rFonts w:hint="eastAsia" w:ascii="仿宋_GB2312" w:hAnsi="仿宋_GB2312" w:eastAsia="仿宋_GB2312" w:cs="仿宋_GB2312"/>
          <w:snapToGrid/>
          <w:color w:val="auto"/>
          <w:kern w:val="2"/>
          <w:sz w:val="32"/>
          <w:szCs w:val="32"/>
          <w:lang w:eastAsia="zh-CN"/>
        </w:rPr>
        <w:t>.闽台</w:t>
      </w:r>
      <w:r>
        <w:rPr>
          <w:rFonts w:hint="eastAsia" w:ascii="仿宋_GB2312" w:hAnsi="仿宋_GB2312" w:eastAsia="仿宋_GB2312" w:cs="仿宋_GB2312"/>
          <w:snapToGrid/>
          <w:color w:val="auto"/>
          <w:kern w:val="2"/>
          <w:sz w:val="32"/>
          <w:szCs w:val="32"/>
          <w:u w:val="none"/>
          <w:lang w:eastAsia="zh-CN"/>
        </w:rPr>
        <w:t>合作班、</w:t>
      </w:r>
      <w:r>
        <w:rPr>
          <w:rFonts w:hint="eastAsia" w:ascii="仿宋_GB2312" w:hAnsi="仿宋_GB2312" w:eastAsia="仿宋_GB2312" w:cs="仿宋_GB2312"/>
          <w:b w:val="0"/>
          <w:bCs w:val="0"/>
          <w:snapToGrid/>
          <w:color w:val="auto"/>
          <w:kern w:val="2"/>
          <w:sz w:val="32"/>
          <w:szCs w:val="32"/>
          <w:u w:val="none"/>
          <w:lang w:eastAsia="zh-CN"/>
        </w:rPr>
        <w:t>国际课程班</w:t>
      </w:r>
      <w:r>
        <w:rPr>
          <w:rFonts w:hint="eastAsia" w:ascii="仿宋_GB2312" w:hAnsi="仿宋_GB2312" w:eastAsia="仿宋_GB2312" w:cs="仿宋_GB2312"/>
          <w:b w:val="0"/>
          <w:bCs w:val="0"/>
          <w:snapToGrid/>
          <w:color w:val="auto"/>
          <w:kern w:val="2"/>
          <w:sz w:val="32"/>
          <w:szCs w:val="32"/>
          <w:u w:val="none"/>
          <w:lang w:val="en-US" w:eastAsia="zh-CN"/>
        </w:rPr>
        <w:t>办学奖励：按</w:t>
      </w:r>
      <w:r>
        <w:rPr>
          <w:rFonts w:hint="eastAsia" w:ascii="仿宋_GB2312" w:hAnsi="仿宋_GB2312" w:eastAsia="仿宋_GB2312" w:cs="仿宋_GB2312"/>
          <w:snapToGrid/>
          <w:color w:val="auto"/>
          <w:kern w:val="2"/>
          <w:sz w:val="32"/>
          <w:szCs w:val="32"/>
          <w:u w:val="none"/>
          <w:lang w:eastAsia="zh-CN"/>
        </w:rPr>
        <w:t>每生1000元奖励。</w:t>
      </w:r>
    </w:p>
    <w:p w14:paraId="7758906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val="en-US" w:eastAsia="zh-CN"/>
        </w:rPr>
        <w:t>4</w:t>
      </w:r>
      <w:r>
        <w:rPr>
          <w:rFonts w:hint="eastAsia" w:ascii="仿宋_GB2312" w:hAnsi="仿宋_GB2312" w:eastAsia="仿宋_GB2312" w:cs="仿宋_GB2312"/>
          <w:snapToGrid/>
          <w:color w:val="auto"/>
          <w:kern w:val="2"/>
          <w:sz w:val="32"/>
          <w:szCs w:val="32"/>
          <w:lang w:eastAsia="zh-CN"/>
        </w:rPr>
        <w:t>.小学教育西藏班办学奖励：</w:t>
      </w:r>
      <w:r>
        <w:rPr>
          <w:rFonts w:hint="eastAsia" w:ascii="仿宋_GB2312" w:hAnsi="仿宋_GB2312" w:eastAsia="仿宋_GB2312" w:cs="仿宋_GB2312"/>
          <w:snapToGrid/>
          <w:color w:val="auto"/>
          <w:kern w:val="2"/>
          <w:sz w:val="32"/>
          <w:szCs w:val="32"/>
          <w:lang w:val="en-US" w:eastAsia="zh-CN"/>
        </w:rPr>
        <w:t>按</w:t>
      </w:r>
      <w:r>
        <w:rPr>
          <w:rFonts w:hint="eastAsia" w:ascii="仿宋_GB2312" w:hAnsi="仿宋_GB2312" w:eastAsia="仿宋_GB2312" w:cs="仿宋_GB2312"/>
          <w:snapToGrid/>
          <w:color w:val="auto"/>
          <w:kern w:val="2"/>
          <w:sz w:val="32"/>
          <w:szCs w:val="32"/>
          <w:lang w:eastAsia="zh-CN"/>
        </w:rPr>
        <w:t>每生1000元</w:t>
      </w:r>
      <w:r>
        <w:rPr>
          <w:rFonts w:hint="eastAsia" w:ascii="仿宋_GB2312" w:hAnsi="仿宋_GB2312" w:eastAsia="仿宋_GB2312" w:cs="仿宋_GB2312"/>
          <w:snapToGrid/>
          <w:color w:val="auto"/>
          <w:kern w:val="2"/>
          <w:sz w:val="32"/>
          <w:szCs w:val="32"/>
          <w:lang w:val="en-US" w:eastAsia="zh-CN"/>
        </w:rPr>
        <w:t>奖励</w:t>
      </w:r>
      <w:r>
        <w:rPr>
          <w:rFonts w:hint="eastAsia" w:ascii="仿宋_GB2312" w:hAnsi="仿宋_GB2312" w:eastAsia="仿宋_GB2312" w:cs="仿宋_GB2312"/>
          <w:snapToGrid/>
          <w:color w:val="auto"/>
          <w:kern w:val="2"/>
          <w:sz w:val="32"/>
          <w:szCs w:val="32"/>
          <w:lang w:eastAsia="zh-CN"/>
        </w:rPr>
        <w:t>。</w:t>
      </w:r>
    </w:p>
    <w:p w14:paraId="66AB8A9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snapToGrid/>
          <w:color w:val="auto"/>
          <w:kern w:val="2"/>
          <w:sz w:val="32"/>
          <w:szCs w:val="32"/>
          <w:lang w:val="en-US" w:eastAsia="zh-CN"/>
        </w:rPr>
        <w:t>5.公派外出挂职奖励：</w:t>
      </w:r>
      <w:bookmarkStart w:id="0" w:name="_GoBack"/>
      <w:bookmarkEnd w:id="0"/>
      <w:r>
        <w:rPr>
          <w:rFonts w:hint="eastAsia" w:ascii="仿宋_GB2312" w:hAnsi="仿宋_GB2312" w:eastAsia="仿宋_GB2312" w:cs="仿宋_GB2312"/>
          <w:snapToGrid/>
          <w:color w:val="auto"/>
          <w:kern w:val="2"/>
          <w:sz w:val="32"/>
          <w:szCs w:val="32"/>
          <w:lang w:val="en-US" w:eastAsia="zh-CN"/>
        </w:rPr>
        <w:t>由派出部门核准，并提供依据。</w:t>
      </w:r>
    </w:p>
    <w:p w14:paraId="46981308">
      <w:pPr>
        <w:keepNext w:val="0"/>
        <w:keepLines w:val="0"/>
        <w:pageBreakBefore w:val="0"/>
        <w:widowControl w:val="0"/>
        <w:kinsoku/>
        <w:wordWrap/>
        <w:overflowPunct/>
        <w:topLinePunct w:val="0"/>
        <w:autoSpaceDE/>
        <w:autoSpaceDN/>
        <w:bidi w:val="0"/>
        <w:adjustRightInd/>
        <w:snapToGrid/>
        <w:spacing w:line="540" w:lineRule="exact"/>
        <w:ind w:firstLine="555"/>
        <w:jc w:val="both"/>
        <w:textAlignment w:val="auto"/>
        <w:rPr>
          <w:rFonts w:hint="eastAsia"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snapToGrid/>
          <w:color w:val="auto"/>
          <w:kern w:val="2"/>
          <w:sz w:val="32"/>
          <w:szCs w:val="32"/>
          <w:lang w:val="en-US" w:eastAsia="zh-CN"/>
        </w:rPr>
        <w:t>按上述方式分配</w:t>
      </w:r>
      <w:r>
        <w:rPr>
          <w:rFonts w:hint="eastAsia" w:ascii="仿宋_GB2312" w:hAnsi="仿宋_GB2312" w:eastAsia="仿宋_GB2312" w:cs="仿宋_GB2312"/>
          <w:snapToGrid/>
          <w:color w:val="auto"/>
          <w:kern w:val="2"/>
          <w:sz w:val="32"/>
          <w:szCs w:val="32"/>
          <w:lang w:eastAsia="zh-CN"/>
        </w:rPr>
        <w:t>核拨</w:t>
      </w:r>
      <w:r>
        <w:rPr>
          <w:rFonts w:hint="eastAsia" w:ascii="仿宋_GB2312" w:hAnsi="仿宋_GB2312" w:eastAsia="仿宋_GB2312" w:cs="仿宋_GB2312"/>
          <w:snapToGrid/>
          <w:color w:val="auto"/>
          <w:kern w:val="2"/>
          <w:sz w:val="32"/>
          <w:szCs w:val="32"/>
          <w:lang w:val="en-US" w:eastAsia="zh-CN"/>
        </w:rPr>
        <w:t>后，若有剩余，则按各学院教职工人数平均分配。</w:t>
      </w:r>
    </w:p>
    <w:p w14:paraId="26EC0B94">
      <w:pPr>
        <w:keepNext w:val="0"/>
        <w:keepLines w:val="0"/>
        <w:pageBreakBefore w:val="0"/>
        <w:widowControl w:val="0"/>
        <w:kinsoku/>
        <w:wordWrap/>
        <w:overflowPunct/>
        <w:topLinePunct w:val="0"/>
        <w:autoSpaceDE/>
        <w:autoSpaceDN/>
        <w:bidi w:val="0"/>
        <w:adjustRightInd/>
        <w:snapToGrid/>
        <w:spacing w:line="540" w:lineRule="exact"/>
        <w:ind w:firstLine="555"/>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四、</w:t>
      </w:r>
      <w:r>
        <w:rPr>
          <w:rFonts w:hint="eastAsia" w:ascii="黑体" w:hAnsi="黑体" w:eastAsia="黑体" w:cs="黑体"/>
          <w:snapToGrid/>
          <w:color w:val="auto"/>
          <w:kern w:val="2"/>
          <w:sz w:val="32"/>
          <w:szCs w:val="32"/>
          <w:lang w:val="en-US" w:eastAsia="zh-CN"/>
        </w:rPr>
        <w:t>二级</w:t>
      </w:r>
      <w:r>
        <w:rPr>
          <w:rFonts w:hint="eastAsia" w:ascii="黑体" w:hAnsi="黑体" w:eastAsia="黑体" w:cs="黑体"/>
          <w:snapToGrid/>
          <w:color w:val="auto"/>
          <w:kern w:val="2"/>
          <w:sz w:val="32"/>
          <w:szCs w:val="32"/>
          <w:lang w:eastAsia="zh-CN"/>
        </w:rPr>
        <w:t>分配原则</w:t>
      </w:r>
    </w:p>
    <w:p w14:paraId="0D66712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（一）要坚持“按劳分配，优绩优酬”。教学工作奖的分配应与教职工的岗位职责、工作业绩直接挂钩，按履行岗位职责、完成工作任务的数量和质量定酬。</w:t>
      </w:r>
    </w:p>
    <w:p w14:paraId="7BFF37E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（二）要统筹考虑，合理拉开分配档次，形成竞争激励机制，向教学一线和优秀人才倾斜。同时，要注重公平，防止不合理的差距，适当缩小超工作量课时奖励标准与核定工作量课时奖励标准之间的差距。</w:t>
      </w:r>
    </w:p>
    <w:p w14:paraId="2786003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三）要根据学校办学定位，科学处理教学与管理的关系，充分考虑教务人员和辅导员等一线管理人员的工作量，合理安排教学与管理奖励的比例，定额工作量与超额工作量奖励的比例，促进管理人员明确并充分履行各自的岗位职责。</w:t>
      </w:r>
    </w:p>
    <w:p w14:paraId="2910981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（四）要以激励教职工多出成果、出好成果为导向。教学工作奖和办学绩效奖的分配应从以下几个方面予以着重考虑：</w:t>
      </w:r>
    </w:p>
    <w:p w14:paraId="72D500D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1.在</w:t>
      </w:r>
      <w:r>
        <w:rPr>
          <w:rFonts w:hint="eastAsia" w:ascii="仿宋_GB2312" w:hAnsi="仿宋_GB2312" w:eastAsia="仿宋_GB2312" w:cs="仿宋_GB2312"/>
          <w:b w:val="0"/>
          <w:bCs w:val="0"/>
          <w:snapToGrid/>
          <w:color w:val="auto"/>
          <w:kern w:val="2"/>
          <w:sz w:val="32"/>
          <w:szCs w:val="32"/>
          <w:u w:val="none"/>
          <w:lang w:val="en-US" w:eastAsia="zh-CN"/>
        </w:rPr>
        <w:t>一流应用型高校</w:t>
      </w:r>
      <w:r>
        <w:rPr>
          <w:rFonts w:hint="eastAsia" w:ascii="仿宋_GB2312" w:hAnsi="仿宋_GB2312" w:eastAsia="仿宋_GB2312" w:cs="仿宋_GB2312"/>
          <w:snapToGrid/>
          <w:color w:val="auto"/>
          <w:kern w:val="2"/>
          <w:sz w:val="32"/>
          <w:szCs w:val="32"/>
          <w:lang w:eastAsia="zh-CN"/>
        </w:rPr>
        <w:t>建设、本科专业建设与认证、实验实训平台建设、人才培养模式改革、专业结构调整、教学手段与方法改革、一流课程建设、创新创业教育改革、校企合作、闽台合作等方面作出贡献的；</w:t>
      </w:r>
    </w:p>
    <w:p w14:paraId="4BCA218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2.在教育教学改革研究与实践、指导学生学科赛事、创新创业项目，以及参加本学科领域专业竞赛、教学竞赛等方面作出成绩的；</w:t>
      </w:r>
    </w:p>
    <w:p w14:paraId="5DC15AA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3.在人才引进、师资队伍建设工作中作出贡献的；</w:t>
      </w:r>
    </w:p>
    <w:p w14:paraId="2F56754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val="en-US" w:eastAsia="zh-CN"/>
        </w:rPr>
        <w:t>4</w:t>
      </w:r>
      <w:r>
        <w:rPr>
          <w:rFonts w:hint="eastAsia" w:ascii="仿宋_GB2312" w:hAnsi="仿宋_GB2312" w:eastAsia="仿宋_GB2312" w:cs="仿宋_GB2312"/>
          <w:snapToGrid/>
          <w:color w:val="auto"/>
          <w:kern w:val="2"/>
          <w:sz w:val="32"/>
          <w:szCs w:val="32"/>
          <w:lang w:eastAsia="zh-CN"/>
        </w:rPr>
        <w:t>.在各级重点学科、特色学科、扶持学科建设中作出贡献的；</w:t>
      </w:r>
    </w:p>
    <w:p w14:paraId="13497FA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val="en-US" w:eastAsia="zh-CN"/>
        </w:rPr>
        <w:t>5</w:t>
      </w:r>
      <w:r>
        <w:rPr>
          <w:rFonts w:hint="eastAsia" w:ascii="仿宋_GB2312" w:hAnsi="仿宋_GB2312" w:eastAsia="仿宋_GB2312" w:cs="仿宋_GB2312"/>
          <w:snapToGrid/>
          <w:color w:val="auto"/>
          <w:kern w:val="2"/>
          <w:sz w:val="32"/>
          <w:szCs w:val="32"/>
          <w:lang w:eastAsia="zh-CN"/>
        </w:rPr>
        <w:t>.在硕士点申报与建设、专业学位研究生联合培养示范基地申报等工作中作出贡献的。</w:t>
      </w:r>
    </w:p>
    <w:p w14:paraId="67BF927F">
      <w:pPr>
        <w:keepNext w:val="0"/>
        <w:keepLines w:val="0"/>
        <w:pageBreakBefore w:val="0"/>
        <w:widowControl w:val="0"/>
        <w:kinsoku/>
        <w:wordWrap/>
        <w:overflowPunct/>
        <w:topLinePunct w:val="0"/>
        <w:autoSpaceDE/>
        <w:autoSpaceDN/>
        <w:bidi w:val="0"/>
        <w:adjustRightInd/>
        <w:snapToGrid/>
        <w:spacing w:line="540" w:lineRule="exact"/>
        <w:ind w:firstLine="555"/>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五、相关要求</w:t>
      </w:r>
    </w:p>
    <w:p w14:paraId="55150D3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各二级学院应在学校原则意见的指导下，制定本学院教学工作奖和办学绩效奖的具体分配办法。</w:t>
      </w:r>
    </w:p>
    <w:p w14:paraId="3DB1125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p>
    <w:p w14:paraId="1726B86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FF0000"/>
          <w:spacing w:val="17"/>
          <w:sz w:val="32"/>
          <w:szCs w:val="32"/>
          <w:lang w:eastAsia="zh-CN"/>
        </w:rPr>
      </w:pPr>
      <w:r>
        <w:rPr>
          <w:rFonts w:hint="eastAsia" w:ascii="仿宋_GB2312" w:hAnsi="仿宋_GB2312" w:eastAsia="仿宋_GB2312" w:cs="仿宋_GB2312"/>
          <w:snapToGrid/>
          <w:color w:val="auto"/>
          <w:kern w:val="2"/>
          <w:sz w:val="32"/>
          <w:szCs w:val="32"/>
          <w:lang w:eastAsia="zh-CN"/>
        </w:rPr>
        <w:t>附件：20</w:t>
      </w:r>
      <w:r>
        <w:rPr>
          <w:rFonts w:hint="eastAsia" w:ascii="仿宋_GB2312" w:hAnsi="仿宋_GB2312" w:eastAsia="仿宋_GB2312" w:cs="仿宋_GB2312"/>
          <w:snapToGrid/>
          <w:color w:val="auto"/>
          <w:kern w:val="2"/>
          <w:sz w:val="32"/>
          <w:szCs w:val="32"/>
          <w:lang w:val="en-US" w:eastAsia="zh-CN"/>
        </w:rPr>
        <w:t>25</w:t>
      </w:r>
      <w:r>
        <w:rPr>
          <w:rFonts w:hint="eastAsia" w:ascii="仿宋_GB2312" w:hAnsi="仿宋_GB2312" w:eastAsia="仿宋_GB2312" w:cs="仿宋_GB2312"/>
          <w:snapToGrid/>
          <w:color w:val="auto"/>
          <w:kern w:val="2"/>
          <w:sz w:val="32"/>
          <w:szCs w:val="32"/>
          <w:lang w:eastAsia="zh-CN"/>
        </w:rPr>
        <w:t>年度二级学院办学绩效项目评价</w:t>
      </w:r>
      <w:r>
        <w:rPr>
          <w:rFonts w:hint="eastAsia" w:ascii="仿宋_GB2312" w:hAnsi="仿宋_GB2312" w:eastAsia="仿宋_GB2312" w:cs="仿宋_GB2312"/>
          <w:snapToGrid/>
          <w:color w:val="auto"/>
          <w:kern w:val="2"/>
          <w:sz w:val="32"/>
          <w:szCs w:val="32"/>
          <w:lang w:val="en-US" w:eastAsia="zh-CN"/>
        </w:rPr>
        <w:t>指标</w:t>
      </w:r>
    </w:p>
    <w:sectPr>
      <w:footerReference r:id="rId5" w:type="default"/>
      <w:pgSz w:w="11906" w:h="16839"/>
      <w:pgMar w:top="2098" w:right="1474" w:bottom="1984" w:left="1587" w:header="0" w:footer="994" w:gutter="0"/>
      <w:pgNumType w:fmt="numberInDash" w:start="6"/>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4CD5">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807EF">
                          <w:pPr>
                            <w:pStyle w:val="3"/>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- 28 -</w:t>
                          </w:r>
                          <w:r>
                            <w:rPr>
                              <w:rFonts w:hint="eastAsia" w:ascii="宋体" w:hAnsi="宋体" w:eastAsia="宋体" w:cs="宋体"/>
                              <w:sz w:val="28"/>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43F807EF">
                    <w:pPr>
                      <w:pStyle w:val="3"/>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- 28 -</w:t>
                    </w:r>
                    <w:r>
                      <w:rPr>
                        <w:rFonts w:hint="eastAsia" w:ascii="宋体" w:hAnsi="宋体" w:eastAsia="宋体" w:cs="宋体"/>
                        <w:sz w:val="28"/>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6F44528"/>
    <w:rsid w:val="09851F29"/>
    <w:rsid w:val="0CE57811"/>
    <w:rsid w:val="143D6FF9"/>
    <w:rsid w:val="14677440"/>
    <w:rsid w:val="168D000D"/>
    <w:rsid w:val="16DA5949"/>
    <w:rsid w:val="17675875"/>
    <w:rsid w:val="18CC6976"/>
    <w:rsid w:val="1CB60ED3"/>
    <w:rsid w:val="1CD86A1F"/>
    <w:rsid w:val="1F112B87"/>
    <w:rsid w:val="24582C38"/>
    <w:rsid w:val="2536704D"/>
    <w:rsid w:val="26750726"/>
    <w:rsid w:val="26A658CA"/>
    <w:rsid w:val="299B0984"/>
    <w:rsid w:val="2A7925CE"/>
    <w:rsid w:val="2BE617CC"/>
    <w:rsid w:val="2CE46766"/>
    <w:rsid w:val="2F0E3463"/>
    <w:rsid w:val="2F215936"/>
    <w:rsid w:val="2FBB4D1E"/>
    <w:rsid w:val="2FD81CCA"/>
    <w:rsid w:val="30526C82"/>
    <w:rsid w:val="36120CD2"/>
    <w:rsid w:val="386A108F"/>
    <w:rsid w:val="3D8E5820"/>
    <w:rsid w:val="3F342399"/>
    <w:rsid w:val="40850363"/>
    <w:rsid w:val="43247589"/>
    <w:rsid w:val="4799451A"/>
    <w:rsid w:val="480C4C44"/>
    <w:rsid w:val="4A646E92"/>
    <w:rsid w:val="50BA710C"/>
    <w:rsid w:val="53927D35"/>
    <w:rsid w:val="54501629"/>
    <w:rsid w:val="54CA31DF"/>
    <w:rsid w:val="563D43FE"/>
    <w:rsid w:val="58912C25"/>
    <w:rsid w:val="5A1178D7"/>
    <w:rsid w:val="5BE16DF2"/>
    <w:rsid w:val="5C8E78FA"/>
    <w:rsid w:val="64041AE8"/>
    <w:rsid w:val="67407D19"/>
    <w:rsid w:val="69B25283"/>
    <w:rsid w:val="6A66711B"/>
    <w:rsid w:val="6F8A67DE"/>
    <w:rsid w:val="73DC6AD2"/>
    <w:rsid w:val="75D16CE7"/>
    <w:rsid w:val="778D673D"/>
    <w:rsid w:val="7B127583"/>
    <w:rsid w:val="7BF858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FangSong_GB2312" w:hAnsi="FangSong_GB2312" w:eastAsia="FangSong_GB2312" w:cs="FangSong_GB2312"/>
      <w:sz w:val="24"/>
      <w:szCs w:val="24"/>
      <w:lang w:val="en-US" w:eastAsia="en-US" w:bidi="ar-SA"/>
    </w:rPr>
  </w:style>
  <w:style w:type="character" w:customStyle="1" w:styleId="10">
    <w:name w:val="font81"/>
    <w:basedOn w:val="6"/>
    <w:qFormat/>
    <w:uiPriority w:val="0"/>
    <w:rPr>
      <w:rFonts w:hint="eastAsia" w:ascii="仿宋_GB2312" w:eastAsia="仿宋_GB2312" w:cs="仿宋_GB2312"/>
      <w:color w:val="000000"/>
      <w:sz w:val="24"/>
      <w:szCs w:val="24"/>
      <w:u w:val="none"/>
    </w:rPr>
  </w:style>
  <w:style w:type="character" w:customStyle="1" w:styleId="11">
    <w:name w:val="font91"/>
    <w:basedOn w:val="6"/>
    <w:qFormat/>
    <w:uiPriority w:val="0"/>
    <w:rPr>
      <w:rFonts w:hint="eastAsia" w:ascii="仿宋_GB2312" w:eastAsia="仿宋_GB2312" w:cs="仿宋_GB2312"/>
      <w:color w:val="FF0000"/>
      <w:sz w:val="24"/>
      <w:szCs w:val="24"/>
      <w:u w:val="none"/>
    </w:rPr>
  </w:style>
  <w:style w:type="character" w:customStyle="1" w:styleId="12">
    <w:name w:val="font121"/>
    <w:basedOn w:val="6"/>
    <w:qFormat/>
    <w:uiPriority w:val="0"/>
    <w:rPr>
      <w:rFonts w:hint="eastAsia" w:ascii="仿宋_GB2312" w:eastAsia="仿宋_GB2312" w:cs="仿宋_GB2312"/>
      <w:i/>
      <w:iCs/>
      <w:color w:val="000000"/>
      <w:sz w:val="24"/>
      <w:szCs w:val="24"/>
      <w:u w:val="none"/>
    </w:rPr>
  </w:style>
  <w:style w:type="character" w:customStyle="1" w:styleId="13">
    <w:name w:val="font112"/>
    <w:basedOn w:val="6"/>
    <w:qFormat/>
    <w:uiPriority w:val="0"/>
    <w:rPr>
      <w:rFonts w:hint="eastAsia" w:ascii="仿宋_GB2312" w:eastAsia="仿宋_GB2312" w:cs="仿宋_GB2312"/>
      <w:color w:val="000000"/>
      <w:sz w:val="24"/>
      <w:szCs w:val="24"/>
      <w:u w:val="none"/>
    </w:rPr>
  </w:style>
  <w:style w:type="character" w:customStyle="1" w:styleId="14">
    <w:name w:val="font131"/>
    <w:basedOn w:val="6"/>
    <w:qFormat/>
    <w:uiPriority w:val="0"/>
    <w:rPr>
      <w:rFonts w:ascii="Arial" w:hAnsi="Arial" w:cs="Arial"/>
      <w:color w:val="000000"/>
      <w:sz w:val="24"/>
      <w:szCs w:val="24"/>
      <w:u w:val="none"/>
    </w:rPr>
  </w:style>
  <w:style w:type="character" w:customStyle="1" w:styleId="15">
    <w:name w:val="font122"/>
    <w:basedOn w:val="6"/>
    <w:qFormat/>
    <w:uiPriority w:val="0"/>
    <w:rPr>
      <w:rFonts w:hint="eastAsia" w:ascii="仿宋_GB2312" w:eastAsia="仿宋_GB2312" w:cs="仿宋_GB2312"/>
      <w:i/>
      <w:iCs/>
      <w:color w:val="000000"/>
      <w:sz w:val="24"/>
      <w:szCs w:val="24"/>
      <w:u w:val="none"/>
    </w:rPr>
  </w:style>
  <w:style w:type="character" w:customStyle="1" w:styleId="16">
    <w:name w:val="font11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1776</Words>
  <Characters>1837</Characters>
  <TotalTime>1</TotalTime>
  <ScaleCrop>false</ScaleCrop>
  <LinksUpToDate>false</LinksUpToDate>
  <CharactersWithSpaces>1837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2024-01-10T11:27:00Z</dcterms:created>
  <dc:creator>china</dc:creator>
  <cp:lastModifiedBy>王英文</cp:lastModifiedBy>
  <cp:lastPrinted>2024-12-19T08:22:00Z</cp:lastPrinted>
  <dcterms:modified xsi:type="dcterms:W3CDTF">2026-01-04T02:08:26Z</dcterms:modified>
  <dc:title>泉州师范学院2017年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2024-12-13T09:29:31Z</vt:filetime>
  </property>
  <property fmtid="{D5CDD505-2E9C-101B-9397-08002B2CF9AE}" pid="4" name="KSOProductBuildVer">
    <vt:lpwstr>2052-12.1.0.24034</vt:lpwstr>
  </property>
  <property fmtid="{D5CDD505-2E9C-101B-9397-08002B2CF9AE}" pid="5" name="ICV">
    <vt:lpwstr>BD93045210F7475097FCAAEC0B0F4CA0_13</vt:lpwstr>
  </property>
  <property fmtid="{D5CDD505-2E9C-101B-9397-08002B2CF9AE}" pid="6" name="KSOTemplateDocerSaveRecord">
    <vt:lpwstr>eyJoZGlkIjoiMDViMTA1N2E4ODhjYWUwNjMxZTg3MmY3NTg4ZWRiNDAiLCJ1c2VySWQiOiI4MjQ4NTc1OTEifQ==</vt:lpwstr>
  </property>
</Properties>
</file>