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75" w:beforeAutospacing="0" w:after="75" w:afterAutospacing="0"/>
        <w:ind w:left="0" w:right="0" w:firstLine="0"/>
        <w:jc w:val="center"/>
        <w:rPr>
          <w:rFonts w:ascii="微软雅黑" w:hAnsi="微软雅黑" w:eastAsia="微软雅黑" w:cs="微软雅黑"/>
          <w:i w:val="0"/>
          <w:iCs w:val="0"/>
          <w:caps w:val="0"/>
          <w:color w:val="000000"/>
          <w:spacing w:val="0"/>
          <w:sz w:val="27"/>
          <w:szCs w:val="27"/>
        </w:rPr>
      </w:pPr>
      <w:r>
        <w:rPr>
          <w:rStyle w:val="8"/>
          <w:rFonts w:ascii="宋体" w:hAnsi="宋体" w:eastAsia="宋体" w:cs="宋体"/>
          <w:i w:val="0"/>
          <w:iCs w:val="0"/>
          <w:caps w:val="0"/>
          <w:color w:val="000000"/>
          <w:spacing w:val="0"/>
          <w:sz w:val="72"/>
          <w:szCs w:val="72"/>
        </w:rPr>
        <w:t>福建省政府采购项目</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72"/>
          <w:szCs w:val="72"/>
        </w:rPr>
        <w:t>竞争性谈判文件</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24"/>
          <w:szCs w:val="24"/>
        </w:rPr>
        <w:t> </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24"/>
          <w:szCs w:val="24"/>
        </w:rPr>
        <w:t> </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30"/>
          <w:szCs w:val="30"/>
        </w:rPr>
        <w:t> 项目名称：</w:t>
      </w:r>
      <w:r>
        <w:rPr>
          <w:rFonts w:hint="eastAsia" w:ascii="宋体" w:hAnsi="宋体" w:eastAsia="宋体" w:cs="宋体"/>
          <w:i w:val="0"/>
          <w:iCs w:val="0"/>
          <w:caps w:val="0"/>
          <w:color w:val="000000"/>
          <w:spacing w:val="0"/>
          <w:sz w:val="30"/>
          <w:szCs w:val="30"/>
        </w:rPr>
        <w:t>泉州师范学院化工与材料学院手持技术数字化实验传感器设备等仪器货物类采购项目</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30"/>
          <w:szCs w:val="30"/>
        </w:rPr>
        <w:t> 备案编号：</w:t>
      </w:r>
      <w:r>
        <w:rPr>
          <w:rFonts w:hint="eastAsia" w:ascii="宋体" w:hAnsi="宋体" w:eastAsia="宋体" w:cs="宋体"/>
          <w:i w:val="0"/>
          <w:iCs w:val="0"/>
          <w:caps w:val="0"/>
          <w:color w:val="000000"/>
          <w:spacing w:val="0"/>
          <w:sz w:val="30"/>
          <w:szCs w:val="30"/>
        </w:rPr>
        <w:t>C-SY-JT-202212-B0192-QZBJ</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30"/>
          <w:szCs w:val="30"/>
        </w:rPr>
        <w:t> 项目编号：</w:t>
      </w:r>
      <w:r>
        <w:rPr>
          <w:rFonts w:hint="eastAsia" w:ascii="宋体" w:hAnsi="宋体" w:eastAsia="宋体" w:cs="宋体"/>
          <w:i w:val="0"/>
          <w:iCs w:val="0"/>
          <w:caps w:val="0"/>
          <w:color w:val="000000"/>
          <w:spacing w:val="0"/>
          <w:sz w:val="30"/>
          <w:szCs w:val="30"/>
        </w:rPr>
        <w:t>[350500]QZBJ[TP]2022002</w:t>
      </w:r>
    </w:p>
    <w:p>
      <w:pPr>
        <w:pStyle w:val="5"/>
        <w:keepNext w:val="0"/>
        <w:keepLines w:val="0"/>
        <w:widowControl/>
        <w:suppressLineNumbers w:val="0"/>
        <w:spacing w:before="75" w:beforeAutospacing="0" w:after="75" w:afterAutospacing="0"/>
        <w:ind w:left="0" w:right="0" w:firstLine="105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24"/>
          <w:szCs w:val="24"/>
        </w:rPr>
        <w:t> </w:t>
      </w:r>
    </w:p>
    <w:p>
      <w:pPr>
        <w:keepNext w:val="0"/>
        <w:keepLines w:val="0"/>
        <w:widowControl/>
        <w:suppressLineNumbers w:val="0"/>
        <w:jc w:val="left"/>
      </w:pPr>
      <w:r>
        <w:rPr>
          <w:rStyle w:val="8"/>
          <w:rFonts w:hint="eastAsia" w:ascii="微软雅黑" w:hAnsi="微软雅黑" w:eastAsia="微软雅黑" w:cs="微软雅黑"/>
          <w:i w:val="0"/>
          <w:iCs w:val="0"/>
          <w:caps w:val="0"/>
          <w:color w:val="000000"/>
          <w:spacing w:val="0"/>
          <w:kern w:val="0"/>
          <w:sz w:val="27"/>
          <w:szCs w:val="27"/>
          <w:lang w:val="en-US" w:eastAsia="zh-CN" w:bidi="ar"/>
        </w:rPr>
        <w:t> </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rPr>
        <w:t>泉州市博捷勘察设计咨询服务有限公司</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30"/>
          <w:szCs w:val="30"/>
        </w:rPr>
        <w:t> </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30"/>
          <w:szCs w:val="30"/>
        </w:rPr>
        <w:t>2022年12月</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30"/>
          <w:szCs w:val="30"/>
        </w:rPr>
        <w:t> </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30"/>
          <w:szCs w:val="30"/>
        </w:rPr>
        <w:t> </w:t>
      </w:r>
    </w:p>
    <w:p>
      <w:pPr>
        <w:pStyle w:val="5"/>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8"/>
          <w:rFonts w:hint="eastAsia" w:ascii="宋体" w:hAnsi="宋体" w:eastAsia="宋体" w:cs="宋体"/>
          <w:i w:val="0"/>
          <w:iCs w:val="0"/>
          <w:caps w:val="0"/>
          <w:color w:val="000000"/>
          <w:spacing w:val="0"/>
          <w:sz w:val="30"/>
          <w:szCs w:val="30"/>
        </w:rPr>
        <w:t> </w:t>
      </w:r>
    </w:p>
    <w:p>
      <w:pPr>
        <w:keepNext w:val="0"/>
        <w:keepLines w:val="0"/>
        <w:widowControl/>
        <w:suppressLineNumbers w:val="0"/>
        <w:jc w:val="left"/>
      </w:pPr>
      <w:r>
        <w:rPr>
          <w:rStyle w:val="8"/>
          <w:rFonts w:hint="eastAsia" w:ascii="宋体" w:hAnsi="宋体" w:eastAsia="宋体" w:cs="宋体"/>
          <w:i w:val="0"/>
          <w:iCs w:val="0"/>
          <w:caps w:val="0"/>
          <w:color w:val="000000"/>
          <w:spacing w:val="0"/>
          <w:kern w:val="0"/>
          <w:sz w:val="30"/>
          <w:szCs w:val="30"/>
          <w:lang w:val="en-US" w:eastAsia="zh-CN" w:bidi="ar"/>
        </w:rPr>
        <w:t> </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p>
    <w:p>
      <w:pPr>
        <w:pStyle w:val="5"/>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spacing w:val="0"/>
          <w:sz w:val="43"/>
          <w:szCs w:val="43"/>
        </w:rPr>
        <w:sectPr>
          <w:pgSz w:w="11906" w:h="16838"/>
          <w:pgMar w:top="567" w:right="567" w:bottom="567" w:left="567" w:header="851" w:footer="992" w:gutter="0"/>
          <w:cols w:space="425" w:num="1"/>
          <w:docGrid w:type="lines" w:linePitch="312" w:charSpace="0"/>
        </w:sectPr>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43"/>
          <w:szCs w:val="43"/>
        </w:rPr>
        <w:t>第一章   采购公告/采购邀请书</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43"/>
          <w:szCs w:val="43"/>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43"/>
          <w:szCs w:val="43"/>
        </w:rPr>
        <w:t>竞争性谈判采购公告</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化工与材料学院手持技术数字化实验传感器设备等仪器货物类采购项目项目（以下简称：“本项目”）的政府采购活动，现欢迎国内合格的供应商前来参加。本项目由采购人委托泉州市博捷勘察设计咨询服务有限公司开展竞争性谈判活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1.项目名称：泉州师范学院化工与材料学院手持技术数字化实验传感器设备等仪器货物类采购项目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2.备案编号：C-SY-JT-202212-B0192-QZBJ</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3.项目编号：[350500]QZBJ[TP]2022002</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5"/>
        <w:keepNext w:val="0"/>
        <w:keepLines w:val="0"/>
        <w:widowControl/>
        <w:suppressLineNumbers w:val="0"/>
        <w:jc w:val="right"/>
      </w:pPr>
      <w:r>
        <w:rPr>
          <w:rFonts w:hint="eastAsia" w:ascii="宋体" w:hAnsi="宋体" w:eastAsia="宋体" w:cs="宋体"/>
        </w:rPr>
        <w:t>金额单位：人民币元</w:t>
      </w:r>
    </w:p>
    <w:tbl>
      <w:tblPr>
        <w:tblW w:w="502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93"/>
        <w:gridCol w:w="929"/>
        <w:gridCol w:w="2171"/>
        <w:gridCol w:w="1085"/>
        <w:gridCol w:w="1085"/>
        <w:gridCol w:w="541"/>
        <w:gridCol w:w="1723"/>
        <w:gridCol w:w="827"/>
        <w:gridCol w:w="1113"/>
        <w:gridCol w:w="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rPr>
        <w:tc>
          <w:tcPr>
            <w:tcW w:w="31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428"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24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794"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中小企业划分标准所属行业</w:t>
            </w:r>
          </w:p>
        </w:tc>
        <w:tc>
          <w:tcPr>
            <w:tcW w:w="381"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1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采购包最高限价</w:t>
            </w:r>
          </w:p>
        </w:tc>
        <w:tc>
          <w:tcPr>
            <w:tcW w:w="31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19"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3472" w:type="pct"/>
            <w:gridSpan w:val="6"/>
            <w:tcBorders>
              <w:top w:val="outset" w:color="auto" w:sz="6" w:space="0"/>
              <w:left w:val="outset" w:color="auto" w:sz="6" w:space="0"/>
              <w:bottom w:val="outset" w:color="auto" w:sz="6" w:space="0"/>
              <w:right w:val="outset" w:color="auto" w:sz="6" w:space="0"/>
            </w:tcBorders>
            <w:shd w:val="clear"/>
            <w:vAlign w:val="center"/>
          </w:tcPr>
          <w:tbl>
            <w:tblPr>
              <w:tblW w:w="4998"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26"/>
              <w:gridCol w:w="2498"/>
              <w:gridCol w:w="1250"/>
              <w:gridCol w:w="1250"/>
              <w:gridCol w:w="626"/>
              <w:gridCol w:w="1250"/>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实验室专用纯水机</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24000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乙酸乙酯皂化反应实验装置</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6400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超级恒温水浴</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燃烧热测定实验装置（含氧弹式量热计）</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26000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磁天平</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72000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饱和蒸汽压测定实验装置</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16600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1-7</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精密电子天平</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165000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1-8</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超声波清洗器</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1-9</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酸度计</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29400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1-10</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电子天平</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24（台）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9000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1-11</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阿贝折射仪</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22000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1-12</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微机熔点仪</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25500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1-13</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电热恒温鼓风干燥箱</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7200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1-14</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电热板</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1-15</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电热套</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7800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1-16</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智能磁力搅拌器</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8（台）</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8400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1-17</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手持技术数字化实验传感器设备 （高中化学）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2（套）</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139000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1-18</w:t>
                  </w:r>
                </w:p>
              </w:tc>
              <w:tc>
                <w:tcPr>
                  <w:tcW w:w="1666"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手持技术数字化实验传感器设备 （初中化学）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2（套）</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99000</w:t>
                  </w:r>
                </w:p>
              </w:tc>
              <w:tc>
                <w:tcPr>
                  <w:tcW w:w="41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3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bl>
          <w:p>
            <w:pPr>
              <w:jc w:val="center"/>
            </w:pPr>
          </w:p>
        </w:tc>
        <w:tc>
          <w:tcPr>
            <w:tcW w:w="381"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666600</w:t>
            </w:r>
          </w:p>
        </w:tc>
        <w:tc>
          <w:tcPr>
            <w:tcW w:w="51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666600</w:t>
            </w:r>
          </w:p>
        </w:tc>
        <w:tc>
          <w:tcPr>
            <w:tcW w:w="313"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环境标志产品，适用于（合同包一）。信息安全产品，适用于（合同包一）。小型、微型企业，适用于（合同包一）。监狱企业，适用于（合同包一）。促进残疾人就业 ，适用于（合同包一）。信用记录，适用于（合同包一），按照下列规定执行：（1）供 应商应在响应文件递交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5"/>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5"/>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w:t>
      </w:r>
      <w:r>
        <w:rPr>
          <w:rStyle w:val="8"/>
          <w:rFonts w:hint="eastAsia" w:ascii="宋体" w:hAnsi="宋体" w:eastAsia="宋体" w:cs="宋体"/>
          <w:spacing w:val="0"/>
          <w:sz w:val="24"/>
          <w:szCs w:val="24"/>
          <w:shd w:val="clear" w:fill="FFFFFF"/>
        </w:rPr>
        <w:t>包：1</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61"/>
        <w:gridCol w:w="59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根据《政府采购促进中小企业发展管理办法》（财库〔2020〕46号），本项目为专门面向中小微企业采购。 1、供应商须按本谈判文件第五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对应的中小企业划分标准所属行业为“工业”。④监狱企业视同小型、微型企业，供应商为监狱企业的，可不提供中小企业声明函，但须提供由省级以上监狱管理局、戒毒管理局（含新疆生产建设兵团）出具的属于监狱企业的证明文件。⑤残疾人福利性单位视同小型、微型企业，供应商为残疾人福利性单位的，可不提供中小企业声明函，但须提供《残疾人福利性单位声明函》。</w:t>
            </w:r>
          </w:p>
        </w:tc>
      </w:tr>
    </w:tbl>
    <w:p>
      <w:pPr>
        <w:pStyle w:val="5"/>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spacing w:val="0"/>
          <w:sz w:val="24"/>
          <w:szCs w:val="24"/>
        </w:rPr>
        <w:t>※</w:t>
      </w:r>
      <w:r>
        <w:rPr>
          <w:rStyle w:val="8"/>
          <w:rFonts w:hint="eastAsia" w:ascii="宋体" w:hAnsi="宋体" w:eastAsia="宋体" w:cs="宋体"/>
          <w:spacing w:val="0"/>
          <w:sz w:val="24"/>
          <w:szCs w:val="24"/>
          <w:shd w:val="clear" w:fill="FFFFFF"/>
        </w:rPr>
        <w:t>根据上述资格要求，供应商响应文件中应提交的“资格证明文件”相关规定和资料要求，详见竞争性谈判须知前附表和谈判文件第五章。</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联系人：陈老师</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联系方法：0595-22919532</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代理机构：泉州市博捷勘察设计咨询服务有限公司</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址：泉州市丰泽区东湖街凤山南段金贸大厦510号</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联系人：小管</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联系方法：13400889131</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Style w:val="8"/>
                <w:rFonts w:hint="eastAsia" w:ascii="宋体" w:hAnsi="宋体" w:eastAsia="宋体" w:cs="宋体"/>
                <w:spacing w:val="0"/>
                <w:sz w:val="24"/>
                <w:szCs w:val="24"/>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开户名称：泉州市博捷勘察设计咨询服务有限公司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Style w:val="8"/>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43"/>
          <w:szCs w:val="43"/>
        </w:rPr>
        <w:t>第二章  竞争性谈判须知</w:t>
      </w:r>
    </w:p>
    <w:p>
      <w:pPr>
        <w:keepNext w:val="0"/>
        <w:keepLines w:val="0"/>
        <w:widowControl/>
        <w:suppressLineNumbers w:val="0"/>
        <w:jc w:val="left"/>
      </w:pPr>
      <w:r>
        <w:rPr>
          <w:rStyle w:val="8"/>
          <w:rFonts w:ascii="宋体" w:hAnsi="宋体" w:eastAsia="宋体" w:cs="宋体"/>
          <w:kern w:val="0"/>
          <w:sz w:val="24"/>
          <w:szCs w:val="24"/>
          <w:lang w:val="en-US" w:eastAsia="zh-CN" w:bidi="ar"/>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          </w:t>
      </w:r>
      <w:r>
        <w:rPr>
          <w:rStyle w:val="8"/>
          <w:rFonts w:hint="eastAsia" w:ascii="宋体" w:hAnsi="宋体" w:eastAsia="宋体" w:cs="宋体"/>
          <w:spacing w:val="0"/>
          <w:sz w:val="31"/>
          <w:szCs w:val="31"/>
        </w:rPr>
        <w:t> 第1节  竞争性谈判须知前附表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W w:w="11490"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58"/>
        <w:gridCol w:w="914"/>
        <w:gridCol w:w="99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项号</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条款号</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jc w:val="center"/>
            </w:pPr>
            <w:r>
              <w:rPr>
                <w:rStyle w:val="8"/>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28"/>
              <w:gridCol w:w="5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shd w:val="clear" w:fill="FFFFFF"/>
              </w:rPr>
              <w:t>包：1</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28"/>
              <w:gridCol w:w="5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根据《政府采购促进中小企业发展管理办法》（财库〔2020〕46号），本项目为专门面向中小微企业采购。 1、供应商须按本谈判文件第五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对应的中小企业划分标准所属行业为“工业”。④监狱企业视同小型、微型企业，供应商为监狱企业的，可不提供中小企业声明函，但须提供由省级以上监狱管理局、戒毒管理局（含新疆生产建设兵团）出具的属于监狱企业的证明文件。⑤残疾人福利性单位视同小型、微型企业，供应商为残疾人福利性单位的，可不提供中小企业声明函，但须提供《残疾人福利性单位声明函》。</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首次响应文件提交截止时间起180个日历日。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提交谈判保证金：</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 </w:t>
            </w:r>
            <w:r>
              <w:rPr>
                <w:rFonts w:hint="eastAsia" w:ascii="宋体" w:hAnsi="宋体" w:eastAsia="宋体" w:cs="宋体"/>
                <w:spacing w:val="0"/>
                <w:sz w:val="24"/>
                <w:szCs w:val="24"/>
              </w:rPr>
              <w:t>，须于提交响应文件截止时间前到达指定账户为准，是否到达以 </w:t>
            </w:r>
            <w:r>
              <w:rPr>
                <w:spacing w:val="0"/>
                <w:sz w:val="24"/>
                <w:szCs w:val="24"/>
              </w:rPr>
              <w:t> </w:t>
            </w:r>
            <w:r>
              <w:rPr>
                <w:rFonts w:hint="eastAsia" w:ascii="宋体" w:hAnsi="宋体" w:eastAsia="宋体" w:cs="宋体"/>
                <w:spacing w:val="0"/>
                <w:sz w:val="24"/>
                <w:szCs w:val="24"/>
              </w:rPr>
              <w:t>为准；</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spacing w:val="0"/>
                <w:sz w:val="24"/>
                <w:szCs w:val="24"/>
              </w:rPr>
              <w:t>响应文件的份数</w:t>
            </w:r>
          </w:p>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5"/>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0 </w:t>
            </w:r>
            <w:r>
              <w:rPr>
                <w:rFonts w:hint="eastAsia" w:ascii="宋体" w:hAnsi="宋体" w:eastAsia="宋体" w:cs="宋体"/>
                <w:spacing w:val="0"/>
                <w:sz w:val="24"/>
                <w:szCs w:val="24"/>
              </w:rPr>
              <w:t>份、副本</w:t>
            </w:r>
            <w:r>
              <w:rPr>
                <w:spacing w:val="0"/>
                <w:sz w:val="24"/>
                <w:szCs w:val="24"/>
              </w:rPr>
              <w:t>0</w:t>
            </w:r>
            <w:r>
              <w:rPr>
                <w:rFonts w:hint="eastAsia" w:ascii="宋体" w:hAnsi="宋体" w:eastAsia="宋体" w:cs="宋体"/>
                <w:spacing w:val="0"/>
                <w:sz w:val="24"/>
                <w:szCs w:val="24"/>
              </w:rPr>
              <w:t>份。</w:t>
            </w:r>
          </w:p>
          <w:p>
            <w:pPr>
              <w:pStyle w:val="5"/>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谈判过程中可能发生实质性变动的内容：</w:t>
            </w:r>
          </w:p>
          <w:p>
            <w:pPr>
              <w:pStyle w:val="5"/>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spacing w:val="0"/>
                <w:sz w:val="24"/>
                <w:szCs w:val="24"/>
              </w:rPr>
              <w:t>信息公告指定媒体（以下简称：“指定媒体”）：</w:t>
            </w:r>
          </w:p>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spacing w:val="0"/>
                <w:sz w:val="24"/>
                <w:szCs w:val="24"/>
              </w:rPr>
              <w:t>本项目监督管理部门：</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spacing w:val="0"/>
                <w:sz w:val="24"/>
                <w:szCs w:val="24"/>
              </w:rPr>
              <w:t>履约保证金：</w:t>
            </w:r>
          </w:p>
          <w:p>
            <w:pPr>
              <w:pStyle w:val="5"/>
              <w:keepNext w:val="0"/>
              <w:keepLines w:val="0"/>
              <w:widowControl/>
              <w:suppressLineNumbers w:val="0"/>
              <w:spacing w:before="0" w:beforeAutospacing="0" w:after="0" w:afterAutospacing="0" w:line="435" w:lineRule="atLeast"/>
              <w:ind w:left="0" w:right="0"/>
            </w:pP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923"/>
              <w:gridCol w:w="1924"/>
              <w:gridCol w:w="57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标供应商在签订合同前需向采购人缴纳合同金额2%的履约保证金，该保证金在中标供应商供应的货物全部验收合格，合同约定事项全部履行完毕且无未了事项后，30日内一次性无息退还。履约保证金以支票、汇票、本票或者金融机构、担保机构出具的保函等非现金形式向采购人缴交。</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0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spacing w:val="0"/>
                <w:sz w:val="24"/>
                <w:szCs w:val="24"/>
              </w:rPr>
              <w:t>根据采购项目特点或政策需要补充的其他新增内容：</w:t>
            </w:r>
          </w:p>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成交供应商</w:t>
            </w:r>
            <w:r>
              <w:rPr>
                <w:rStyle w:val="8"/>
                <w:rFonts w:hint="eastAsia" w:ascii="宋体" w:hAnsi="宋体" w:eastAsia="宋体" w:cs="宋体"/>
                <w:spacing w:val="0"/>
                <w:sz w:val="24"/>
                <w:szCs w:val="24"/>
              </w:rPr>
              <w:t>支付。</w:t>
            </w: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(2)其他：</w:t>
            </w:r>
            <w:r>
              <w:rPr>
                <w:rFonts w:hint="eastAsia" w:ascii="宋体" w:hAnsi="宋体" w:eastAsia="宋体" w:cs="宋体"/>
                <w:spacing w:val="0"/>
                <w:sz w:val="24"/>
                <w:szCs w:val="24"/>
              </w:rPr>
              <w:t>①按差额定率累进法计算：100万元以下 1.5% ；由成交人支付，成交人应在中标公告发布后三个工作日内，向采购代 理机构缴交。缴纳招标服务费账户： 开户单位: 泉州市博捷勘察设计咨询服务有限公司 开户银行：中国农业银行泉州津淮支行 账 号：13510801040005641 ②项目采购完成后，采购人及代 理机构根据采购资料归档需求，中标必须配合补充提交相关纸质资料。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61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12</w:t>
            </w:r>
          </w:p>
        </w:tc>
        <w:tc>
          <w:tcPr>
            <w:tcW w:w="8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pPr>
          </w:p>
        </w:tc>
        <w:tc>
          <w:tcPr>
            <w:tcW w:w="997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r>
              <w:rPr>
                <w:rStyle w:val="8"/>
                <w:rFonts w:hint="eastAsia" w:ascii="宋体" w:hAnsi="宋体" w:eastAsia="宋体" w:cs="宋体"/>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15" w:type="dxa"/>
            <w:tcBorders>
              <w:top w:val="nil"/>
              <w:left w:val="nil"/>
              <w:bottom w:val="nil"/>
              <w:right w:val="nil"/>
            </w:tcBorders>
            <w:shd w:val="cle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13</w:t>
            </w:r>
          </w:p>
        </w:tc>
        <w:tc>
          <w:tcPr>
            <w:tcW w:w="885" w:type="dxa"/>
            <w:tcBorders>
              <w:top w:val="nil"/>
              <w:left w:val="nil"/>
              <w:bottom w:val="nil"/>
              <w:right w:val="nil"/>
            </w:tcBorders>
            <w:shd w:val="cle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18.1</w:t>
            </w:r>
          </w:p>
        </w:tc>
        <w:tc>
          <w:tcPr>
            <w:tcW w:w="9975" w:type="dxa"/>
            <w:tcBorders>
              <w:top w:val="nil"/>
              <w:left w:val="nil"/>
              <w:bottom w:val="nil"/>
              <w:right w:val="nil"/>
            </w:tcBorders>
            <w:shd w:val="clear"/>
            <w:vAlign w:val="center"/>
          </w:tcPr>
          <w:p>
            <w:pPr>
              <w:pStyle w:val="5"/>
              <w:keepNext w:val="0"/>
              <w:keepLines w:val="0"/>
              <w:widowControl/>
              <w:suppressLineNumbers w:val="0"/>
            </w:pPr>
            <w:r>
              <w:rPr>
                <w:rStyle w:val="8"/>
                <w:rFonts w:hint="eastAsia" w:ascii="宋体" w:hAnsi="宋体" w:eastAsia="宋体" w:cs="宋体"/>
              </w:rPr>
              <w:t>合同签订时限：自中标通知书发出之日起30个日历日内。</w:t>
            </w:r>
          </w:p>
        </w:tc>
      </w:tr>
    </w:tbl>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85"/>
        <w:gridCol w:w="103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0857" w:type="dxa"/>
            <w:gridSpan w:val="2"/>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1028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0287"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8"/>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8"/>
                <w:rFonts w:hint="eastAsia" w:ascii="宋体" w:hAnsi="宋体" w:eastAsia="宋体" w:cs="宋体"/>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8"/>
                <w:rFonts w:hint="eastAsia" w:ascii="宋体" w:hAnsi="宋体" w:eastAsia="宋体" w:cs="宋体"/>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8"/>
                <w:rFonts w:hint="eastAsia" w:ascii="宋体" w:hAnsi="宋体" w:eastAsia="宋体" w:cs="宋体"/>
                <w:spacing w:val="0"/>
                <w:sz w:val="24"/>
                <w:szCs w:val="24"/>
              </w:rPr>
              <w:t>谈判小组将按照不利于供应商的内容进行认定</w:t>
            </w:r>
            <w:r>
              <w:rPr>
                <w:rFonts w:hint="eastAsia" w:ascii="宋体" w:hAnsi="宋体" w:eastAsia="宋体" w:cs="宋体"/>
                <w:spacing w:val="0"/>
                <w:sz w:val="24"/>
                <w:szCs w:val="24"/>
              </w:rPr>
              <w:t>。</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8"/>
                <w:rFonts w:hint="eastAsia" w:ascii="宋体" w:hAnsi="宋体" w:eastAsia="宋体" w:cs="宋体"/>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8"/>
                <w:rFonts w:hint="eastAsia" w:ascii="宋体" w:hAnsi="宋体" w:eastAsia="宋体" w:cs="宋体"/>
                <w:spacing w:val="0"/>
                <w:sz w:val="24"/>
                <w:szCs w:val="24"/>
              </w:rPr>
              <w:t>（谈判小组将核对纸质响应文件正本，未提供原件的证明材料或资料将被视为无效）。</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8"/>
                <w:rFonts w:hint="eastAsia" w:ascii="宋体" w:hAnsi="宋体" w:eastAsia="宋体" w:cs="宋体"/>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8"/>
                <w:rFonts w:hint="eastAsia" w:ascii="宋体" w:hAnsi="宋体" w:eastAsia="宋体" w:cs="宋体"/>
                <w:spacing w:val="0"/>
                <w:sz w:val="24"/>
                <w:szCs w:val="24"/>
              </w:rPr>
              <w:t>该响应文件无效，相应供应商的谈判将被否决。</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8"/>
                <w:rFonts w:hint="eastAsia" w:ascii="宋体" w:hAnsi="宋体" w:eastAsia="宋体" w:cs="宋体"/>
                <w:spacing w:val="0"/>
                <w:sz w:val="24"/>
                <w:szCs w:val="24"/>
              </w:rPr>
              <w:t>不视为该响应文件无效。</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8"/>
                <w:rFonts w:hint="eastAsia" w:ascii="宋体" w:hAnsi="宋体" w:eastAsia="宋体" w:cs="宋体"/>
                <w:spacing w:val="0"/>
                <w:sz w:val="24"/>
                <w:szCs w:val="24"/>
              </w:rPr>
              <w:t>参加谈判活动的供应商代表务必携带供应商的CA证书</w:t>
            </w:r>
            <w:r>
              <w:rPr>
                <w:rFonts w:hint="eastAsia" w:ascii="宋体" w:hAnsi="宋体" w:eastAsia="宋体" w:cs="宋体"/>
                <w:spacing w:val="0"/>
                <w:sz w:val="24"/>
                <w:szCs w:val="24"/>
              </w:rPr>
              <w:t>。</w:t>
            </w:r>
            <w:r>
              <w:rPr>
                <w:rStyle w:val="8"/>
                <w:rFonts w:hint="eastAsia" w:ascii="宋体" w:hAnsi="宋体" w:eastAsia="宋体" w:cs="宋体"/>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8"/>
                <w:rFonts w:hint="eastAsia" w:ascii="宋体" w:hAnsi="宋体" w:eastAsia="宋体" w:cs="宋体"/>
                <w:spacing w:val="0"/>
                <w:bdr w:val="none" w:color="auto" w:sz="0" w:space="0"/>
              </w:rPr>
              <w:t>该响应文件无效，相应供应商的谈判将被否决。</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b.有下列情形之一的，</w:t>
            </w:r>
            <w:r>
              <w:rPr>
                <w:rStyle w:val="8"/>
                <w:rFonts w:hint="eastAsia" w:ascii="宋体" w:hAnsi="宋体" w:eastAsia="宋体" w:cs="宋体"/>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8"/>
                <w:rFonts w:hint="eastAsia" w:ascii="宋体" w:hAnsi="宋体" w:eastAsia="宋体" w:cs="宋体"/>
                <w:spacing w:val="0"/>
                <w:bdr w:val="none" w:color="auto" w:sz="0" w:space="0"/>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(12)其他：无。</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专项附件：       评定成交的标准和方法</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spacing w:val="0"/>
          <w:sz w:val="24"/>
          <w:szCs w:val="24"/>
        </w:rPr>
        <w:t>一、谈判小组</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5"/>
        <w:keepNext w:val="0"/>
        <w:keepLines w:val="0"/>
        <w:widowControl/>
        <w:suppressLineNumbers w:val="0"/>
        <w:spacing w:before="75" w:beforeAutospacing="0" w:after="75" w:afterAutospacing="0" w:line="405" w:lineRule="atLeast"/>
        <w:ind w:left="0" w:right="0" w:firstLine="480"/>
      </w:pPr>
      <w:r>
        <w:rPr>
          <w:rStyle w:val="8"/>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8"/>
          <w:rFonts w:hint="eastAsia" w:ascii="宋体" w:hAnsi="宋体" w:eastAsia="宋体" w:cs="宋体"/>
          <w:spacing w:val="0"/>
          <w:sz w:val="24"/>
          <w:szCs w:val="24"/>
        </w:rPr>
        <w:t>谈判程序</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spacing w:val="0"/>
          <w:sz w:val="24"/>
          <w:szCs w:val="24"/>
        </w:rPr>
        <w:t>三、最低评审价法和成交候选人推荐</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5"/>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5"/>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包1:</w:t>
      </w:r>
    </w:p>
    <w:p>
      <w:pPr>
        <w:pStyle w:val="5"/>
        <w:keepNext w:val="0"/>
        <w:keepLines w:val="0"/>
        <w:widowControl/>
        <w:suppressLineNumbers w:val="0"/>
        <w:spacing w:line="405" w:lineRule="atLeast"/>
        <w:ind w:left="0" w:right="0" w:firstLine="480"/>
      </w:pPr>
      <w:r>
        <w:rPr>
          <w:rFonts w:hint="eastAsia" w:ascii="宋体" w:hAnsi="宋体" w:eastAsia="宋体" w:cs="宋体"/>
          <w:sz w:val="24"/>
          <w:szCs w:val="24"/>
        </w:rPr>
        <w:t>（1）小型、微型企业产品： 无 。</w:t>
      </w:r>
    </w:p>
    <w:p>
      <w:pPr>
        <w:pStyle w:val="5"/>
        <w:keepNext w:val="0"/>
        <w:keepLines w:val="0"/>
        <w:widowControl/>
        <w:suppressLineNumbers w:val="0"/>
        <w:spacing w:line="405" w:lineRule="atLeast"/>
        <w:ind w:left="0" w:right="0" w:firstLine="480"/>
      </w:pPr>
      <w:r>
        <w:rPr>
          <w:rFonts w:hint="eastAsia" w:ascii="宋体" w:hAnsi="宋体" w:eastAsia="宋体" w:cs="宋体"/>
          <w:sz w:val="24"/>
          <w:szCs w:val="24"/>
        </w:rPr>
        <w:t>（2）优先类节能产品、环境标志产品： 无 。</w:t>
      </w:r>
    </w:p>
    <w:p>
      <w:pPr>
        <w:pStyle w:val="5"/>
        <w:keepNext w:val="0"/>
        <w:keepLines w:val="0"/>
        <w:widowControl/>
        <w:suppressLineNumbers w:val="0"/>
      </w:pPr>
    </w:p>
    <w:p>
      <w:pPr>
        <w:pStyle w:val="5"/>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5"/>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spacing w:val="0"/>
          <w:sz w:val="24"/>
          <w:szCs w:val="24"/>
        </w:rPr>
        <w:t>四、评审报告</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spacing w:val="0"/>
          <w:sz w:val="24"/>
          <w:szCs w:val="24"/>
        </w:rPr>
        <w:t>五、其他规定</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8"/>
          <w:rFonts w:hint="eastAsia" w:ascii="宋体" w:hAnsi="宋体" w:eastAsia="宋体" w:cs="宋体"/>
          <w:spacing w:val="0"/>
          <w:sz w:val="24"/>
          <w:szCs w:val="24"/>
        </w:rPr>
        <w:t>第2节  竞争性谈判须知</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一、总则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1.适用范围：</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2.定义及要求：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3.合格的供应商：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8"/>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8"/>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spacing w:val="0"/>
          <w:sz w:val="24"/>
          <w:szCs w:val="24"/>
        </w:rPr>
        <w:t>供应商有责任检查自身情况，在响应文件中对是否违反以上一般规定做出如实声明，否则其响应文件将被否决。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4.参与竞争性谈判费用：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5"/>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二、竞争性谈判文件</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5.竞争性谈判文件的组成：</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6.竞争性谈判文件的澄清、补充或修改：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三、响应文件编制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7.应标要求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8"/>
          <w:rFonts w:hint="eastAsia" w:ascii="宋体" w:hAnsi="宋体" w:eastAsia="宋体" w:cs="宋体"/>
          <w:spacing w:val="0"/>
          <w:sz w:val="24"/>
          <w:szCs w:val="24"/>
        </w:rPr>
        <w:t>否则其相应合同包的响应文件将被否决。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8"/>
          <w:rFonts w:hint="eastAsia" w:ascii="宋体" w:hAnsi="宋体" w:eastAsia="宋体" w:cs="宋体"/>
          <w:spacing w:val="0"/>
          <w:sz w:val="24"/>
          <w:szCs w:val="24"/>
        </w:rPr>
        <w:t>否则其响应文件将被否决。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8.首次响应文件的组成：</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9.响应文件有效期：</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8"/>
          <w:rFonts w:hint="eastAsia" w:ascii="宋体" w:hAnsi="宋体" w:eastAsia="宋体" w:cs="宋体"/>
          <w:spacing w:val="0"/>
          <w:sz w:val="24"/>
          <w:szCs w:val="24"/>
        </w:rPr>
        <w:t>否则其响应文件将被否决。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10.谈判保证金：</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8"/>
          <w:rFonts w:hint="eastAsia" w:ascii="宋体" w:hAnsi="宋体" w:eastAsia="宋体" w:cs="宋体"/>
          <w:spacing w:val="0"/>
          <w:sz w:val="24"/>
          <w:szCs w:val="24"/>
        </w:rPr>
        <w:t>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11.纸质响应文件基本编制要求：</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四、竞争性谈判</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13.评审和谈判基本准则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14.谈判程序以及评定成交标准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8"/>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8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不符合谈判文件中规定的其他实质性要求和条款的，将视为无效投标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8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不符合谈判文件中规定的其他实质性要求和条款的，将视为无效投标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8"/>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五、合同授予</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15.授予合同的准则：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16.确定成交供应商：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17.成交通知:</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18.签订合同：</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六、询问、质疑与投诉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19.询问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20.质疑</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21.投诉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七、有关信息公告和监督部门</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22.政府采购信息公告媒体</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23.监督管理部门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八、根据采购项目特点或政策需要补充的其他内容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24.履约保证金</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25.其他新增内容：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5"/>
        <w:keepNext w:val="0"/>
        <w:keepLines w:val="0"/>
        <w:widowControl/>
        <w:suppressLineNumbers w:val="0"/>
        <w:spacing w:before="75" w:beforeAutospacing="0" w:after="75" w:afterAutospacing="0" w:line="435" w:lineRule="atLeast"/>
        <w:ind w:left="0" w:right="0" w:firstLine="0"/>
        <w:rPr>
          <w:rFonts w:hint="eastAsia" w:ascii="微软雅黑" w:hAnsi="微软雅黑" w:eastAsia="微软雅黑" w:cs="微软雅黑"/>
          <w:i w:val="0"/>
          <w:iCs w:val="0"/>
          <w:caps w:val="0"/>
          <w:color w:val="000000"/>
          <w:spacing w:val="0"/>
          <w:sz w:val="27"/>
          <w:szCs w:val="27"/>
        </w:rPr>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第三章  采购内容及要求</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5"/>
        <w:keepNext w:val="0"/>
        <w:keepLines w:val="0"/>
        <w:widowControl/>
        <w:suppressLineNumbers w:val="0"/>
      </w:pPr>
      <w:r>
        <w:rPr>
          <w:rFonts w:hint="eastAsia" w:ascii="宋体" w:hAnsi="宋体" w:eastAsia="宋体" w:cs="宋体"/>
          <w:sz w:val="28"/>
          <w:szCs w:val="28"/>
        </w:rPr>
        <w:t>    该批设备用于改善化学、材料化学、化学工程与工艺工程、制药等诸多专业基础实验条件，适用范围较广，对提高学生的综合实验技能、设 计实验能力和分析、解决问题能力起到很大的作用。</w:t>
      </w:r>
    </w:p>
    <w:p>
      <w:pPr>
        <w:pStyle w:val="5"/>
        <w:keepNext w:val="0"/>
        <w:keepLines w:val="0"/>
        <w:widowControl/>
        <w:suppressLineNumbers w:val="0"/>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p>
      <w:pPr>
        <w:pStyle w:val="5"/>
        <w:keepNext w:val="0"/>
        <w:keepLines w:val="0"/>
        <w:widowControl/>
        <w:suppressLineNumbers w:val="0"/>
        <w:jc w:val="center"/>
      </w:pPr>
      <w:r>
        <w:rPr>
          <w:rFonts w:ascii="楷体" w:hAnsi="楷体" w:eastAsia="楷体" w:cs="楷体"/>
          <w:sz w:val="28"/>
          <w:szCs w:val="28"/>
        </w:rPr>
        <w:t>采购项目技术参数明细表</w:t>
      </w:r>
    </w:p>
    <w:tbl>
      <w:tblPr>
        <w:tblW w:w="1115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592"/>
        <w:gridCol w:w="900"/>
        <w:gridCol w:w="7325"/>
        <w:gridCol w:w="750"/>
        <w:gridCol w:w="61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品目号</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商品名 称</w:t>
            </w:r>
          </w:p>
        </w:tc>
        <w:tc>
          <w:tcPr>
            <w:tcW w:w="7295"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技术参数及规格</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计量单位</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数量</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最高控制单价（元）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1-1</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line="345" w:lineRule="atLeast"/>
              <w:ind w:left="0" w:firstLine="0"/>
            </w:pPr>
            <w:r>
              <w:rPr>
                <w:rFonts w:hint="eastAsia" w:ascii="宋体" w:hAnsi="宋体" w:eastAsia="宋体" w:cs="宋体"/>
                <w:sz w:val="21"/>
                <w:szCs w:val="21"/>
                <w:bdr w:val="none" w:color="auto" w:sz="0" w:space="0"/>
              </w:rPr>
              <w:t>实验室专用纯水机</w:t>
            </w:r>
          </w:p>
          <w:p>
            <w:pPr>
              <w:pStyle w:val="5"/>
              <w:keepNext w:val="0"/>
              <w:keepLines w:val="0"/>
              <w:widowControl/>
              <w:suppressLineNumbers w:val="0"/>
              <w:jc w:val="center"/>
            </w:pPr>
            <w:r>
              <w:rPr>
                <w:rFonts w:hint="eastAsia" w:ascii="宋体" w:hAnsi="宋体" w:eastAsia="宋体" w:cs="宋体"/>
                <w:sz w:val="21"/>
                <w:szCs w:val="21"/>
                <w:bdr w:val="none" w:color="auto" w:sz="0" w:space="0"/>
              </w:rPr>
              <w:t> </w:t>
            </w:r>
          </w:p>
        </w:tc>
        <w:tc>
          <w:tcPr>
            <w:tcW w:w="7295" w:type="dxa"/>
            <w:shd w:val="clear"/>
            <w:tcMar>
              <w:top w:w="0" w:type="dxa"/>
              <w:left w:w="105" w:type="dxa"/>
              <w:bottom w:w="0" w:type="dxa"/>
              <w:right w:w="105" w:type="dxa"/>
            </w:tcMar>
            <w:vAlign w:val="center"/>
          </w:tcPr>
          <w:p>
            <w:pPr>
              <w:pStyle w:val="5"/>
              <w:keepNext w:val="0"/>
              <w:keepLines w:val="0"/>
              <w:widowControl/>
              <w:suppressLineNumbers w:val="0"/>
              <w:spacing w:line="345" w:lineRule="atLeast"/>
              <w:ind w:left="0" w:firstLine="0"/>
            </w:pPr>
            <w:r>
              <w:rPr>
                <w:rFonts w:hint="eastAsia" w:ascii="宋体" w:hAnsi="宋体" w:eastAsia="宋体" w:cs="宋体"/>
                <w:sz w:val="21"/>
                <w:szCs w:val="21"/>
                <w:bdr w:val="none" w:color="auto" w:sz="0" w:space="0"/>
              </w:rPr>
              <w:t>1. 系统自带一键式触摸按键取水，人机同步对话功能完备，操作简单，易学、易懂、易操作；整机表面光洁、平整，内部各部件密封性能好，带电线路与非带电零件或外壳间的绝缘电阻≥100 MΩ；具备双屏幕显示：一个屏幕显示监测源水水质，防止不合格源水进入系统，另一个屏幕显示监测终端出水的电导率（μs/cm）或电阻率（MΩ.cm）</w:t>
            </w:r>
          </w:p>
          <w:p>
            <w:pPr>
              <w:pStyle w:val="5"/>
              <w:keepNext w:val="0"/>
              <w:keepLines w:val="0"/>
              <w:widowControl/>
              <w:suppressLineNumbers w:val="0"/>
              <w:spacing w:line="345" w:lineRule="atLeast"/>
              <w:ind w:left="0" w:firstLine="0"/>
            </w:pPr>
            <w:r>
              <w:rPr>
                <w:rFonts w:hint="eastAsia" w:ascii="宋体" w:hAnsi="宋体" w:eastAsia="宋体" w:cs="宋体"/>
                <w:sz w:val="21"/>
                <w:szCs w:val="21"/>
                <w:bdr w:val="none" w:color="auto" w:sz="0" w:space="0"/>
              </w:rPr>
              <w:t>2. 当进水水压不足或缺水时，系统立即声光报警，自动停机保护；开机自动冲洗RO膜，延长RO膜使用寿命；彩色动画显示屏，动态显示系统冲洗、制水、缺水、水满等各部分运行状态；三路水质在线监测显示，同时监测每组滤芯运行状况，具有滤芯已用和剩余用量显示，提前预警水质超标,防止因水质超标对实验结果造成的偏差</w:t>
            </w:r>
          </w:p>
          <w:p>
            <w:pPr>
              <w:pStyle w:val="5"/>
              <w:keepNext w:val="0"/>
              <w:keepLines w:val="0"/>
              <w:widowControl/>
              <w:suppressLineNumbers w:val="0"/>
              <w:spacing w:line="345" w:lineRule="atLeast"/>
              <w:ind w:left="0" w:firstLine="0"/>
            </w:pPr>
            <w:r>
              <w:rPr>
                <w:rFonts w:hint="eastAsia" w:ascii="宋体" w:hAnsi="宋体" w:eastAsia="宋体" w:cs="宋体"/>
                <w:sz w:val="21"/>
                <w:szCs w:val="21"/>
                <w:bdr w:val="none" w:color="auto" w:sz="0" w:space="0"/>
              </w:rPr>
              <w:t>3. 设备配置三级加强型预处理器及注塑式大容量超纯化模块，无任何粘接剂，无任何析出物，保证超纯水的品质；配套专用≥43L超大真空压力储水桶，避免水质的二次污染，保证用水时取水流速和取水量；水路系统和电路系统隔离，确保使用安全；模块化组合设置，方便后期维护、保养、更换耗材</w:t>
            </w:r>
          </w:p>
          <w:p>
            <w:pPr>
              <w:pStyle w:val="5"/>
              <w:keepNext w:val="0"/>
              <w:keepLines w:val="0"/>
              <w:widowControl/>
              <w:suppressLineNumbers w:val="0"/>
              <w:spacing w:line="345" w:lineRule="atLeast"/>
              <w:ind w:left="0" w:firstLine="0"/>
            </w:pPr>
            <w:r>
              <w:rPr>
                <w:rFonts w:hint="eastAsia" w:ascii="宋体" w:hAnsi="宋体" w:eastAsia="宋体" w:cs="宋体"/>
                <w:sz w:val="21"/>
                <w:szCs w:val="21"/>
                <w:bdr w:val="none" w:color="auto" w:sz="0" w:space="0"/>
              </w:rPr>
              <w:t>4. 整机电路系统采用最先进电磁兼容技术，带电线路和外壳间承受50Hz、1250V，2min以上的耐压试验，抗干扰能力强，提供相关证明佐证；</w:t>
            </w:r>
          </w:p>
          <w:p>
            <w:pPr>
              <w:pStyle w:val="5"/>
              <w:keepNext w:val="0"/>
              <w:keepLines w:val="0"/>
              <w:widowControl/>
              <w:suppressLineNumbers w:val="0"/>
              <w:spacing w:line="345" w:lineRule="atLeast"/>
              <w:ind w:left="0" w:firstLine="0"/>
            </w:pPr>
            <w:r>
              <w:rPr>
                <w:rFonts w:hint="eastAsia" w:ascii="宋体" w:hAnsi="宋体" w:eastAsia="宋体" w:cs="宋体"/>
                <w:sz w:val="21"/>
                <w:szCs w:val="21"/>
                <w:bdr w:val="none" w:color="auto" w:sz="0" w:space="0"/>
              </w:rPr>
              <w:t>5. 产水量（25℃）：≥60L/H ；瞬间取水量：1.5L/min～2 L/min（水箱满时）；</w:t>
            </w:r>
          </w:p>
          <w:p>
            <w:pPr>
              <w:pStyle w:val="5"/>
              <w:keepNext w:val="0"/>
              <w:keepLines w:val="0"/>
              <w:widowControl/>
              <w:suppressLineNumbers w:val="0"/>
              <w:spacing w:line="345" w:lineRule="atLeast"/>
              <w:ind w:left="0" w:firstLine="0"/>
            </w:pPr>
            <w:r>
              <w:rPr>
                <w:rFonts w:hint="eastAsia" w:ascii="宋体" w:hAnsi="宋体" w:eastAsia="宋体" w:cs="宋体"/>
                <w:sz w:val="21"/>
                <w:szCs w:val="21"/>
                <w:bdr w:val="none" w:color="auto" w:sz="0" w:space="0"/>
              </w:rPr>
              <w:t>6. 纯水指标：电导率≤0.2μs/cm @25℃；有机物去除率＞99%（MW＞200道尔顿）；微粒和细菌去除率＞99%； 吸光度（254nm,1cm光程）≤0.01；脱盐率：96%～99%；蒸发残渣（105±2℃）≤1.0 mg/L；可氧化物质（以o计）≤0.08 mg/L；可溶性硅（以sio2计）≤0.02mg/L；</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1</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1-2</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1"/>
                <w:szCs w:val="21"/>
                <w:bdr w:val="none" w:color="auto" w:sz="0" w:space="0"/>
              </w:rPr>
              <w:t>乙酸乙酯皂化反应实验装置</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1.测量范围：0～2.4×105μS/cm,最高分辨率：≤1×10-4μS/cm(电极系数0.1时)</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2.仪器分成五档量程，各档档量程间自动切换</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3.TDS测量范围：0.000～119.9g/L；</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4.电子单元基本误差：±1.0%(FS) ±l个字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5.仪器的基本误差：1.5%(FS)±1个字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6.电子单元温度补偿误差：±1.0%(FS) ± l个字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7.温度补偿范围：0～50℃,基准温度：25℃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8.计时范围：0～9999秒，计时/停止/清零双按键控制</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9.含≥20mm宽不锈钢支架，电极</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2</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1-3</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1"/>
                <w:szCs w:val="21"/>
                <w:bdr w:val="none" w:color="auto" w:sz="0" w:space="0"/>
              </w:rPr>
              <w:t>超级恒温水浴</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1.控温范围：室温～100℃，分辨率：≤0.01℃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2.控温精度：±0.05℃（低扰动环境±0.02℃）</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3.加热功率：≥1200W</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4.泵流量：＞6L/min</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5.显示方式：液晶显示屏</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6.显示设置：设定温度、测量温度和计时三显示</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7.搅拌方式：电动无级调速</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8.不锈钢冲压内胆无焊缝</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1</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1-4</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1"/>
                <w:szCs w:val="21"/>
                <w:bdr w:val="none" w:color="auto" w:sz="0" w:space="0"/>
              </w:rPr>
              <w:t>燃烧热测定实验装置（含氧弹式量热计）</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1.软件可进行雷诺图法数据处理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2.氧弹热量计及附件全不锈钢304</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3.直流搅拌电机, 安全可靠，数字测温无汞污染</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4.搅拌叶片插入深度＞210mm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5.仪器点火具有自动保护功能，在发生短路或开路故障时能自动检测识别，自动断开回路禁止点火并提示，排除故障后即可重新正常工作了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6.配套南京大学编制专用实验软件，另可配3D虚拟仿真软件</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7.液晶超高精千分温度计,附千分温度计记录分析软件(提供软件著作权证书)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8.测温范围：-50～180℃，分辨率：≤0.001℃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9.双精度双温度显示，可内外桶温度双显示</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10.读数间隔锁定显示区，间隔时间：0～100秒可设（手动记录配用）</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11.可搅拌状态、点火状态系统自检，状态显示</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12.点火方式可选：仪器点火，软件点火，全自动点火</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13.氧弹耐压：≥30MPa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14.保护功能：能自动判别点火，在不具备点火条件（短路或开路）时，仪器不允许点火</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15.含氧弹式量热计</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2</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1-5</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1"/>
                <w:szCs w:val="21"/>
                <w:bdr w:val="none" w:color="auto" w:sz="0" w:space="0"/>
              </w:rPr>
              <w:t>磁天平</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1.仪器无须水冷，结构稳定，精度高</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2.线性模拟控制技术, 无电磁污染。纹波系数≤0.2％ , 稳定度≤0.5％/hr</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3.造型美观适用，取放样品空间大，有照明</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4.仪器可根据需求定制一体式和分体式</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5.电磁铁：古埃型 单轭铁；中心最大磁场：≥0.85T、磁柱直径：≥40mm、磁隙宽度：6～40mm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6.励磁电流最大输出：≥10A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7.特斯拉计测量范围：0～2T，分辨率：≤1mT</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8.线性度：±1％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9.恒流源数字显示：0～10A连续可调</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4</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1-6</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1"/>
                <w:szCs w:val="21"/>
                <w:bdr w:val="none" w:color="auto" w:sz="0" w:space="0"/>
              </w:rPr>
              <w:t>饱和蒸汽压测定实验装置</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1.压力测量范围：-101.30～0KPa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2.压力分辨率（四位半）：≥0.01KPa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3.内置双稳压调压包：总容积＞5L</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4.工作烧杯容积：≥3L</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5.温度显示分辨率：≤0.01℃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6.温度控制精度：±0.05℃（低扰动环境±0.02℃）</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7.加热保护：“欠水位”传感器</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8.仪器宽度尺寸：＜37cm，工作区加LED照明</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9.管路材质：304不锈钢+PA管路</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10.调压方式：不锈钢阀门和针型放气口</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2</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1-7</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1"/>
                <w:szCs w:val="21"/>
                <w:bdr w:val="none" w:color="auto" w:sz="0" w:space="0"/>
              </w:rPr>
              <w:t>精密电子天平</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1.可拆卸不锈钢秤盘和玻璃风罩，GLP/GMP实时时钟，下挂式称量，防盗锁，保护罩，可选择环境滤波参数，调节显示屏亮度，自动去皮，可选量程校准点，可编辑项目ID及用户ID，超载/负载提示，称量值稳定提示符</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2.最大称量值：≥220g</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3.可读性：≤0.1mg</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4.重复性：≤0.1mg</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5.线性误差：≤±0.2mg</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6.稳定时间：≤3s</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7.温漂(PPM/K)：±3</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8.典型最小称量值：≤200mg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9.最佳最小称量值：≤82mg</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10.单位：毫克，克，千克，盎司，磅，克拉，Pennyweight，金衡盎司，牛顿</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11.称量模式：基本称量、计件称量、百分比称量</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12.秤盘尺寸：≥90mm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13.去皮范围：全量程；认证标识: CE; CSA; RCM</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30</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1-8</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1"/>
                <w:szCs w:val="21"/>
                <w:bdr w:val="none" w:color="auto" w:sz="0" w:space="0"/>
              </w:rPr>
              <w:t>超声波清洗器</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1.外形尺寸：≥320*264*335mm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2.内槽尺寸：≥300*240*150mm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3.容量：≥10L</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4.超声频率：≥40KHz</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5.超声频率可选择替换</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6.超声功率：≥200W</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7.加热功率：≥600W</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8.温度设定范围：室温～80℃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9.工作时间可调：1～20min</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10.其他配置：手控进排水、清洗网篮、降音盖、220V/50Hz电源</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11.清洗器主体材质均为304优质不锈钢</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12.清洗器电路具有自动扫频功能，能产生连续脉冲射流，使清洗效果更明显，工作更稳定</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13.清洗器电路及器件升级并匹配，电功转换率高、无功损耗低</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1</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1-9</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1"/>
                <w:szCs w:val="21"/>
                <w:bdr w:val="none" w:color="auto" w:sz="0" w:space="0"/>
              </w:rPr>
              <w:t>酸度计</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1.数码显示</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2.二点校准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3.配用E201-Q9复合电极</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4.主要技术性能：</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4.1测量范围：（0～14.00）pH（0～±1999）mV</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4.2精确度：pH：±0.01mV：±0.1%（F.S）</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4.3输入阻抗：≥1012Ω</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4.4温度补偿范围：（0～60）℃</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30</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1-10</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1"/>
                <w:szCs w:val="21"/>
                <w:bdr w:val="none" w:color="auto" w:sz="0" w:space="0"/>
              </w:rPr>
              <w:t>电子天平</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1.量程：≥1000g；</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2.精度：≤0.01g。</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3.前置水平仪</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4.最新</w:t>
            </w:r>
            <w:r>
              <w:rPr>
                <w:rFonts w:hint="eastAsia" w:ascii="宋体" w:hAnsi="宋体" w:eastAsia="宋体" w:cs="宋体"/>
                <w:kern w:val="0"/>
                <w:sz w:val="21"/>
                <w:szCs w:val="21"/>
                <w:lang w:val="en-US" w:eastAsia="zh-CN" w:bidi="ar"/>
              </w:rPr>
              <w:t>SMT技术，线路集成度更高</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5.内置RS-232C接口，符合GLP标准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6.防静电涂层玻璃防风罩能有效地屏蔽外界静电荷的干扰</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7.四级防震</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24</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1-11</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1"/>
                <w:szCs w:val="21"/>
                <w:bdr w:val="none" w:color="auto" w:sz="0" w:space="0"/>
              </w:rPr>
              <w:t>阿贝折射仪</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1.测量范围(nD)：1.3000～1.7000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2.白利度(Brix)：0～95%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3.准确度(nD)：±0.0002(估计读数)</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4.平均色散示值：±0.0005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5.温度显示：数字温度计</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6.观察方式：单目</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7.仪器尺寸：≥200mm×100mm×240mm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8.采用目视瞄准，光学度盘读数，温度数显，简单可靠。基座采用不锈钢材质，棱镜采用硬质玻璃，不易磨损。</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11</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1-12</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1"/>
                <w:szCs w:val="21"/>
                <w:bdr w:val="none" w:color="auto" w:sz="0" w:space="0"/>
              </w:rPr>
              <w:t>微机熔点仪</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1.温度范围：室温～360℃；检测方式:半自动；</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2.处理能力：1～4个/批；温度分辨率：≤0.1℃；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3.升温速率：0.1℃～20℃；控温方式：PID精确控温，炉体全密闭；</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4.准确度：±0.3℃（＜250℃）；±0.5℃（＞250℃）；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5.重复性：±0.1℃；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6.显示方式：高清屏；数据接口：USB RS232 Wi-Fi、RJ4；毛细管尺寸：外径≥1.4mm，内径≥φ1.0mm</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3</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1-13</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1"/>
                <w:szCs w:val="21"/>
                <w:bdr w:val="none" w:color="auto" w:sz="0" w:space="0"/>
              </w:rPr>
              <w:t>电热恒温鼓风干燥箱</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1.壳体由优质钢板制成，夹层内填充优质玻璃纤维保温材料。具有良好的保温性能，</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操作系统设在箱左侧电器箱内，温度设定及箱内温度控制由数显控温仪完成。智能控温装置内部由电脑芯片控制，结构紧凑，控温精度高。</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2.容积：≥72L；</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3.控温范围：10～300℃；后续根据实验需要可拓展至500℃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4.仪表功能：超温声光报警；</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5.温度分辨率：≤0.1℃；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6.加热方式:不锈钢电加热器；</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7.内胆材质:304不锈钢。</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2</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1-14</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1"/>
                <w:szCs w:val="21"/>
                <w:bdr w:val="none" w:color="auto" w:sz="0" w:space="0"/>
              </w:rPr>
              <w:t>电热板</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1.加热点位数：≥1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2.加热温度范围：50～500℃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3.加热温度控制：LED</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4.工作盘材质：陶瓷</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5.工作盘外形尺寸：≥100*100mm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6.外形尺寸：≥150*105*260mm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7.固定安全温度：温度超过550℃即停止加热</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8.热警显示：加热时指示灯闪烁，警告用户加热盘高温，不可触摸</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9.数字显示：便于精确控制或重复设置温度</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10.微处理控制：马达转速和加热盘信号反馈，以保证恒速运转和保持设置温度</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11.陶瓷盘面：一体成型无缝盘面，抗化学腐蚀性能极好</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1</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1-15</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1"/>
                <w:szCs w:val="21"/>
                <w:bdr w:val="none" w:color="auto" w:sz="0" w:space="0"/>
              </w:rPr>
              <w:t>电热套</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1.外壳采用冷轧板拉伸、表面静电喷塑</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2.必须具备加热面积大、升温快、保温效果好、温度均匀</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3.整体抗腐蚀、耐老化</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4.容积：≥500ml</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5.最高温度：≥380℃</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30</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1-16</w:t>
            </w:r>
          </w:p>
        </w:tc>
        <w:tc>
          <w:tcPr>
            <w:tcW w:w="870" w:type="dxa"/>
            <w:shd w:val="clear"/>
            <w:tcMar>
              <w:top w:w="0" w:type="dxa"/>
              <w:left w:w="105" w:type="dxa"/>
              <w:bottom w:w="0" w:type="dxa"/>
              <w:right w:w="105" w:type="dxa"/>
            </w:tcMar>
            <w:vAlign w:val="center"/>
          </w:tcPr>
          <w:p>
            <w:pPr>
              <w:pStyle w:val="5"/>
              <w:keepNext w:val="0"/>
              <w:keepLines w:val="0"/>
              <w:widowControl/>
              <w:suppressLineNumbers w:val="0"/>
              <w:jc w:val="center"/>
            </w:pPr>
            <w:r>
              <w:rPr>
                <w:rFonts w:hint="eastAsia" w:ascii="宋体" w:hAnsi="宋体" w:eastAsia="宋体" w:cs="宋体"/>
                <w:sz w:val="21"/>
                <w:szCs w:val="21"/>
                <w:bdr w:val="none" w:color="auto" w:sz="0" w:space="0"/>
              </w:rPr>
              <w:t>智能磁力搅拌器</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1.加热最高温度：≥380℃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2.调速范围：50～1800转/分，无极调速</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3.控温方式：智能数显控温，可控硅控制</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4.绝缘层：无碱玻璃纤维，可耐≥450℃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5.搅拌容量：≥500ml</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6.双数显液晶显示器、定时加热功能、过冲自动断加热</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7.传感器一键切换，控制精度：≤±1℃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8.PBT注塑外壳，耐高温，防腐蚀</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台</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8</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r>
              <w:rPr>
                <w:rFonts w:hint="eastAsia" w:ascii="宋体" w:hAnsi="宋体" w:eastAsia="宋体" w:cs="宋体"/>
                <w:sz w:val="21"/>
                <w:szCs w:val="21"/>
                <w:bdr w:val="none" w:color="auto" w:sz="0" w:space="0"/>
              </w:rPr>
              <w:t>1-17</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line="345" w:lineRule="atLeast"/>
            </w:pPr>
            <w:r>
              <w:rPr>
                <w:rFonts w:hint="eastAsia" w:ascii="宋体" w:hAnsi="宋体" w:eastAsia="宋体" w:cs="宋体"/>
                <w:sz w:val="21"/>
                <w:szCs w:val="21"/>
                <w:bdr w:val="none" w:color="auto" w:sz="0" w:space="0"/>
              </w:rPr>
              <w:t>手持技术数字化实验传感器设备</w:t>
            </w:r>
          </w:p>
          <w:p>
            <w:pPr>
              <w:pStyle w:val="5"/>
              <w:keepNext w:val="0"/>
              <w:keepLines w:val="0"/>
              <w:widowControl/>
              <w:suppressLineNumbers w:val="0"/>
              <w:spacing w:line="345" w:lineRule="atLeast"/>
            </w:pPr>
            <w:r>
              <w:rPr>
                <w:rFonts w:hint="eastAsia" w:ascii="宋体" w:hAnsi="宋体" w:eastAsia="宋体" w:cs="宋体"/>
                <w:sz w:val="21"/>
                <w:szCs w:val="21"/>
                <w:bdr w:val="none" w:color="auto" w:sz="0" w:space="0"/>
              </w:rPr>
              <w:t>（高中化学）</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1.无</w:t>
            </w:r>
            <w:r>
              <w:rPr>
                <w:rFonts w:hint="eastAsia" w:ascii="宋体" w:hAnsi="宋体" w:eastAsia="宋体" w:cs="宋体"/>
                <w:kern w:val="0"/>
                <w:sz w:val="21"/>
                <w:szCs w:val="21"/>
                <w:lang w:val="en-US" w:eastAsia="zh-CN" w:bidi="ar"/>
              </w:rPr>
              <w:t>线图形分析软件（1套）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1.1可在Chrome、iOS、Android、 Windows和macOS上跨平台收集，共享和分析传感器的数据。</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1.2可使用多通道或同时收集多个传感器的数据。</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1.3可实现实验数据的采集、显示、分析、曲线拟合等多种功能。</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2.光谱分析软件（1套）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2.1在不到一秒钟的时间内收集全光谱吸收率或透射率百分比数据。</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2.2使用内置的分析工具分析数据，包括数据插值和曲线拟合。</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2.3使用计算的列函数确定动力学反应的顺序。</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2.4使用全光谱图上显示的色带了解颜色透射。</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2.5使用高级全光谱模式来教学生吸光度和透光率百分比之间的直接关系，或者观察斯托克斯位移。</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3.无线温度传感器（1套）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3.1范围：-40～125°C</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3.2精度：±0.25℃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3.3分辨率：≤0.01℃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3.4最大可承受不损坏传感器的温度：150℃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3.5连接方式:无线：蓝牙4.2;有线：USB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3.6最大无线范围：≥30m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3.7电池：300mA锂电池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3.8电池使用时长（单次充满）：24小时</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3.9电池寿命（长期）：500次满循环充放电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3.10手柄温度范围：-10～45℃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3.11尺寸：高≥18.5cm，宽≥2cm，探针长≥11.5cm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3.12测量-40～125℃范围内的温度，可用于吸热和放热反应，确定水的物理性质，以及分子间的作用力</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4.无线PH传感器(1套)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4.1测量低强度酸性、低强度碱性水溶液的pH值；类型：密封体，凝胶填充，聚碳酸酯主体，Ag/AgCl</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4.2pH范围：0～14</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4.3典型精度：±0.2PH</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4.4分辨率：≤0.01PH</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4.5反应时间：1秒内达到读数的90%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4.6温度范围：5～80℃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4.7连接方式:无线：蓝牙4.2;有线：USB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4.8最大无线范围：≥30m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4.9电池：300mA锂电池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4.10电池使用时长（单次充满）：24小时持续数据采集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4.11电池寿命（长期）：500次满循环充放电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5.无线抗酸碱导电率传感器（1套）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5.1类型：环氧树脂材质，2芯铂电极</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5.2范围：0到20,000 uS/cm（0至10000 mg/L TDS）</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5.3精确度：±10uS/cm（1-4,000 uS/cm有效，自定义点校准在1413uS/cm）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5.4分辨率：≤0.01 uS/cm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5.5反应时间：5秒内达到读数的95%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5.6温度补偿：5℃～35℃自动补偿</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5.7温度范围：0至80℃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5.8连接方式:无线：蓝牙4.2</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5.9最大无线范围：≥30m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5.10电池：300mA锂电池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5.11电池使用时长（单次充满）：24小时持续数据采集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5.12电池寿命（长期）：500次满循环充放电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5.13尺寸：轴长：≥120mm，轴径：≥12mm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6.无线氧化还原传感器（1套）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6.1范围：-1000 mV ～+1000 mV</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6.2典型精度：±15 mV</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6.3分辨率：≤0.01 mV</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6.4反应时间：1秒内达到最终读数的90%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6.5连接方式:无线：蓝牙4.2;有线：USB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6.6最大无线范围：≥30m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6.7电池：300mA锂电池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6.8电池使用时长（单次充满）：24小时持续数据采集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6.9电池寿命（长期）：500次满循环充放电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7.无线玻璃PH传感器（1套）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7.1电极类型：密封，凝胶填充，玻璃机身，Ag/AgCl参比</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7.2范围：PH 0～14</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7.3典型精度：±0.2PH</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7.4分辨率：≤0.01PH</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7.5反应时间：1秒内达到最终读数的90%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7.6温度范围：5～80℃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7.7连接方式:无线：蓝牙4.2;有线：USB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7.8最大无线范围：≥30m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7.9电池：300mA锂电池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7.10电池使用时长（单次充满）：24小时持续数据采集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7.11电池寿命（长期）：500次满循环充放电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8.无线滴数传感器（1套）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8.1准确滴计数率高达6滴/秒</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8.2连接方式:无线：蓝牙; 有线：USB</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8.3尺寸:</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滴定用开口长：≥3cm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插传感器圆孔（直径）：≥7mm和≥13mm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固定铁架台开口：≥16mm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全长：≥15.5cm，宽度：≥4.5cm，厚度：≥1.8cm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从固定铁架台开口中心到滴定用开口中心的距离：≥10.5cm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从固定铁架台开口中心到插传感器圆孔中心的距离：≥12cm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9.无线气体压力传感器（1套）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9.1范围：0～400 kPa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9.2典型精度：±3kPa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9.3分辨率：≤0.03kPa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9.4最大采样速率：≥50样本/秒</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9.5最大可承受不损坏传感器的气压：410kPa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9.6内部体积：≥0.8ml</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9.7连接方式:无线：蓝牙4.2;有线：USB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9.8最大无线范围：≥30m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9.9电池：300mA锂电池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9.10电池使用时长（单次充满）：24小时持续数据采集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9.11电池寿命（长期）：500次满循环充放电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9.12尺寸：9.5cm x 6.0cm x 3.25cm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10.无线氧气传感器（1套）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10.1电池类型：电化学电池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10.2范围： 0～100% (0～1000 ppt)</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10.3精度（760mm汞柱标准大气压下）：O2体积的±1%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10.4分辨率：≤0.01%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10.5响应时间：12秒内达到最终读数的90%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10.6预热时间：少于5秒达到最终读数的90%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10.7压强影响：直接成比例</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10.8压强范围：0.5atm～1.5atm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10.9气体采样模式：扩散</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10.10温度传感器：类型：热敏电阻</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10.11精度：±0.5℃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10.12分辨率：≤0.1℃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10.13连接方式:无线：蓝牙4.2;有线：USB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10.14.最大无线范围：≥30m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10.15电池：650mA锂电池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10.16电池使用时长（单次充满）：8小时持续数据采集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10.17电池寿命（长期）：500次满循环充放电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10.18正常操作温度范围：20～40℃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10.19操作湿度范围：5～95%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10.20尺寸：轴长：≥38mm，轴径：≥28mm，总长：≥155mm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11.无线二氧化碳传感器（1套）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11.1类型：NDIR</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11.2范围：0～100000ppm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11.3精度：0～1000ppm:±100ppm；1000～10000ppm:读数的±5% +100ppm；10000ppm～50000ppm:读数的±10%；50000～100000ppm:读数的±15%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11.4分辨率：≤1ppm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11.5预热时间：180秒</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11.6气体采样模式：扩散</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11.7温度传感器：类型：集成电路（IC）</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11.8精度：±0.5℃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11.9分辨率：0.1℃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11.10相对湿度传感器：类型：集成电路（IC）</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11.11范围：0～100%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11.12精度：±0.5%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11.13分辨率：≤0.1%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11.14连接方式:无线：蓝牙4.2;有线：USB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11.15最大无线范围：≥30m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11.16电池：650mA锂电池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11.17电池使用时长（单次充满）：8小时持续数据采集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11.18电池寿命（长期）：500次满循环充放电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11.19正常操作温度范围：20～40℃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11.20操作湿度范围：5～95%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11.21.尺寸：轴长：≥82mm，轴径：≥28mm，总长：≥200mm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11.22以录制视频方式呈现如下内容：演示实验：碳酸钠和盐酸的反应实验(投标人需提供光盘或者U盘佐证)</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12.无线分光光度计（1套）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12.1.光源：LED白炽灯</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12.2.探测器：线性CCD</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12.3.波长范围：380nm～950nm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12.4.报告波长间隔：＜1 nm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12.5.波长精度：±4.0nm; 光学精度：±0.10A.U.</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12.6.光学分辨率（FWHM）：≤5.0nm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12.7.典型扫描时间：＜2秒</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12.8.操作温度：15～35℃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12.9.连接方式:无线：蓝牙4.2;有线：USB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12.10.电池：高容量，可充电锂电池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12.11.尺寸：≥15cm x 9cm x 4cm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12.12.支持荧光：两个激发源集中在405 nm和500 nm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13、分光光度计光纤（1套）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13.1.配合分光光度计测量LED、灯的光放射；叶绿素的荧光性；通过光纤的光放射等</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14、无线恒定电流传感器（1套）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14.1.范围：0～0.6A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14.2.电源电压：5 V直流</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14.3.电源电流（典型）：9 mA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14.4.输出电压范围：0～5V</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14.5.传递函数：Vout=6.9(I) + 0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14.6.电源（输入）：100～240 VAC；50/60 Hz 0.5 A；26～41 VA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14.7.电源（输出）：5V,1.5A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14.8.线性：0.1%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14.9.连接方式:无线：蓝牙4.2;有线：USB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14.10.最大无线范围：≥30m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14.11.尺寸：≥9cm*6cm*5cm，电线：≥60cm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15、无线氯离子传感器（1套）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15.1.范围（浓度）：1到35000mg/L</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15.2.分辨率：读数的±10%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15.3.干扰离子：CN–, Br–, I–, S2-, OH–, NH3</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15.4.PH范围：2～12</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15.5.温度范围：0～80℃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15.6.电极斜率：25℃时+56±3mV/decade</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15.7.电极阻抗：1～5MΩ</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15.8.最小取样量：必须淹没2.8cm（1.1英寸）</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15.9.电压读数，典型的：1000 mg/L时114mV，10 mg/L时230mV</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15.10.连接方式：无线规格：蓝牙4.2；USB规格：2.0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15.11.最大无线范围：≥30m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15.12.电池：300mA锂电池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15.13.电池使用时长（单次充满）：24小时持续数据采集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15.14.电池寿命（长期）：500次满循环充放电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16、无线电压传感器（1套）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16.1.输入电压范围：20 V</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16.2.任意输入的最大安全电压：24 V</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16.3.分辨率，16-bit：在20 V通道时 5 mV</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16.4.最大采样速率：≥1000样本/秒</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16.5.输入阻抗（接地）：10 MΩ</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16.6.差分阻抗：＞20 MΩ</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16.7.线性：≤0.01%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16.8.连接方式:无线：蓝牙4.2;有线：USB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16.9.最大无线范围：≥30m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16.10.电池：300mA锂电池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16.11.电池使用时长（单次充满）：24小时持续数据采集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16.12.电池寿命（长期）：300次满循环充放电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17、无线电流传感器（1套）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17.1.电流范围: ±1 A 和 ±0.1 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17.2.任意输入的最大电压：±10V</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17.3.最大无损电流: 1.5 A 和0.5 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17.4.分辨率: 0.031 mA （±1A范围）和 0.003 mA（±0.1A范围）</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17.5.输入阻抗（输入之间）：0.1Ω（±1A范围）和1Ω（±0.1A范围）</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17.6.输入阻抗（接地）：10MΩ</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17.7.线性：0.01%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17.8.连接方式:无线：蓝牙4.2;有线：USB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17.9.最大无线范围：≥30m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17.10.电池：300mA锂电池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17.11.电池使用时长（单次充满）：24小时持续数据采集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17.12.电池寿命（长期）：500次满循环充放电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18、充电座（1套）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18.1可同时给16台无线传感器设备充电 含有16个充电口：包含8个USB充电口以及8个wand-style型传感器充电口，LED灯将展示充电状态</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19、磁力搅拌器（1套）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19.1.最大搅拌量：≥800ml</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19.2.转速：50～1250rpm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19.3.速度控制器：连续可调</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19.4.搅拌台材料：ABS塑料</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19.5.搅拌台直径：≥10cm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19.6.不含电池的重量：≥460g</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19.7.操作温度：0～60℃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19.8.操作最大湿度：90%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19.9.电源：6伏的交流电适配器</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19.10.安装类别：II</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20、玻璃实验器皿套装（1套）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20.1.Y型反应管 内20*80*70 （KIT-G-Y）</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20.2.斜二口直筒型烧瓶 ≥250ml 29/19 （KIT-G-2250）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20.3.斜三口直筒型烧瓶≥500ml 34/24*2 （KIT-G-3500）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20.4.斜三口圆底烧瓶 ≥250ml 34/24/19 （KIT-G-3250）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20.5.硅胶塞带孔 34# （KIT-G-ST34）</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20.6.硅胶塞带孔 24#*2 （KIT-G-ST24）</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20.7.可配合气体压力传感器，氧气传感器，pH传感器，不锈钢温度传感器，氯离子传感器使用（有线和无线均可使用）</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套</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2</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69500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68" w:hRule="atLeast"/>
          <w:tblCellSpacing w:w="15" w:type="dxa"/>
        </w:trPr>
        <w:tc>
          <w:tcPr>
            <w:tcW w:w="547" w:type="dxa"/>
            <w:shd w:val="clear"/>
            <w:tcMar>
              <w:top w:w="0" w:type="dxa"/>
              <w:left w:w="105" w:type="dxa"/>
              <w:bottom w:w="0" w:type="dxa"/>
              <w:right w:w="105" w:type="dxa"/>
            </w:tcMar>
            <w:vAlign w:val="center"/>
          </w:tcPr>
          <w:p>
            <w:pPr>
              <w:pStyle w:val="5"/>
              <w:keepNext w:val="0"/>
              <w:keepLines w:val="0"/>
              <w:widowControl/>
              <w:suppressLineNumbers w:val="0"/>
              <w:spacing w:line="288" w:lineRule="atLeast"/>
              <w:jc w:val="center"/>
            </w:pPr>
            <w:bookmarkStart w:id="0" w:name="_GoBack"/>
            <w:r>
              <w:rPr>
                <w:rFonts w:hint="eastAsia" w:ascii="宋体" w:hAnsi="宋体" w:eastAsia="宋体" w:cs="宋体"/>
                <w:sz w:val="21"/>
                <w:szCs w:val="21"/>
                <w:bdr w:val="none" w:color="auto" w:sz="0" w:space="0"/>
              </w:rPr>
              <w:t>1-18</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line="345" w:lineRule="atLeast"/>
            </w:pPr>
            <w:r>
              <w:rPr>
                <w:rFonts w:hint="eastAsia" w:ascii="宋体" w:hAnsi="宋体" w:eastAsia="宋体" w:cs="宋体"/>
                <w:sz w:val="21"/>
                <w:szCs w:val="21"/>
                <w:bdr w:val="none" w:color="auto" w:sz="0" w:space="0"/>
              </w:rPr>
              <w:t>手持技术数字化实验传感器设备</w:t>
            </w:r>
          </w:p>
          <w:p>
            <w:pPr>
              <w:pStyle w:val="5"/>
              <w:keepNext w:val="0"/>
              <w:keepLines w:val="0"/>
              <w:widowControl/>
              <w:suppressLineNumbers w:val="0"/>
              <w:spacing w:line="345" w:lineRule="atLeast"/>
            </w:pPr>
            <w:r>
              <w:rPr>
                <w:rFonts w:hint="eastAsia" w:ascii="宋体" w:hAnsi="宋体" w:eastAsia="宋体" w:cs="宋体"/>
                <w:sz w:val="21"/>
                <w:szCs w:val="21"/>
                <w:bdr w:val="none" w:color="auto" w:sz="0" w:space="0"/>
              </w:rPr>
              <w:t>（初中化学）</w:t>
            </w:r>
          </w:p>
        </w:tc>
        <w:tc>
          <w:tcPr>
            <w:tcW w:w="7295" w:type="dxa"/>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1、无线图形分析软件（1套）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1.1.根据需要显示一个，两个或三个图形。</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1.2.设置图形比例。</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1.3.选择在每个轴上绘制的图形，然后选择线形或点形图形。</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1.4.计算所有或部分数据的描述性统计信息。</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1.5.使直线和曲线适合您的部分或全部数据。</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1.6.根据传感器列定义计算列。例如，使用它可以线性化图形。</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1.7.查看表中的数据。</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1.8.突出显示并从图中读取值。</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1.9.使用图形数据进行内插和外推。</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2、无线氧气传感器（1套）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2.1.电池类型：电化学电池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2.2.范围：0～100% (0～1000ppt)</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2.3.精度：O2体积的±1%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2.4.分辨率：≤0.01%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2.5.响应时间：12秒内达到最终读数的90%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2.6.预热时间：少于5秒达到最终读数的90%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2.7.压强影响：直接成比例</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2.8.压强范围：0.5atm～1.5atm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2.9.气体采样模式：扩散</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2.10.温度传感器：类型：热敏电阻</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2.11.精度：±0.5℃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2.12.分辨率：≤0.1℃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2.13.连接方式:无线：蓝牙4.2;有线：USB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2.14.最大无线范围：≥30m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2.15.电池：650mA锂电池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2.16.电池使用时长（单次充满）：8小时持续数据采集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2.17.电池寿命（长期）：500次满循环充放电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2.18.正常操作温度范围：20～40℃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2.19.操作湿度范围：5～95%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2.20.尺寸：轴长：≥38mm，轴径：≥28mm，总长：≥155mm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3、无线二氧化碳传感器（1套）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3.1.类型：NDIR</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3.2.范围：0～100000ppm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3.3.精度：0～1000ppm :±100ppm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3.4.分辨率：≤1ppm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3.5.预热时间：180秒</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3.6.气体采样模式：扩散</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3.7.温度传感器：类型：集成电路（IC）</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3.8.精度：±0.5℃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3.9.分辨率：≤0.1℃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3.10.相对湿度传感器：类型：集成电路（IC）</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3.11.范围：0～100%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3.12.精度：±0.5%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3.13.分辨率：≤0.1%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3.14.连接方式:无线：蓝牙4.2;有线：USB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3.15.最大无线范围：≥30m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3.16.电池：650mA锂电池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3.17.电池使用时长（单次充满）：8小时持续数据采集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3.18.电池寿命（长期）：500次满循环充放电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3.19.正常操作温度范围：20～40℃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3.20.操作湿度范围：5～95%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3.21.尺寸：轴长：≥82mm，轴径：≥28mm，总长：≥200mm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4、无线气体压力传感器（1套）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4.1.范围：0～400 kPa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4.2.典型精度：±3kPa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4.3.分辨率：≤0.03kPa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4.4.最大采样速率：≥50样本/秒</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4.5.最大可承受不损坏传感器的气压：≥410kPa</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4.6.内部体积：≥0.8ml</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4.7.连接方式:无线：蓝牙4.2;有线：USB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4.8.最大无线范围：≥30m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4.9.电池：300mA锂电池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4.10.电池使用时长（单次充满）：24小时持续数据采集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4.11.电池寿命（长期）：500次满循环充放电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4.12.尺寸：≥9.5cmx6.0cmx3.25cm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5、无线温度传感器（1套）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5.1.范围：-40～125°C</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5.2.精度：±0.25℃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5.3.分辨率：≤0.01℃</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5.4.最大可承受不损坏传感器的温度：150℃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5.5.连接方式:无线：蓝牙4.2;有线：USB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5.6.最大无线范围：≥30m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5.7.电池：300mA锂电池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5.8.电池使用时长（单次充满）：24小时</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5.9.电池寿命（长期）：500次满循环充放电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5.10.手柄温度范围：-10～45°C</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5.11.尺寸：高≥18.5cm，宽≥2cm，探针长≥11.5cm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6、无线平头PH传感器（1套）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6.1.电极类型：双结，密封，凝胶填充，Ag/AgCl参比，聚碳酸酯体。</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6.2.范围：PH 0～14</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6.3.典型精度：±0.2PH</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6.4.分辨率：≤0.01PH</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6.5.反应时间：1秒内达到最终读数的90%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6.6.温度范围：5～80℃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6.7.连接方式:无线：蓝牙4.2;有线：USB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6.8.最大无线范围：≥30m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6.9.电池：300mA锂电池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6.10.电池使用时长（单次充满）：24小时持续数据采集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6.11.电池寿命（长期）：500次满循环充放电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7、无线抗酸碱导电率传感器（1套）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7.1.类型：环氧树脂材质，2芯铂电极</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7.2.范围：0～20,000 uS/cm（0～10000 mg/L TDS）</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7.3.精确度：±10uS/cm（1～4000uS/cm有效，自定义点校准在1413uS/cm）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7.4.分辨率：≤0.01 uS/cm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7.5.反应时间：5秒内达到读数的95%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7.6.温度补偿：5℃～35℃自动补偿</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7.7.温度范围：0～80℃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7.8.连接方式:无线：蓝牙4.2</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7.9.最大无线范围：≥30m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7.10.电池：300mA锂电池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7.11.电池使用时长（单次充满）：24小时持续数据采集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7.12.电池寿命（长期）：500次满循环充放电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7.13.尺寸：轴长≥120mm，轴径≥12mm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8、无线玻璃PH传感器（1套）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8.1.电极类型：密封，凝胶填充，玻璃机身，Ag/AgCl参比</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8.2.范围：PH 0～14</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8.3.典型精度：±0.2PH</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8.4.分辨率：≤0.01PH</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8.5.反应时间：1秒内达到最终读数的90%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8.6.温度范围：5～80℃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8.7.连接方式:无线：蓝牙4.2;有线：USB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8.8.最大无线范围：≥30m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8.9.电池：300mA锂电池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8.10.电池使用时长（单次充满）：24小时持续数据采集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8.11.电池寿命（长期）：500次满循环充放电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9、无线滴数传感器（1套）</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9.1.准确滴计数率高达6滴/秒</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9.2.连接方式:无线：蓝牙; 有线：USB</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9.3.尺寸:</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滴定用开口长：≥3cm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插传感器圆孔（直径）：≥7mm和≥13mm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固定铁架台开口：≥16mm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全长：≥15.5cm，宽度：≥4.5cm，厚度：≥1.8cm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从固定铁架台开口中心到滴定用开口中心的距离：≥10.5cm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从固定铁架台开口中心到插传感器圆孔中心的距离：≥12cm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10、无线高温传感器（1套）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10.1.范围：-200～1400°C</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10.2.精度：读数的±2.2℃或者0.75%</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10.3.连接方式:无线：蓝牙4.2</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10.4.电池：300mA锂电池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11、无线光学溶解氧传感器（1套）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11.1.范围：0～20 mg/L；范围：0～300%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11.2.精度：±0.2mg/L（低于10mg/L时）；±0.4mg/L（高于10mg/L）</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11.3.校准重置精度：±0.1mg/L（低于10mg/L时）；±0.2mg/L（高于10mg/L时）</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11.4.类型：冷光</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11.5.响应时间：40秒内达到读数的90%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11.6.温度补偿：自动从0～50℃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11.7.压力补偿：自动从228 mmHg～1519 mmHg</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11.8.最小样本流速：没有要求</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11.9.连接方式:无线：蓝牙4.2;有线：USB 2.0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11.10.最大无线范围：≥30m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11.11.电池：650mA锂电池</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11.12.电池使用时长（单次充满）：24小时持续数据采集</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11.13.电池寿命（长期）：500次满循环充放电</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11.14.以录制视频方式呈现如下内容：溶解氧浓度、溶解氧盐度、溶解氧饱和度、温度、压力五个传感器通道可以同时开启；冷机开机无需预热校准直接可以测定液体溶解氧含量(投标人需提供光盘或者U盘佐证)</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12、磁力搅拌器（1套）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12.1.最大搅拌量：≥800ml</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12.2.转速：50～1250rpm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12.3.速度控制器：连续可调</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12.4.搅拌台材料：ABS塑料</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12.5.搅拌台直径：≥10cm</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12.6.不含电池的重量：≥460g</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12.7.操作温度：0～60℃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12.8.操作最大湿度：≤90%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12.9.电源：6伏的交流电适配器</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12.10.安装类别：II</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13.玻璃实验器皿套装（1套）  </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13.1.Y型反应管 内20*80*70 （KIT-G-Y）</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13.2.斜二口直筒型烧瓶 ≥250ml 29/19 （KIT-G-2250）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13.3.斜三口直筒型烧瓶≥500ml 34/24*2 （KIT-G-3500）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13.4.斜三口圆底烧瓶 ≥250ml 34/24/19 （KIT-G-3250）</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13.5.硅胶塞带孔 34# （KIT-G-ST34）</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13.6.硅胶塞带孔 24#*2 （KIT-G-ST24）</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13.7可配合气体压力传感器，氧气传感器，pH传感器，不锈钢温度传感器，氯离子传感器使用（有线和无线均可使用）</w:t>
            </w:r>
          </w:p>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w:t>
            </w:r>
          </w:p>
        </w:tc>
        <w:tc>
          <w:tcPr>
            <w:tcW w:w="72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套</w:t>
            </w:r>
          </w:p>
        </w:tc>
        <w:tc>
          <w:tcPr>
            <w:tcW w:w="583"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2</w:t>
            </w:r>
          </w:p>
        </w:tc>
        <w:tc>
          <w:tcPr>
            <w:tcW w:w="930" w:type="dxa"/>
            <w:shd w:val="clear"/>
            <w:tcMar>
              <w:top w:w="0" w:type="dxa"/>
              <w:left w:w="105" w:type="dxa"/>
              <w:bottom w:w="0" w:type="dxa"/>
              <w:right w:w="105" w:type="dxa"/>
            </w:tcMar>
            <w:vAlign w:val="center"/>
          </w:tcPr>
          <w:p>
            <w:pPr>
              <w:pStyle w:val="5"/>
              <w:keepNext w:val="0"/>
              <w:keepLines w:val="0"/>
              <w:widowControl/>
              <w:suppressLineNumbers w:val="0"/>
              <w:jc w:val="center"/>
              <w:textAlignment w:val="center"/>
            </w:pPr>
            <w:r>
              <w:rPr>
                <w:rFonts w:hint="eastAsia" w:ascii="宋体" w:hAnsi="宋体" w:eastAsia="宋体" w:cs="宋体"/>
                <w:sz w:val="21"/>
                <w:szCs w:val="21"/>
                <w:bdr w:val="none" w:color="auto" w:sz="0" w:space="0"/>
              </w:rPr>
              <w:t>49500</w:t>
            </w:r>
          </w:p>
        </w:tc>
      </w:tr>
      <w:bookmarkEnd w:id="0"/>
    </w:tbl>
    <w:p>
      <w:pPr>
        <w:pStyle w:val="5"/>
        <w:keepNext w:val="0"/>
        <w:keepLines w:val="0"/>
        <w:widowControl/>
        <w:suppressLineNumbers w:val="0"/>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1、交付地点：福建省泉州市丰泽区泉州师范学院主校区</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2、交付时间：合同签订后 (30) 天内完成安装及调试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3、交付条件：满足谈判文件要求。</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2%。说明：中标供应商在签订合同前需向采购人缴纳合同金额2%的履约保证金，该保证金在中标供应商供应的货物全部验收合格，合同约定事项全部履行完毕且无未了事项后，30日内一次性无息退还。履约保证金以支票、汇票、本票或者金融机构、担保机构出具的保函等非现金形式向采购人缴交。</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6、验收方式数据表格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8"/>
        <w:gridCol w:w="98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46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53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46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453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46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453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462"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453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96"/>
        <w:gridCol w:w="1709"/>
        <w:gridCol w:w="79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791"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701"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7"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791"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100</w:t>
            </w:r>
          </w:p>
        </w:tc>
        <w:tc>
          <w:tcPr>
            <w:tcW w:w="3701"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在合同签订后，中标供应商提交银行出具的预付款保函或启用我校指定银行的三方共管账户后，我校支付合同总价100%的预付款。预付款保函的有效期需在采购项目验收合格日期之后；启用我校指定银行的三方共管账户，采购项目经验收合格并完成报销流程后，中标供应商从三方共管账户支取款项。</w:t>
            </w:r>
          </w:p>
        </w:tc>
      </w:tr>
    </w:tbl>
    <w:p>
      <w:pPr>
        <w:pStyle w:val="5"/>
        <w:keepNext w:val="0"/>
        <w:keepLines w:val="0"/>
        <w:widowControl/>
        <w:suppressLineNumbers w:val="0"/>
        <w:spacing w:line="465" w:lineRule="atLeast"/>
      </w:pPr>
      <w:r>
        <w:rPr>
          <w:rStyle w:val="8"/>
          <w:rFonts w:hint="eastAsia" w:ascii="楷体" w:hAnsi="楷体" w:eastAsia="楷体" w:cs="楷体"/>
          <w:sz w:val="28"/>
          <w:szCs w:val="28"/>
        </w:rPr>
        <w:t>8、商务及售后 服务要求</w:t>
      </w:r>
    </w:p>
    <w:p>
      <w:pPr>
        <w:pStyle w:val="5"/>
        <w:keepNext w:val="0"/>
        <w:keepLines w:val="0"/>
        <w:widowControl/>
        <w:suppressLineNumbers w:val="0"/>
      </w:pPr>
      <w:r>
        <w:rPr>
          <w:rFonts w:hint="eastAsia" w:ascii="宋体" w:hAnsi="宋体" w:eastAsia="宋体" w:cs="宋体"/>
          <w:sz w:val="21"/>
          <w:szCs w:val="21"/>
        </w:rPr>
        <w:t>（一）投标人对提供的货物或服务，因产品及服务质量、或知识产权纠纷等问题，必须提供保修、包换、包退等服务。</w:t>
      </w:r>
    </w:p>
    <w:p>
      <w:pPr>
        <w:pStyle w:val="5"/>
        <w:keepNext w:val="0"/>
        <w:keepLines w:val="0"/>
        <w:widowControl/>
        <w:suppressLineNumbers w:val="0"/>
      </w:pPr>
      <w:r>
        <w:rPr>
          <w:rFonts w:hint="eastAsia" w:ascii="宋体" w:hAnsi="宋体" w:eastAsia="宋体" w:cs="宋体"/>
          <w:sz w:val="21"/>
          <w:szCs w:val="21"/>
        </w:rPr>
        <w:t>（二）货物安装调试合格后，投标人负责对采购人技术人员进行免费现场培训，培训内容包括仪器设备的功能、原理、使用与维护等，培训日程视实际情况另定。</w:t>
      </w:r>
    </w:p>
    <w:p>
      <w:pPr>
        <w:pStyle w:val="5"/>
        <w:keepNext w:val="0"/>
        <w:keepLines w:val="0"/>
        <w:widowControl/>
        <w:suppressLineNumbers w:val="0"/>
      </w:pPr>
      <w:r>
        <w:rPr>
          <w:rFonts w:hint="eastAsia" w:ascii="宋体" w:hAnsi="宋体" w:eastAsia="宋体" w:cs="宋体"/>
          <w:sz w:val="21"/>
          <w:szCs w:val="21"/>
        </w:rPr>
        <w:t>（三）质保期：投标人所供货物（设备、货物或服务）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pStyle w:val="5"/>
        <w:keepNext w:val="0"/>
        <w:keepLines w:val="0"/>
        <w:widowControl/>
        <w:suppressLineNumbers w:val="0"/>
      </w:pPr>
      <w:r>
        <w:rPr>
          <w:rFonts w:hint="eastAsia" w:ascii="宋体" w:hAnsi="宋体" w:eastAsia="宋体" w:cs="宋体"/>
          <w:sz w:val="21"/>
          <w:szCs w:val="21"/>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pStyle w:val="5"/>
        <w:keepNext w:val="0"/>
        <w:keepLines w:val="0"/>
        <w:widowControl/>
        <w:suppressLineNumbers w:val="0"/>
      </w:pPr>
      <w:r>
        <w:rPr>
          <w:rFonts w:hint="eastAsia" w:ascii="宋体" w:hAnsi="宋体" w:eastAsia="宋体" w:cs="宋体"/>
          <w:sz w:val="21"/>
          <w:szCs w:val="21"/>
        </w:rPr>
        <w:t>（五）质保期结束后，投标人需提供终身提供应用咨询及技术帮助，及终身软件升级、维护；仪器设备一旦出现故障，投标人需协助用户对仪器设备进行维修，远程不能解决的，投标人需派出技术人员2个工作日内到现场进行维修，只收取人员差旅费。</w:t>
      </w:r>
    </w:p>
    <w:p>
      <w:pPr>
        <w:pStyle w:val="5"/>
        <w:keepNext w:val="0"/>
        <w:keepLines w:val="0"/>
        <w:widowControl/>
        <w:suppressLineNumbers w:val="0"/>
      </w:pPr>
      <w:r>
        <w:rPr>
          <w:rFonts w:hint="eastAsia" w:ascii="宋体" w:hAnsi="宋体" w:eastAsia="宋体" w:cs="宋体"/>
          <w:sz w:val="21"/>
          <w:szCs w:val="21"/>
        </w:rPr>
        <w:t>（六）履行所承诺的其他服务条款。</w:t>
      </w:r>
    </w:p>
    <w:p>
      <w:pPr>
        <w:pStyle w:val="5"/>
        <w:keepNext w:val="0"/>
        <w:keepLines w:val="0"/>
        <w:widowControl/>
        <w:suppressLineNumbers w:val="0"/>
        <w:spacing w:line="465" w:lineRule="atLeast"/>
      </w:pPr>
      <w:r>
        <w:rPr>
          <w:rStyle w:val="8"/>
          <w:rFonts w:hint="eastAsia" w:ascii="楷体" w:hAnsi="楷体" w:eastAsia="楷体" w:cs="楷体"/>
          <w:sz w:val="28"/>
          <w:szCs w:val="28"/>
        </w:rPr>
        <w:t>9、验收要求</w:t>
      </w:r>
    </w:p>
    <w:p>
      <w:pPr>
        <w:pStyle w:val="5"/>
        <w:keepNext w:val="0"/>
        <w:keepLines w:val="0"/>
        <w:widowControl/>
        <w:suppressLineNumbers w:val="0"/>
      </w:pPr>
      <w:r>
        <w:rPr>
          <w:rFonts w:hint="eastAsia" w:ascii="宋体" w:hAnsi="宋体" w:eastAsia="宋体" w:cs="宋体"/>
          <w:sz w:val="21"/>
          <w:szCs w:val="21"/>
        </w:rPr>
        <w:t>（一）验收标准</w:t>
      </w:r>
    </w:p>
    <w:p>
      <w:pPr>
        <w:pStyle w:val="5"/>
        <w:keepNext w:val="0"/>
        <w:keepLines w:val="0"/>
        <w:widowControl/>
        <w:suppressLineNumbers w:val="0"/>
      </w:pPr>
      <w:r>
        <w:rPr>
          <w:rFonts w:hint="eastAsia" w:ascii="宋体" w:hAnsi="宋体" w:eastAsia="宋体" w:cs="宋体"/>
          <w:sz w:val="21"/>
          <w:szCs w:val="21"/>
        </w:rPr>
        <w:t>按厂家设备验收标准(符合国家或行业或地方标准)、招标文件、投标文件、合同等相关文件执行。验收结果应符合采购人使用要求。</w:t>
      </w:r>
    </w:p>
    <w:p>
      <w:pPr>
        <w:pStyle w:val="5"/>
        <w:keepNext w:val="0"/>
        <w:keepLines w:val="0"/>
        <w:widowControl/>
        <w:suppressLineNumbers w:val="0"/>
      </w:pPr>
      <w:r>
        <w:rPr>
          <w:rFonts w:hint="eastAsia" w:ascii="宋体" w:hAnsi="宋体" w:eastAsia="宋体" w:cs="宋体"/>
          <w:sz w:val="21"/>
          <w:szCs w:val="21"/>
        </w:rPr>
        <w:t>（二）验收程序</w:t>
      </w:r>
    </w:p>
    <w:p>
      <w:pPr>
        <w:pStyle w:val="5"/>
        <w:keepNext w:val="0"/>
        <w:keepLines w:val="0"/>
        <w:widowControl/>
        <w:suppressLineNumbers w:val="0"/>
      </w:pPr>
      <w:r>
        <w:rPr>
          <w:rFonts w:hint="eastAsia" w:ascii="宋体" w:hAnsi="宋体" w:eastAsia="宋体" w:cs="宋体"/>
          <w:sz w:val="21"/>
          <w:szCs w:val="21"/>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 定交货地点。</w:t>
      </w:r>
    </w:p>
    <w:p>
      <w:pPr>
        <w:pStyle w:val="5"/>
        <w:keepNext w:val="0"/>
        <w:keepLines w:val="0"/>
        <w:widowControl/>
        <w:suppressLineNumbers w:val="0"/>
      </w:pPr>
      <w:r>
        <w:rPr>
          <w:rFonts w:hint="eastAsia" w:ascii="宋体" w:hAnsi="宋体" w:eastAsia="宋体" w:cs="宋体"/>
          <w:sz w:val="21"/>
          <w:szCs w:val="21"/>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pStyle w:val="5"/>
        <w:keepNext w:val="0"/>
        <w:keepLines w:val="0"/>
        <w:widowControl/>
        <w:suppressLineNumbers w:val="0"/>
      </w:pPr>
      <w:r>
        <w:rPr>
          <w:rFonts w:hint="eastAsia" w:ascii="宋体" w:hAnsi="宋体" w:eastAsia="宋体" w:cs="宋体"/>
          <w:sz w:val="21"/>
          <w:szCs w:val="21"/>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pStyle w:val="5"/>
        <w:keepNext w:val="0"/>
        <w:keepLines w:val="0"/>
        <w:widowControl/>
        <w:suppressLineNumbers w:val="0"/>
      </w:pPr>
      <w:r>
        <w:rPr>
          <w:rFonts w:hint="eastAsia" w:ascii="宋体" w:hAnsi="宋体" w:eastAsia="宋体" w:cs="宋体"/>
          <w:sz w:val="21"/>
          <w:szCs w:val="21"/>
        </w:rPr>
        <w:t> </w:t>
      </w:r>
    </w:p>
    <w:p>
      <w:pPr>
        <w:pStyle w:val="5"/>
        <w:keepNext w:val="0"/>
        <w:keepLines w:val="0"/>
        <w:widowControl/>
        <w:suppressLineNumbers w:val="0"/>
        <w:spacing w:line="465" w:lineRule="atLeast"/>
      </w:pPr>
      <w:r>
        <w:rPr>
          <w:rStyle w:val="8"/>
          <w:rFonts w:hint="eastAsia" w:ascii="楷体" w:hAnsi="楷体" w:eastAsia="楷体" w:cs="楷体"/>
          <w:sz w:val="28"/>
          <w:szCs w:val="28"/>
        </w:rPr>
        <w:t>10、其他商务要求</w:t>
      </w:r>
    </w:p>
    <w:p>
      <w:pPr>
        <w:pStyle w:val="5"/>
        <w:keepNext w:val="0"/>
        <w:keepLines w:val="0"/>
        <w:widowControl/>
        <w:suppressLineNumbers w:val="0"/>
        <w:spacing w:line="465" w:lineRule="atLeast"/>
      </w:pPr>
      <w:r>
        <w:rPr>
          <w:rFonts w:hint="eastAsia" w:ascii="宋体" w:hAnsi="宋体" w:eastAsia="宋体" w:cs="宋体"/>
          <w:sz w:val="21"/>
          <w:szCs w:val="21"/>
        </w:rPr>
        <w:t>（一）投标人不得虚报各项技术指标，中标产品若不能符合技术要求，采购人有权解除合同，并向政府采购管理部门通报，因此给采购人造成的一切损失，由投标人承担。</w:t>
      </w:r>
    </w:p>
    <w:p>
      <w:pPr>
        <w:pStyle w:val="5"/>
        <w:keepNext w:val="0"/>
        <w:keepLines w:val="0"/>
        <w:widowControl/>
        <w:suppressLineNumbers w:val="0"/>
        <w:spacing w:line="465" w:lineRule="atLeast"/>
      </w:pPr>
      <w:r>
        <w:rPr>
          <w:rFonts w:hint="eastAsia" w:ascii="宋体" w:hAnsi="宋体" w:eastAsia="宋体" w:cs="宋体"/>
          <w:sz w:val="21"/>
          <w:szCs w:val="21"/>
        </w:rPr>
        <w:t>（二）培训：投标人应结合本次采购的货物，有计划地对采购人派出管理、维护及使用人员进行安装现场的基本知识、使用、维护与保养技术的培训。</w:t>
      </w:r>
    </w:p>
    <w:p>
      <w:pPr>
        <w:pStyle w:val="5"/>
        <w:keepNext w:val="0"/>
        <w:keepLines w:val="0"/>
        <w:widowControl/>
        <w:suppressLineNumbers w:val="0"/>
        <w:spacing w:line="465" w:lineRule="atLeast"/>
      </w:pPr>
      <w:r>
        <w:rPr>
          <w:rStyle w:val="8"/>
          <w:rFonts w:hint="eastAsia" w:ascii="楷体" w:hAnsi="楷体" w:eastAsia="楷体" w:cs="楷体"/>
          <w:sz w:val="28"/>
          <w:szCs w:val="28"/>
        </w:rPr>
        <w:t>11、付款要求</w:t>
      </w:r>
    </w:p>
    <w:p>
      <w:pPr>
        <w:pStyle w:val="5"/>
        <w:keepNext w:val="0"/>
        <w:keepLines w:val="0"/>
        <w:widowControl/>
        <w:suppressLineNumbers w:val="0"/>
        <w:spacing w:line="465" w:lineRule="atLeast"/>
      </w:pPr>
      <w:r>
        <w:rPr>
          <w:rFonts w:hint="eastAsia" w:ascii="宋体" w:hAnsi="宋体" w:eastAsia="宋体" w:cs="宋体"/>
          <w:sz w:val="21"/>
          <w:szCs w:val="21"/>
        </w:rPr>
        <w:t>（一）所有货款均由泉州师范学院支付；</w:t>
      </w:r>
    </w:p>
    <w:p>
      <w:pPr>
        <w:pStyle w:val="5"/>
        <w:keepNext w:val="0"/>
        <w:keepLines w:val="0"/>
        <w:widowControl/>
        <w:suppressLineNumbers w:val="0"/>
        <w:spacing w:line="465" w:lineRule="atLeast"/>
      </w:pPr>
      <w:r>
        <w:rPr>
          <w:rFonts w:hint="eastAsia" w:ascii="宋体" w:hAnsi="宋体" w:eastAsia="宋体" w:cs="宋体"/>
          <w:sz w:val="21"/>
          <w:szCs w:val="21"/>
        </w:rPr>
        <w:t>（二）支付货款时应提供的资料：《泉州师范学院物资采购申请表》、成交通知书、采购验收单及合同的原件，正式的完税税务发票复印件（均应加盖财务专用章）和政府采购计划表（政府采购系统上打印）。</w:t>
      </w:r>
    </w:p>
    <w:p>
      <w:pPr>
        <w:pStyle w:val="5"/>
        <w:keepNext w:val="0"/>
        <w:keepLines w:val="0"/>
        <w:widowControl/>
        <w:suppressLineNumbers w:val="0"/>
        <w:spacing w:line="465" w:lineRule="atLeast"/>
      </w:pPr>
      <w:r>
        <w:rPr>
          <w:rFonts w:hint="eastAsia" w:ascii="宋体" w:hAnsi="宋体" w:eastAsia="宋体" w:cs="宋体"/>
          <w:sz w:val="21"/>
          <w:szCs w:val="21"/>
        </w:rPr>
        <w:t>（三）进口设备由外贸代 理公司负责提供设备的免表原件、进口货值发票原件、海关报关单复印件、银行购汇水单复印件及代 理费发票等相关材料（复印件需加盖公章）。</w:t>
      </w:r>
    </w:p>
    <w:p>
      <w:pPr>
        <w:pStyle w:val="5"/>
        <w:keepNext w:val="0"/>
        <w:keepLines w:val="0"/>
        <w:widowControl/>
        <w:suppressLineNumbers w:val="0"/>
        <w:spacing w:line="465" w:lineRule="atLeast"/>
      </w:pPr>
      <w:r>
        <w:rPr>
          <w:rFonts w:hint="eastAsia" w:ascii="宋体" w:hAnsi="宋体" w:eastAsia="宋体" w:cs="宋体"/>
          <w:sz w:val="21"/>
          <w:szCs w:val="21"/>
        </w:rPr>
        <w:t>（四）付款：在合同签订后，中标供 应商提交银行出具的预付款保函或启用我校指 定银行的三方共管账户后，我校支付合同总价100%的预付款。预付款保函的有效期需在采购项目验收合格日期之后；启用我校指 定银行的三方共管账户，采购项目经验收合格并完成报销流程后，中标供 应商从三方共管账户支取款项。</w:t>
      </w:r>
    </w:p>
    <w:p>
      <w:pPr>
        <w:pStyle w:val="5"/>
        <w:keepNext w:val="0"/>
        <w:keepLines w:val="0"/>
        <w:widowControl/>
        <w:suppressLineNumbers w:val="0"/>
        <w:spacing w:line="465" w:lineRule="atLeast"/>
      </w:pPr>
      <w:r>
        <w:rPr>
          <w:rFonts w:hint="eastAsia" w:ascii="宋体" w:hAnsi="宋体" w:eastAsia="宋体" w:cs="宋体"/>
          <w:sz w:val="21"/>
          <w:szCs w:val="21"/>
        </w:rPr>
        <w:t>（五）投标人、收款单位、购货票证开票单位三者应一致，投标人收款帐号应为中国人民银行批准的基本帐户。</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5"/>
        <w:keepNext w:val="0"/>
        <w:keepLines w:val="0"/>
        <w:widowControl/>
        <w:suppressLineNumbers w:val="0"/>
      </w:pPr>
      <w:r>
        <w:rPr>
          <w:rFonts w:hint="default" w:ascii="Times New Roman" w:hAnsi="Times New Roman" w:cs="Times New Roman"/>
        </w:rPr>
        <w:t> </w:t>
      </w:r>
      <w:r>
        <w:rPr>
          <w:rFonts w:hint="eastAsia" w:ascii="宋体" w:hAnsi="宋体" w:eastAsia="宋体" w:cs="宋体"/>
        </w:rPr>
        <w:t>（1）采购人在确认成交结果前，可自行对成交候选供 应商提供的符合性条款中涉及的证明资料（证书、报告等）原件进行复核，成交候选供 应商无法提供原件复核的，按提供虚假材料谋取中标或成交的情形处理，该供 应商提交的响应文件无效，本项目顺延确定成交候选供 应商或重新开展采购活动。</w:t>
      </w:r>
    </w:p>
    <w:p>
      <w:pPr>
        <w:pStyle w:val="5"/>
        <w:keepNext w:val="0"/>
        <w:keepLines w:val="0"/>
        <w:widowControl/>
        <w:suppressLineNumbers w:val="0"/>
      </w:pPr>
      <w:r>
        <w:rPr>
          <w:rFonts w:hint="eastAsia" w:ascii="宋体" w:hAnsi="宋体" w:eastAsia="宋体" w:cs="宋体"/>
        </w:rPr>
        <w:t>（2）采购人应当自成交通知书发出之日起30日内，按照采购文件和成交供 应商响应文件的规定，与成交供 应商签订合同，并在福建省政府采购网（泉州市）上发布合同公告。</w:t>
      </w:r>
    </w:p>
    <w:p>
      <w:pPr>
        <w:pStyle w:val="5"/>
        <w:keepNext w:val="0"/>
        <w:keepLines w:val="0"/>
        <w:widowControl/>
        <w:suppressLineNumbers w:val="0"/>
      </w:pPr>
      <w:r>
        <w:rPr>
          <w:rFonts w:hint="eastAsia" w:ascii="宋体" w:hAnsi="宋体" w:eastAsia="宋体" w:cs="宋体"/>
        </w:rPr>
        <w:t>（3）质疑函的格式应当参照财政部官方网站提供的质疑函范本（</w:t>
      </w:r>
      <w:r>
        <w:rPr>
          <w:rFonts w:hint="default" w:ascii="Times New Roman" w:hAnsi="Times New Roman" w:cs="Times New Roman"/>
          <w:spacing w:val="0"/>
        </w:rPr>
        <w:t>http://gks.mof.gov.cn/ztztz/zhengfucaigouguanli/201802/t20180201_2804589.htm</w:t>
      </w:r>
      <w:r>
        <w:rPr>
          <w:rFonts w:hint="eastAsia" w:ascii="宋体" w:hAnsi="宋体" w:eastAsia="宋体" w:cs="宋体"/>
        </w:rPr>
        <w:t>），针对同一采购程序环节的质疑应当在法定质疑期内一次性提出，并附上供 应商在福建省政府采购网（泉州市）已依法获取采购文件的截图（须包含获取时间），否则不予受理。</w:t>
      </w:r>
    </w:p>
    <w:p>
      <w:pPr>
        <w:pStyle w:val="5"/>
        <w:keepNext w:val="0"/>
        <w:keepLines w:val="0"/>
        <w:widowControl/>
        <w:suppressLineNumbers w:val="0"/>
      </w:pPr>
      <w:r>
        <w:rPr>
          <w:rFonts w:hint="eastAsia" w:ascii="宋体" w:hAnsi="宋体" w:eastAsia="宋体" w:cs="宋体"/>
        </w:rPr>
        <w:t>（4）关于中标（成交）供 应商申请融资业务的说明：</w:t>
      </w:r>
    </w:p>
    <w:p>
      <w:pPr>
        <w:pStyle w:val="5"/>
        <w:keepNext w:val="0"/>
        <w:keepLines w:val="0"/>
        <w:widowControl/>
        <w:suppressLineNumbers w:val="0"/>
        <w:spacing w:after="150" w:afterAutospacing="0"/>
        <w:ind w:left="0" w:firstLine="480"/>
        <w:jc w:val="both"/>
      </w:pPr>
      <w:r>
        <w:rPr>
          <w:rFonts w:hint="eastAsia" w:ascii="宋体" w:hAnsi="宋体" w:eastAsia="宋体" w:cs="宋体"/>
        </w:rPr>
        <w:t>1）凡参与政府采购并依法取得政府采购合同的供 应商，均可使用政府采购合同向福建省政府采购网发布的政府采购合同融资业务信息的银行业金融机构申请融资，可在“政采贷”模块进行具体操作；</w:t>
      </w:r>
    </w:p>
    <w:p>
      <w:pPr>
        <w:pStyle w:val="5"/>
        <w:keepNext w:val="0"/>
        <w:keepLines w:val="0"/>
        <w:widowControl/>
        <w:suppressLineNumbers w:val="0"/>
        <w:spacing w:after="150" w:afterAutospacing="0"/>
        <w:ind w:left="0" w:firstLine="480"/>
        <w:jc w:val="both"/>
      </w:pPr>
      <w:r>
        <w:rPr>
          <w:rFonts w:hint="eastAsia" w:ascii="宋体" w:hAnsi="宋体" w:eastAsia="宋体" w:cs="宋体"/>
        </w:rPr>
        <w:t>2）企业申请所需提交的材料可登录“福建省政府采购网”查询；</w:t>
      </w:r>
    </w:p>
    <w:p>
      <w:pPr>
        <w:pStyle w:val="5"/>
        <w:keepNext w:val="0"/>
        <w:keepLines w:val="0"/>
        <w:widowControl/>
        <w:suppressLineNumbers w:val="0"/>
        <w:spacing w:after="150" w:afterAutospacing="0"/>
        <w:ind w:left="0" w:firstLine="480"/>
        <w:jc w:val="both"/>
      </w:pPr>
      <w:r>
        <w:rPr>
          <w:rFonts w:hint="eastAsia" w:ascii="宋体" w:hAnsi="宋体" w:eastAsia="宋体" w:cs="宋体"/>
        </w:rPr>
        <w:t>3）融资主要条件：①担保条件：除法定代表人或实际控制人担保外，如融资金额未超过政府采购合同金额的，银行不要求企业供 应商提供财产抵质押或第三方担保，或附加其他担保条件。②专用账户：当银行同意授信后，企业供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5"/>
        <w:keepNext w:val="0"/>
        <w:keepLines w:val="0"/>
        <w:widowControl/>
        <w:suppressLineNumbers w:val="0"/>
        <w:spacing w:after="150" w:afterAutospacing="0"/>
        <w:ind w:left="0" w:firstLine="480"/>
        <w:jc w:val="both"/>
      </w:pPr>
      <w:r>
        <w:rPr>
          <w:rFonts w:hint="eastAsia" w:ascii="宋体" w:hAnsi="宋体" w:eastAsia="宋体" w:cs="宋体"/>
        </w:rPr>
        <w:t>4）上述事宜详见http://cz.fjzfcg.gov.cn/。</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7"/>
          <w:szCs w:val="27"/>
          <w:lang w:val="en-US" w:eastAsia="zh-CN" w:bidi="ar"/>
        </w:rPr>
        <w:t> </w:t>
      </w:r>
    </w:p>
    <w:p>
      <w:pPr>
        <w:pStyle w:val="5"/>
        <w:keepNext w:val="0"/>
        <w:keepLines w:val="0"/>
        <w:widowControl/>
        <w:suppressLineNumbers w:val="0"/>
        <w:spacing w:before="75" w:beforeAutospacing="0" w:after="75" w:afterAutospacing="0" w:line="465" w:lineRule="atLeast"/>
        <w:ind w:left="0" w:right="0" w:firstLine="0"/>
        <w:rPr>
          <w:rFonts w:hint="eastAsia" w:ascii="微软雅黑" w:hAnsi="微软雅黑" w:eastAsia="微软雅黑" w:cs="微软雅黑"/>
          <w:i w:val="0"/>
          <w:iCs w:val="0"/>
          <w:caps w:val="0"/>
          <w:color w:val="000000"/>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第四章  合同主要条款及格式</w:t>
      </w:r>
    </w:p>
    <w:p>
      <w:pPr>
        <w:pStyle w:val="5"/>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编制说明</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1、签订合同应遵守《中华人民共和国政府采购法》、《中华人民共和国民法典》。</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3.本章节所附的合同主要条款及格式为参考文本，如果因为项目实际特点不能适用，则可由甲乙双方在合同签订阶段可通过友好协商进行约定。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[350500]QZBJ[TP]2022002</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泉州师范学院化工与材料学院手持技术数字化实验传感器设备等仪器采购项目货物类采购项目</w:t>
      </w:r>
      <w:r>
        <w:rPr>
          <w:rFonts w:hint="eastAsia" w:ascii="宋体" w:hAnsi="宋体" w:eastAsia="宋体" w:cs="宋体"/>
          <w:spacing w:val="0"/>
          <w:sz w:val="24"/>
          <w:szCs w:val="24"/>
        </w:rPr>
        <w:t>项目（以下简称：“本项目”）的谈判结果，乙方为成交供应商。现经甲乙双方友好协商，就以下事项达成一致并签订本合同：</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1.2谈判文件、乙方的响应文件；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5、合同标的应符合谈判文件、乙方响应文件的规定或约定，具体如下：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6.2本项目是否邀请其他供应商参与验收：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7、合同款项的支付应按照谈判文件的规定进行，具体如下：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甲方：泉州师范学院乙方：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住所：泉州市丰泽区东海大街398号住所：</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单位负责人：单位负责人：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委托代理人：0595-22919532委托代理人：</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联系方法：0595-22919532联系方法：</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开户银行：开户银行：</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账号：账号：</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240"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rPr>
          <w:rFonts w:hint="eastAsia" w:ascii="微软雅黑" w:hAnsi="微软雅黑" w:eastAsia="微软雅黑" w:cs="微软雅黑"/>
          <w:i w:val="0"/>
          <w:iCs w:val="0"/>
          <w:caps w:val="0"/>
          <w:color w:val="000000"/>
          <w:spacing w:val="0"/>
          <w:sz w:val="27"/>
          <w:szCs w:val="27"/>
        </w:rPr>
      </w:pP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第五章  首次响应文件格式</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编制说明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福建省政府采购项目竞争性谈判</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响应文件</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（首次）</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1260"/>
      </w:pPr>
      <w:r>
        <w:rPr>
          <w:rStyle w:val="8"/>
          <w:rFonts w:hint="eastAsia" w:ascii="宋体" w:hAnsi="宋体" w:eastAsia="宋体" w:cs="宋体"/>
          <w:spacing w:val="0"/>
          <w:sz w:val="24"/>
          <w:szCs w:val="24"/>
        </w:rPr>
        <w:t>项目名称：               </w:t>
      </w:r>
    </w:p>
    <w:p>
      <w:pPr>
        <w:pStyle w:val="5"/>
        <w:keepNext w:val="0"/>
        <w:keepLines w:val="0"/>
        <w:widowControl/>
        <w:suppressLineNumbers w:val="0"/>
        <w:spacing w:before="75" w:beforeAutospacing="0" w:after="75" w:afterAutospacing="0"/>
        <w:ind w:left="0" w:right="0" w:firstLine="1260"/>
      </w:pPr>
      <w:r>
        <w:rPr>
          <w:rStyle w:val="8"/>
          <w:rFonts w:hint="eastAsia" w:ascii="宋体" w:hAnsi="宋体" w:eastAsia="宋体" w:cs="宋体"/>
          <w:spacing w:val="0"/>
          <w:sz w:val="24"/>
          <w:szCs w:val="24"/>
        </w:rPr>
        <w:t>项目编号：               </w:t>
      </w:r>
    </w:p>
    <w:p>
      <w:pPr>
        <w:pStyle w:val="5"/>
        <w:keepNext w:val="0"/>
        <w:keepLines w:val="0"/>
        <w:widowControl/>
        <w:suppressLineNumbers w:val="0"/>
        <w:spacing w:before="75" w:beforeAutospacing="0" w:after="75" w:afterAutospacing="0"/>
        <w:ind w:left="0" w:right="0" w:firstLine="1260"/>
      </w:pPr>
      <w:r>
        <w:rPr>
          <w:rStyle w:val="8"/>
          <w:rFonts w:hint="eastAsia" w:ascii="宋体" w:hAnsi="宋体" w:eastAsia="宋体" w:cs="宋体"/>
          <w:spacing w:val="0"/>
          <w:sz w:val="24"/>
          <w:szCs w:val="24"/>
        </w:rPr>
        <w:t>合同包: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      供应商名称 ：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      日    期 ：               </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br w:type="textWrapping"/>
      </w:r>
      <w:r>
        <w:rPr>
          <w:rStyle w:val="8"/>
          <w:rFonts w:hint="eastAsia" w:ascii="宋体" w:hAnsi="宋体" w:eastAsia="宋体" w:cs="宋体"/>
          <w:spacing w:val="0"/>
          <w:sz w:val="24"/>
          <w:szCs w:val="24"/>
        </w:rPr>
        <w:t>目  录</w:t>
      </w:r>
    </w:p>
    <w:p>
      <w:pPr>
        <w:pStyle w:val="5"/>
        <w:keepNext w:val="0"/>
        <w:keepLines w:val="0"/>
        <w:widowControl/>
        <w:suppressLineNumbers w:val="0"/>
        <w:spacing w:before="75" w:beforeAutospacing="0" w:after="75" w:afterAutospacing="0" w:line="46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5"/>
        <w:keepNext w:val="0"/>
        <w:keepLines w:val="0"/>
        <w:widowControl/>
        <w:suppressLineNumbers w:val="0"/>
        <w:spacing w:before="75" w:beforeAutospacing="0" w:after="75" w:afterAutospacing="0" w:line="46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br w:type="textWrapping"/>
      </w:r>
      <w:r>
        <w:rPr>
          <w:rFonts w:hint="eastAsia" w:ascii="宋体" w:hAnsi="宋体" w:eastAsia="宋体" w:cs="宋体"/>
          <w:spacing w:val="0"/>
          <w:sz w:val="24"/>
          <w:szCs w:val="24"/>
        </w:rPr>
        <w:t>附件1            </w:t>
      </w:r>
      <w:r>
        <w:rPr>
          <w:rStyle w:val="8"/>
          <w:rFonts w:hint="eastAsia" w:ascii="宋体" w:hAnsi="宋体" w:eastAsia="宋体" w:cs="宋体"/>
          <w:spacing w:val="0"/>
          <w:sz w:val="24"/>
          <w:szCs w:val="24"/>
        </w:rPr>
        <w:t>谈判响应声明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8"/>
          <w:rFonts w:hint="eastAsia" w:ascii="宋体" w:hAnsi="宋体" w:eastAsia="宋体" w:cs="宋体"/>
          <w:spacing w:val="0"/>
          <w:sz w:val="36"/>
          <w:szCs w:val="36"/>
        </w:rPr>
        <w:t>   报价一览表</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W w:w="87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8"/>
          <w:rFonts w:hint="eastAsia" w:ascii="宋体" w:hAnsi="宋体" w:eastAsia="宋体" w:cs="宋体"/>
          <w:spacing w:val="0"/>
          <w:sz w:val="36"/>
          <w:szCs w:val="36"/>
        </w:rPr>
        <w:t>详细报价书</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说明：</w:t>
      </w:r>
    </w:p>
    <w:p>
      <w:pPr>
        <w:pStyle w:val="5"/>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5"/>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5"/>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8"/>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8"/>
          <w:rFonts w:hint="eastAsia" w:ascii="宋体" w:hAnsi="宋体" w:eastAsia="宋体" w:cs="宋体"/>
          <w:spacing w:val="0"/>
          <w:sz w:val="24"/>
          <w:szCs w:val="24"/>
        </w:rPr>
        <w:t>参加竞争性谈判的声明函</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8"/>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375" w:lineRule="atLeast"/>
        <w:ind w:left="0" w:right="0" w:firstLine="0"/>
        <w:jc w:val="both"/>
      </w:pPr>
      <w:r>
        <w:rPr>
          <w:rStyle w:val="8"/>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spacing w:val="0"/>
                <w:sz w:val="24"/>
                <w:szCs w:val="24"/>
              </w:rPr>
              <w:t>《中华人民共和国政府采购法》第二十二条对供应商的要求</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spacing w:val="0"/>
                <w:sz w:val="24"/>
                <w:szCs w:val="24"/>
              </w:rPr>
              <w:t>谈判文件对合格供应商的一般规定</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8"/>
          <w:rFonts w:hint="eastAsia" w:ascii="宋体" w:hAnsi="宋体" w:eastAsia="宋体" w:cs="宋体"/>
          <w:spacing w:val="0"/>
          <w:sz w:val="24"/>
          <w:szCs w:val="24"/>
        </w:rPr>
        <w:t>单位负责人授权书</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5"/>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jc w:val="right"/>
      </w:pP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645" w:hRule="atLeast"/>
          <w:tblCellSpacing w:w="15" w:type="dxa"/>
        </w:trPr>
        <w:tc>
          <w:tcPr>
            <w:tcW w:w="856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spacing w:val="0"/>
                <w:sz w:val="24"/>
                <w:szCs w:val="24"/>
              </w:rPr>
              <w:t> </w:t>
            </w:r>
          </w:p>
          <w:p>
            <w:pPr>
              <w:pStyle w:val="5"/>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spacing w:val="0"/>
                <w:sz w:val="24"/>
                <w:szCs w:val="24"/>
              </w:rPr>
              <w:t>要求：真实、有效、清晰</w:t>
            </w:r>
          </w:p>
          <w:p>
            <w:pPr>
              <w:pStyle w:val="5"/>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spacing w:val="0"/>
                <w:sz w:val="24"/>
                <w:szCs w:val="24"/>
              </w:rPr>
              <w:t> </w:t>
            </w:r>
          </w:p>
        </w:tc>
      </w:tr>
    </w:tbl>
    <w:p>
      <w:pPr>
        <w:pStyle w:val="5"/>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8"/>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8"/>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8"/>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5"/>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8"/>
          <w:rFonts w:hint="eastAsia" w:ascii="宋体" w:hAnsi="宋体" w:eastAsia="宋体" w:cs="宋体"/>
          <w:spacing w:val="0"/>
          <w:sz w:val="24"/>
          <w:szCs w:val="24"/>
        </w:rPr>
        <w:t>       营业执照等证明文件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8"/>
          <w:rFonts w:hint="eastAsia" w:ascii="宋体" w:hAnsi="宋体" w:eastAsia="宋体" w:cs="宋体"/>
          <w:spacing w:val="0"/>
          <w:sz w:val="24"/>
          <w:szCs w:val="24"/>
        </w:rPr>
        <w:t>财务状况报告</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5"/>
        <w:keepNext w:val="0"/>
        <w:keepLines w:val="0"/>
        <w:widowControl/>
        <w:suppressLineNumbers w:val="0"/>
        <w:spacing w:before="75" w:beforeAutospacing="0" w:after="75" w:afterAutospacing="0"/>
        <w:ind w:left="0" w:right="0" w:firstLine="420"/>
      </w:pPr>
      <w:r>
        <w:rPr>
          <w:rStyle w:val="8"/>
          <w:rFonts w:hint="eastAsia" w:ascii="宋体" w:hAnsi="宋体" w:eastAsia="宋体" w:cs="宋体"/>
          <w:spacing w:val="0"/>
          <w:sz w:val="21"/>
          <w:szCs w:val="21"/>
        </w:rPr>
        <w:t>※无法按照本格式注意事项第2.1、2.2条规定提供财务报告复印件的供应商，应按照本格式注意事项的要求选择提供资信证明复印件或投标担保函复印件。</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5"/>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jc w:val="both"/>
      </w:pPr>
      <w:r>
        <w:rPr>
          <w:rStyle w:val="8"/>
          <w:rFonts w:hint="eastAsia" w:ascii="宋体" w:hAnsi="宋体" w:eastAsia="宋体" w:cs="宋体"/>
          <w:spacing w:val="0"/>
          <w:sz w:val="21"/>
          <w:szCs w:val="21"/>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8"/>
          <w:rFonts w:hint="eastAsia" w:ascii="宋体" w:hAnsi="宋体" w:eastAsia="宋体" w:cs="宋体"/>
          <w:spacing w:val="0"/>
          <w:sz w:val="24"/>
          <w:szCs w:val="24"/>
        </w:rPr>
        <w:t>依法缴纳税收证明材料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5"/>
        <w:keepNext w:val="0"/>
        <w:keepLines w:val="0"/>
        <w:widowControl/>
        <w:suppressLineNumbers w:val="0"/>
        <w:spacing w:before="75" w:beforeAutospacing="0" w:after="75" w:afterAutospacing="0"/>
        <w:ind w:left="0" w:right="0" w:firstLine="420"/>
      </w:pPr>
      <w:r>
        <w:rPr>
          <w:rStyle w:val="8"/>
          <w:rFonts w:hint="eastAsia" w:ascii="宋体" w:hAnsi="宋体" w:eastAsia="宋体" w:cs="宋体"/>
          <w:spacing w:val="0"/>
          <w:sz w:val="24"/>
          <w:szCs w:val="24"/>
        </w:rPr>
        <w:t>1、依法缴纳税收的供应商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5"/>
        <w:keepNext w:val="0"/>
        <w:keepLines w:val="0"/>
        <w:widowControl/>
        <w:suppressLineNumbers w:val="0"/>
        <w:spacing w:before="75" w:beforeAutospacing="0" w:after="75" w:afterAutospacing="0"/>
        <w:ind w:left="0" w:right="0" w:firstLine="420"/>
      </w:pPr>
      <w:r>
        <w:rPr>
          <w:rStyle w:val="8"/>
          <w:rFonts w:hint="eastAsia" w:ascii="宋体" w:hAnsi="宋体" w:eastAsia="宋体" w:cs="宋体"/>
          <w:spacing w:val="0"/>
          <w:sz w:val="24"/>
          <w:szCs w:val="24"/>
        </w:rPr>
        <w:t>2、依法免税的供应商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8"/>
          <w:rFonts w:hint="eastAsia" w:ascii="宋体" w:hAnsi="宋体" w:eastAsia="宋体" w:cs="宋体"/>
          <w:spacing w:val="0"/>
          <w:sz w:val="21"/>
          <w:szCs w:val="21"/>
        </w:rPr>
        <w:t>“依法缴纳税收证明材料”</w:t>
      </w:r>
      <w:r>
        <w:rPr>
          <w:rFonts w:hint="eastAsia" w:ascii="宋体" w:hAnsi="宋体" w:eastAsia="宋体" w:cs="宋体"/>
          <w:spacing w:val="0"/>
          <w:sz w:val="21"/>
          <w:szCs w:val="21"/>
        </w:rPr>
        <w:t>有欠缴记录的，视为</w:t>
      </w:r>
      <w:r>
        <w:rPr>
          <w:rStyle w:val="8"/>
          <w:rFonts w:hint="eastAsia" w:ascii="宋体" w:hAnsi="宋体" w:eastAsia="宋体" w:cs="宋体"/>
          <w:spacing w:val="0"/>
          <w:sz w:val="21"/>
          <w:szCs w:val="21"/>
        </w:rPr>
        <w:t>未依法缴纳税收</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8"/>
          <w:rFonts w:hint="eastAsia" w:ascii="宋体" w:hAnsi="宋体" w:eastAsia="宋体" w:cs="宋体"/>
          <w:spacing w:val="0"/>
          <w:sz w:val="24"/>
          <w:szCs w:val="24"/>
        </w:rPr>
        <w:t>依法缴纳社会保障资金证明材料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1、依法缴纳社会保障资金的供应商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spacing w:val="0"/>
          <w:sz w:val="24"/>
          <w:szCs w:val="24"/>
        </w:rPr>
        <w:t>2、依法不需要缴纳社会保障资金的供应商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8"/>
          <w:rFonts w:hint="eastAsia" w:ascii="宋体" w:hAnsi="宋体" w:eastAsia="宋体" w:cs="宋体"/>
          <w:spacing w:val="0"/>
          <w:sz w:val="21"/>
          <w:szCs w:val="21"/>
        </w:rPr>
        <w:t>“依法缴纳社会保障资金证明材料”</w:t>
      </w:r>
      <w:r>
        <w:rPr>
          <w:rFonts w:hint="eastAsia" w:ascii="宋体" w:hAnsi="宋体" w:eastAsia="宋体" w:cs="宋体"/>
          <w:spacing w:val="0"/>
          <w:sz w:val="21"/>
          <w:szCs w:val="21"/>
        </w:rPr>
        <w:t>有欠缴记录的，视为</w:t>
      </w:r>
      <w:r>
        <w:rPr>
          <w:rStyle w:val="8"/>
          <w:rFonts w:hint="eastAsia" w:ascii="宋体" w:hAnsi="宋体" w:eastAsia="宋体" w:cs="宋体"/>
          <w:spacing w:val="0"/>
          <w:sz w:val="21"/>
          <w:szCs w:val="21"/>
        </w:rPr>
        <w:t>未依法缴纳社会保障资金</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8"/>
          <w:rFonts w:hint="eastAsia" w:ascii="宋体" w:hAnsi="宋体" w:eastAsia="宋体" w:cs="宋体"/>
          <w:spacing w:val="0"/>
          <w:sz w:val="24"/>
          <w:szCs w:val="24"/>
        </w:rPr>
        <w:t>具备履行合同所必需设备和专业技术能力证明材料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声明函</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8"/>
          <w:rFonts w:hint="eastAsia" w:ascii="宋体" w:hAnsi="宋体" w:eastAsia="宋体" w:cs="宋体"/>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r>
        <w:rPr>
          <w:rStyle w:val="8"/>
          <w:rFonts w:hint="eastAsia" w:ascii="宋体" w:hAnsi="宋体" w:eastAsia="宋体" w:cs="宋体"/>
          <w:spacing w:val="0"/>
          <w:sz w:val="24"/>
          <w:szCs w:val="24"/>
        </w:rPr>
        <w:t>3.对于接受联合体形式的谈判且供应商是联合体的，则联合体各成员都应当提交本资格证明文件。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8"/>
          <w:rFonts w:hint="eastAsia" w:ascii="宋体" w:hAnsi="宋体" w:eastAsia="宋体" w:cs="宋体"/>
          <w:spacing w:val="0"/>
          <w:sz w:val="24"/>
          <w:szCs w:val="24"/>
        </w:rPr>
        <w:t>参加采购活动前三年内在经营活动中</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1935"/>
      </w:pPr>
      <w:r>
        <w:rPr>
          <w:rStyle w:val="8"/>
          <w:rFonts w:hint="eastAsia" w:ascii="宋体" w:hAnsi="宋体" w:eastAsia="宋体" w:cs="宋体"/>
          <w:spacing w:val="0"/>
          <w:sz w:val="24"/>
          <w:szCs w:val="24"/>
        </w:rPr>
        <w:t>没有重大违法记录书面声明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8"/>
          <w:rFonts w:hint="eastAsia" w:ascii="宋体" w:hAnsi="宋体" w:eastAsia="宋体" w:cs="宋体"/>
          <w:spacing w:val="0"/>
          <w:sz w:val="24"/>
          <w:szCs w:val="24"/>
        </w:rPr>
        <w:t>信用记录查询结果</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8"/>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8"/>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8"/>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8"/>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8"/>
          <w:rFonts w:hint="eastAsia" w:ascii="宋体" w:hAnsi="宋体" w:eastAsia="宋体" w:cs="宋体"/>
          <w:spacing w:val="0"/>
          <w:sz w:val="21"/>
          <w:szCs w:val="21"/>
        </w:rPr>
        <w:t>其响应文件将被否决</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附件3-11   </w:t>
      </w:r>
      <w:r>
        <w:rPr>
          <w:rStyle w:val="8"/>
          <w:rFonts w:hint="eastAsia" w:ascii="宋体" w:hAnsi="宋体" w:eastAsia="宋体" w:cs="宋体"/>
          <w:spacing w:val="0"/>
          <w:sz w:val="24"/>
          <w:szCs w:val="24"/>
        </w:rPr>
        <w:t>检察机关行贿犯罪档案查询结果告知函（如果需要）</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8"/>
          <w:rFonts w:hint="eastAsia" w:ascii="宋体" w:hAnsi="宋体" w:eastAsia="宋体" w:cs="宋体"/>
          <w:spacing w:val="0"/>
          <w:sz w:val="24"/>
          <w:szCs w:val="24"/>
        </w:rPr>
        <w:t>则供应商的响应文件将被否决</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8"/>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8"/>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5"/>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8"/>
          <w:rFonts w:hint="eastAsia" w:ascii="宋体" w:hAnsi="宋体" w:eastAsia="宋体" w:cs="宋体"/>
          <w:spacing w:val="0"/>
          <w:sz w:val="24"/>
          <w:szCs w:val="24"/>
        </w:rPr>
        <w:t>  联合体协议</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spacing w:val="0"/>
          <w:sz w:val="24"/>
          <w:szCs w:val="24"/>
        </w:rPr>
        <w:t>（接受联合体的项目使用）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5"/>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5"/>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5"/>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8"/>
          <w:rFonts w:hint="eastAsia" w:ascii="宋体" w:hAnsi="宋体" w:eastAsia="宋体" w:cs="宋体"/>
          <w:spacing w:val="0"/>
          <w:sz w:val="24"/>
          <w:szCs w:val="24"/>
        </w:rPr>
        <w:t>其它资格证明文件</w:t>
      </w:r>
    </w:p>
    <w:p>
      <w:pPr>
        <w:pStyle w:val="5"/>
        <w:keepNext w:val="0"/>
        <w:keepLines w:val="0"/>
        <w:widowControl/>
        <w:suppressLineNumbers w:val="0"/>
        <w:spacing w:before="75" w:beforeAutospacing="0" w:after="75" w:afterAutospacing="0" w:line="420" w:lineRule="atLeast"/>
        <w:ind w:left="0" w:right="0" w:firstLine="0"/>
        <w:jc w:val="center"/>
      </w:pPr>
      <w:r>
        <w:rPr>
          <w:rStyle w:val="8"/>
          <w:rFonts w:hint="eastAsia" w:ascii="宋体" w:hAnsi="宋体" w:eastAsia="宋体" w:cs="宋体"/>
          <w:spacing w:val="0"/>
          <w:sz w:val="24"/>
          <w:szCs w:val="24"/>
        </w:rPr>
        <w:t>（如果有的话）</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8"/>
          <w:rFonts w:hint="eastAsia" w:ascii="宋体" w:hAnsi="宋体" w:eastAsia="宋体" w:cs="宋体"/>
          <w:spacing w:val="0"/>
          <w:sz w:val="24"/>
          <w:szCs w:val="24"/>
        </w:rPr>
        <w:t>谈判保证金凭证</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8"/>
          <w:rFonts w:hint="eastAsia" w:ascii="宋体" w:hAnsi="宋体" w:eastAsia="宋体" w:cs="宋体"/>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8"/>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72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7"/>
        <w:gridCol w:w="2032"/>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8"/>
          <w:rFonts w:hint="eastAsia" w:ascii="宋体" w:hAnsi="宋体" w:eastAsia="宋体" w:cs="宋体"/>
          <w:spacing w:val="0"/>
          <w:sz w:val="24"/>
          <w:szCs w:val="24"/>
        </w:rPr>
        <w:t> 商务条件和其它事项响应表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6"/>
        <w:gridCol w:w="2046"/>
        <w:gridCol w:w="1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8"/>
          <w:rFonts w:hint="eastAsia" w:ascii="宋体" w:hAnsi="宋体" w:eastAsia="宋体" w:cs="宋体"/>
          <w:spacing w:val="0"/>
          <w:sz w:val="24"/>
          <w:szCs w:val="24"/>
        </w:rPr>
        <w:t>  相关技术、商务、服务响应承诺及资料</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说明：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8"/>
          <w:rFonts w:hint="eastAsia" w:ascii="宋体" w:hAnsi="宋体" w:eastAsia="宋体" w:cs="宋体"/>
          <w:spacing w:val="0"/>
          <w:sz w:val="24"/>
          <w:szCs w:val="24"/>
        </w:rPr>
        <w:t>供应商提交符合政府采购政策的证明材料</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8"/>
          <w:rFonts w:hint="eastAsia" w:ascii="宋体" w:hAnsi="宋体" w:eastAsia="宋体" w:cs="宋体"/>
          <w:spacing w:val="0"/>
          <w:sz w:val="24"/>
          <w:szCs w:val="24"/>
        </w:rPr>
        <w:t>中小企业声明函（如果有的话）</w:t>
      </w:r>
    </w:p>
    <w:p>
      <w:pPr>
        <w:pStyle w:val="5"/>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5"/>
        <w:keepNext w:val="0"/>
        <w:keepLines w:val="0"/>
        <w:widowControl/>
        <w:suppressLineNumbers w:val="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5"/>
        <w:keepNext w:val="0"/>
        <w:keepLines w:val="0"/>
        <w:widowControl/>
        <w:suppressLineNumbers w:val="0"/>
        <w:spacing w:before="75" w:beforeAutospacing="0" w:after="75" w:afterAutospacing="0" w:line="315" w:lineRule="atLeast"/>
        <w:ind w:left="0" w:right="0" w:firstLine="480"/>
        <w:jc w:val="both"/>
      </w:pP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spacing w:val="0"/>
          <w:sz w:val="24"/>
          <w:szCs w:val="24"/>
        </w:rPr>
        <w:t>残疾人福利性单位声明函（如果有的话）</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Style w:val="8"/>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5"/>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5"/>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5"/>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5"/>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本供应商对上述声明的真实性负责。如有虚假，将依法承担相应责任。</w:t>
      </w:r>
    </w:p>
    <w:p>
      <w:pPr>
        <w:pStyle w:val="5"/>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p>
    <w:p>
      <w:pPr>
        <w:pStyle w:val="5"/>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 </w:t>
      </w:r>
    </w:p>
    <w:p>
      <w:pPr>
        <w:pStyle w:val="5"/>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5"/>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5"/>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5"/>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5"/>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（2）请供应商按照实际情况编制填写本声明函，并在相应的（）中打“√”。</w:t>
      </w:r>
    </w:p>
    <w:p>
      <w:pPr>
        <w:pStyle w:val="5"/>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（3）纸质响应文件正本中的本声明函（若有）应为原件。</w:t>
      </w:r>
    </w:p>
    <w:p>
      <w:pPr>
        <w:pStyle w:val="5"/>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（4）若《残疾人福利性单位声明函》内容不真实，视为提供虚假材料。</w:t>
      </w:r>
    </w:p>
    <w:p>
      <w:pPr>
        <w:pStyle w:val="5"/>
        <w:keepNext w:val="0"/>
        <w:keepLines w:val="0"/>
        <w:widowControl/>
        <w:suppressLineNumbers w:val="0"/>
        <w:spacing w:before="75" w:beforeAutospacing="0" w:after="75" w:afterAutospacing="0" w:line="435" w:lineRule="atLeast"/>
        <w:ind w:left="0" w:right="0" w:firstLine="420"/>
        <w:jc w:val="both"/>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8"/>
          <w:rFonts w:hint="eastAsia" w:ascii="宋体" w:hAnsi="宋体" w:eastAsia="宋体" w:cs="宋体"/>
          <w:spacing w:val="0"/>
          <w:sz w:val="24"/>
          <w:szCs w:val="24"/>
        </w:rPr>
        <w:t>优先类节能产品、环境标志产品价格扣除证明材料（如果有的话）</w:t>
      </w:r>
    </w:p>
    <w:p>
      <w:pPr>
        <w:pStyle w:val="5"/>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20"/>
        <w:gridCol w:w="1213"/>
        <w:gridCol w:w="1207"/>
        <w:gridCol w:w="1218"/>
        <w:gridCol w:w="1207"/>
        <w:gridCol w:w="1218"/>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8"/>
          <w:rFonts w:hint="eastAsia" w:ascii="宋体" w:hAnsi="宋体" w:eastAsia="宋体" w:cs="宋体"/>
          <w:spacing w:val="0"/>
          <w:sz w:val="24"/>
          <w:szCs w:val="24"/>
        </w:rPr>
        <w:t>要求作为响应文件组成部分的其他内容（若有）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pPr>
      <w:r>
        <w:rPr>
          <w:rFonts w:hint="default" w:ascii="Calibri" w:hAnsi="Calibri" w:cs="Calibri"/>
          <w:sz w:val="21"/>
          <w:szCs w:val="21"/>
        </w:rPr>
        <w:t> </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rPr>
        <w:t>采购文件相关附件</w:t>
      </w:r>
    </w:p>
    <w:p/>
    <w:sectPr>
      <w:footerReference r:id="rId3" w:type="default"/>
      <w:pgSz w:w="11906" w:h="16838"/>
      <w:pgMar w:top="567" w:right="567" w:bottom="567" w:left="56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YmM2NTg4MDI0MzEzYmM4YjM2YWE1NzVjMGRmZTYifQ=="/>
  </w:docVars>
  <w:rsids>
    <w:rsidRoot w:val="00000000"/>
    <w:rsid w:val="294C0A7E"/>
    <w:rsid w:val="30A60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48416</Words>
  <Characters>53396</Characters>
  <Lines>0</Lines>
  <Paragraphs>0</Paragraphs>
  <TotalTime>7</TotalTime>
  <ScaleCrop>false</ScaleCrop>
  <LinksUpToDate>false</LinksUpToDate>
  <CharactersWithSpaces>56917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2022-12-05T11:10:22Z</dcterms:created>
  <dc:creator>Administrator</dc:creator>
  <cp:lastModifiedBy>管敏</cp:lastModifiedBy>
  <dcterms:modified xsi:type="dcterms:W3CDTF">2022-12-05T11:19:04Z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85A9462239FB4E4CA7B24C5F69947A96</vt:lpwstr>
  </property>
</Properties>
</file>