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75" w:after="75" w:line="345" w:lineRule="atLeast"/>
        <w:jc w:val="center"/>
        <w:rPr>
          <w:rFonts w:ascii="微软雅黑" w:hAnsi="微软雅黑" w:eastAsia="微软雅黑" w:cs="微软雅黑"/>
          <w:b/>
          <w:bCs/>
          <w:color w:val="auto"/>
          <w:kern w:val="0"/>
          <w:sz w:val="72"/>
        </w:rPr>
      </w:pPr>
      <w:bookmarkStart w:id="22" w:name="_GoBack"/>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pPr>
        <w:widowControl/>
        <w:shd w:val="clear" w:color="auto" w:fill="FFFFFF"/>
        <w:spacing w:before="75" w:after="75" w:line="345"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p>
      <w:pPr>
        <w:pStyle w:val="48"/>
        <w:rPr>
          <w:color w:val="auto"/>
        </w:rPr>
      </w:pPr>
    </w:p>
    <w:p>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pPr>
        <w:pStyle w:val="35"/>
        <w:rPr>
          <w:color w:val="auto"/>
        </w:rPr>
      </w:pPr>
    </w:p>
    <w:p>
      <w:pPr>
        <w:widowControl/>
        <w:shd w:val="clear" w:color="auto" w:fill="FFFFFF"/>
        <w:spacing w:before="75" w:after="75" w:line="36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项目名称：</w:t>
      </w:r>
      <w:r>
        <w:rPr>
          <w:rFonts w:hint="eastAsia" w:ascii="微软雅黑" w:hAnsi="微软雅黑" w:eastAsia="微软雅黑" w:cs="微软雅黑"/>
          <w:b/>
          <w:bCs/>
          <w:color w:val="auto"/>
          <w:kern w:val="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b/>
          <w:bCs/>
          <w:color w:val="auto"/>
          <w:kern w:val="0"/>
          <w:sz w:val="28"/>
          <w:szCs w:val="28"/>
        </w:rPr>
        <w:instrText xml:space="preserve">ADDIN CNKISM.UserStyle</w:instrText>
      </w:r>
      <w:r>
        <w:rPr>
          <w:rFonts w:ascii="微软雅黑" w:hAnsi="微软雅黑" w:eastAsia="微软雅黑" w:cs="微软雅黑"/>
          <w:b/>
          <w:bCs/>
          <w:color w:val="auto"/>
          <w:kern w:val="0"/>
          <w:sz w:val="28"/>
          <w:szCs w:val="28"/>
        </w:rPr>
        <w:fldChar w:fldCharType="separate"/>
      </w:r>
      <w:r>
        <w:rPr>
          <w:rFonts w:hint="eastAsia" w:ascii="微软雅黑" w:hAnsi="微软雅黑" w:eastAsia="微软雅黑" w:cs="微软雅黑"/>
          <w:b/>
          <w:bCs/>
          <w:color w:val="auto"/>
          <w:kern w:val="0"/>
          <w:sz w:val="28"/>
          <w:szCs w:val="28"/>
        </w:rPr>
        <w:fldChar w:fldCharType="end"/>
      </w:r>
      <w:r>
        <w:rPr>
          <w:rFonts w:hint="eastAsia" w:ascii="微软雅黑" w:hAnsi="微软雅黑" w:eastAsia="微软雅黑" w:cs="微软雅黑"/>
          <w:b/>
          <w:bCs/>
          <w:color w:val="auto"/>
          <w:kern w:val="0"/>
          <w:sz w:val="28"/>
          <w:szCs w:val="28"/>
          <w:lang w:eastAsia="zh-CN"/>
        </w:rPr>
        <w:t>泉州师范学院体育学院击剑运动教学训练比赛设备采购项目</w:t>
      </w:r>
      <w:r>
        <w:rPr>
          <w:rFonts w:hint="eastAsia" w:ascii="微软雅黑" w:hAnsi="微软雅黑" w:eastAsia="微软雅黑" w:cs="微软雅黑"/>
          <w:b/>
          <w:bCs/>
          <w:color w:val="auto"/>
          <w:kern w:val="0"/>
          <w:sz w:val="28"/>
          <w:szCs w:val="28"/>
        </w:rPr>
        <w:t xml:space="preserve">   </w:t>
      </w:r>
    </w:p>
    <w:p>
      <w:pPr>
        <w:widowControl/>
        <w:shd w:val="clear" w:color="auto" w:fill="FFFFFF"/>
        <w:spacing w:before="75" w:after="75" w:line="720" w:lineRule="auto"/>
        <w:ind w:firstLine="840" w:firstLineChars="300"/>
        <w:rPr>
          <w:rFonts w:hint="eastAsia" w:ascii="微软雅黑" w:hAnsi="微软雅黑" w:eastAsia="微软雅黑" w:cs="微软雅黑"/>
          <w:color w:val="auto"/>
          <w:kern w:val="0"/>
          <w:sz w:val="28"/>
          <w:szCs w:val="28"/>
          <w:lang w:eastAsia="zh-CN"/>
        </w:rPr>
      </w:pPr>
      <w:r>
        <w:rPr>
          <w:rFonts w:hint="eastAsia" w:ascii="微软雅黑" w:hAnsi="微软雅黑" w:eastAsia="微软雅黑" w:cs="微软雅黑"/>
          <w:b/>
          <w:bCs/>
          <w:color w:val="auto"/>
          <w:kern w:val="0"/>
          <w:sz w:val="28"/>
          <w:szCs w:val="28"/>
        </w:rPr>
        <w:t>项目编号：</w:t>
      </w:r>
      <w:r>
        <w:rPr>
          <w:rFonts w:hint="eastAsia" w:ascii="微软雅黑" w:hAnsi="微软雅黑" w:eastAsia="微软雅黑" w:cs="微软雅黑"/>
          <w:b/>
          <w:bCs/>
          <w:color w:val="auto"/>
          <w:kern w:val="0"/>
          <w:sz w:val="28"/>
          <w:szCs w:val="28"/>
          <w:lang w:eastAsia="zh-CN"/>
        </w:rPr>
        <w:t>DHZB2022118</w:t>
      </w:r>
    </w:p>
    <w:p>
      <w:pPr>
        <w:widowControl/>
        <w:shd w:val="clear" w:color="auto" w:fill="FFFFFF"/>
        <w:spacing w:before="75" w:after="75" w:line="72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采 购 人：泉州师范学院</w:t>
      </w:r>
    </w:p>
    <w:p>
      <w:pPr>
        <w:widowControl/>
        <w:shd w:val="clear" w:color="auto" w:fill="FFFFFF"/>
        <w:spacing w:before="75" w:after="75" w:line="360" w:lineRule="auto"/>
        <w:jc w:val="left"/>
        <w:rPr>
          <w:rFonts w:ascii="微软雅黑" w:hAnsi="微软雅黑" w:eastAsia="微软雅黑" w:cs="微软雅黑"/>
          <w:b/>
          <w:bCs/>
          <w:color w:val="auto"/>
          <w:kern w:val="0"/>
          <w:sz w:val="30"/>
        </w:rPr>
      </w:pPr>
    </w:p>
    <w:p>
      <w:pPr>
        <w:pStyle w:val="18"/>
        <w:ind w:left="1470" w:right="1470"/>
        <w:rPr>
          <w:color w:val="auto"/>
        </w:rPr>
      </w:pPr>
    </w:p>
    <w:p>
      <w:pPr>
        <w:pStyle w:val="48"/>
        <w:rPr>
          <w:rFonts w:ascii="微软雅黑" w:hAnsi="微软雅黑" w:eastAsia="微软雅黑" w:cs="微软雅黑"/>
          <w:b/>
          <w:bCs/>
          <w:color w:val="auto"/>
          <w:sz w:val="30"/>
        </w:rPr>
      </w:pPr>
    </w:p>
    <w:p>
      <w:pPr>
        <w:pStyle w:val="48"/>
        <w:rPr>
          <w:rFonts w:ascii="微软雅黑" w:hAnsi="微软雅黑" w:eastAsia="微软雅黑" w:cs="微软雅黑"/>
          <w:b/>
          <w:bCs/>
          <w:color w:val="auto"/>
          <w:sz w:val="30"/>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2022年</w:t>
      </w:r>
      <w:r>
        <w:rPr>
          <w:rFonts w:hint="eastAsia" w:ascii="微软雅黑" w:hAnsi="微软雅黑" w:eastAsia="微软雅黑" w:cs="微软雅黑"/>
          <w:b/>
          <w:bCs/>
          <w:color w:val="auto"/>
          <w:kern w:val="0"/>
          <w:sz w:val="24"/>
          <w:lang w:val="en-US" w:eastAsia="zh-CN"/>
        </w:rPr>
        <w:t>11</w:t>
      </w:r>
      <w:r>
        <w:rPr>
          <w:rFonts w:hint="eastAsia" w:ascii="微软雅黑" w:hAnsi="微软雅黑" w:eastAsia="微软雅黑" w:cs="微软雅黑"/>
          <w:b/>
          <w:bCs/>
          <w:color w:val="auto"/>
          <w:kern w:val="0"/>
          <w:sz w:val="24"/>
        </w:rPr>
        <w:t>月</w:t>
      </w:r>
    </w:p>
    <w:p>
      <w:pPr>
        <w:pStyle w:val="33"/>
        <w:widowControl/>
        <w:spacing w:before="76" w:after="76" w:line="18" w:lineRule="atLeast"/>
        <w:jc w:val="center"/>
        <w:rPr>
          <w:rStyle w:val="39"/>
          <w:rFonts w:ascii="宋体" w:hAns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91" w:right="1191" w:bottom="1191" w:left="1191" w:header="851" w:footer="283" w:gutter="0"/>
          <w:pgBorders>
            <w:top w:val="none" w:sz="0" w:space="0"/>
            <w:left w:val="none" w:sz="0" w:space="0"/>
            <w:bottom w:val="none" w:sz="0" w:space="0"/>
            <w:right w:val="none" w:sz="0" w:space="0"/>
          </w:pgBorders>
          <w:cols w:space="720" w:num="1"/>
          <w:docGrid w:type="lines" w:linePitch="312" w:charSpace="0"/>
        </w:sectPr>
      </w:pPr>
    </w:p>
    <w:p>
      <w:pPr>
        <w:spacing w:line="360" w:lineRule="auto"/>
        <w:outlineLvl w:val="0"/>
        <w:rPr>
          <w:rFonts w:ascii="宋体" w:hAnsi="宋体"/>
          <w:b/>
          <w:bCs/>
          <w:color w:val="auto"/>
          <w:sz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79"/>
        <w:rPr>
          <w:rFonts w:ascii="宋体" w:hAnsi="宋体" w:eastAsia="宋体"/>
          <w:color w:val="auto"/>
          <w:sz w:val="32"/>
          <w:szCs w:val="32"/>
        </w:rPr>
      </w:pPr>
      <w:bookmarkStart w:id="0" w:name="_Toc511891577"/>
      <w:r>
        <w:rPr>
          <w:rStyle w:val="39"/>
          <w:rFonts w:hint="eastAsia" w:ascii="宋体" w:hAnsi="宋体" w:eastAsia="宋体" w:cs="宋体"/>
          <w:color w:val="auto"/>
          <w:sz w:val="32"/>
          <w:szCs w:val="32"/>
        </w:rPr>
        <w:t>第一章</w:t>
      </w:r>
      <w:r>
        <w:rPr>
          <w:rStyle w:val="39"/>
          <w:rFonts w:ascii="宋体" w:hAnsi="宋体" w:eastAsia="宋体" w:cs="宋体"/>
          <w:color w:val="auto"/>
          <w:sz w:val="32"/>
          <w:szCs w:val="32"/>
        </w:rPr>
        <w:t>   </w:t>
      </w:r>
      <w:bookmarkEnd w:id="0"/>
      <w:bookmarkStart w:id="1" w:name="_Toc511891578"/>
      <w:r>
        <w:rPr>
          <w:rStyle w:val="39"/>
          <w:rFonts w:hint="eastAsia" w:ascii="宋体" w:hAnsi="宋体" w:eastAsia="宋体" w:cs="宋体"/>
          <w:color w:val="auto"/>
          <w:sz w:val="32"/>
          <w:szCs w:val="32"/>
        </w:rPr>
        <w:t>竞争性谈判采购公告</w:t>
      </w:r>
      <w:bookmarkEnd w:id="1"/>
    </w:p>
    <w:p>
      <w:pPr>
        <w:pStyle w:val="33"/>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泉州市大汇招标代理有限公司受泉州师范学院委托，已根据政府采购相关法律法规，经相应程序确定采用竞争性谈判方式组织</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泉州师范学院体育学院击剑运动教学训练比赛设备采购项目</w:t>
      </w:r>
      <w:r>
        <w:rPr>
          <w:rFonts w:hint="eastAsia" w:ascii="宋体" w:hAnsi="宋体" w:cs="宋体"/>
          <w:color w:val="auto"/>
          <w:shd w:val="clear" w:color="auto" w:fill="FFFFFF"/>
        </w:rPr>
        <w:t xml:space="preserve"> （以下简称：“本项目”）的政府采购活动，现欢迎国内合格的供应商前来参加。</w:t>
      </w:r>
    </w:p>
    <w:p>
      <w:pPr>
        <w:pStyle w:val="33"/>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1.项目名称：</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泉州师范学院体育学院击剑运动教学训练比赛设备采购项目</w:t>
      </w:r>
      <w:r>
        <w:rPr>
          <w:rFonts w:hint="eastAsia" w:ascii="宋体" w:hAnsi="宋体" w:cs="宋体"/>
          <w:color w:val="auto"/>
          <w:shd w:val="clear" w:color="auto" w:fill="FFFFFF"/>
        </w:rPr>
        <w:t xml:space="preserve">   </w:t>
      </w:r>
    </w:p>
    <w:p>
      <w:pPr>
        <w:pStyle w:val="33"/>
        <w:widowControl/>
        <w:spacing w:before="76" w:after="76" w:line="360" w:lineRule="auto"/>
        <w:ind w:firstLine="480" w:firstLineChars="200"/>
        <w:rPr>
          <w:rFonts w:hint="eastAsia" w:ascii="宋体" w:hAnsi="宋体" w:eastAsia="宋体" w:cs="宋体"/>
          <w:color w:val="auto"/>
          <w:shd w:val="clear" w:color="auto" w:fill="FFFFFF"/>
          <w:lang w:eastAsia="zh-CN"/>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w:t>
      </w:r>
      <w:r>
        <w:rPr>
          <w:rFonts w:hint="eastAsia" w:ascii="宋体" w:hAnsi="宋体" w:cs="宋体"/>
          <w:color w:val="auto"/>
          <w:shd w:val="clear" w:color="auto" w:fill="FFFFFF"/>
          <w:lang w:eastAsia="zh-CN"/>
        </w:rPr>
        <w:t>DHZB2022118</w:t>
      </w:r>
    </w:p>
    <w:p>
      <w:pPr>
        <w:pStyle w:val="33"/>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pPr>
        <w:pStyle w:val="101"/>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7"/>
        <w:gridCol w:w="3960"/>
        <w:gridCol w:w="831"/>
        <w:gridCol w:w="774"/>
        <w:gridCol w:w="1282"/>
        <w:gridCol w:w="12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9" w:hRule="atLeast"/>
          <w:tblHeader/>
          <w:jc w:val="center"/>
        </w:trPr>
        <w:tc>
          <w:tcPr>
            <w:tcW w:w="91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2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2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917"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hint="eastAsia" w:ascii="宋体" w:hAnsi="宋体" w:eastAsia="宋体" w:cs="宋体"/>
                <w:color w:val="auto"/>
                <w:kern w:val="0"/>
                <w:sz w:val="24"/>
                <w:lang w:eastAsia="zh-CN"/>
              </w:rPr>
            </w:pPr>
            <w:r>
              <w:rPr>
                <w:rFonts w:hint="eastAsia" w:ascii="宋体" w:hAnsi="宋体" w:cs="宋体"/>
                <w:color w:val="auto"/>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kern w:val="0"/>
                <w:sz w:val="24"/>
              </w:rPr>
              <w:instrText xml:space="preserve">ADDIN CNKISM.UserStyle</w:instrText>
            </w:r>
            <w:r>
              <w:rPr>
                <w:rFonts w:ascii="宋体" w:hAnsi="宋体" w:cs="宋体"/>
                <w:color w:val="auto"/>
                <w:kern w:val="0"/>
                <w:sz w:val="24"/>
              </w:rPr>
              <w:fldChar w:fldCharType="separate"/>
            </w:r>
            <w:r>
              <w:rPr>
                <w:rFonts w:hint="eastAsia" w:ascii="宋体" w:hAnsi="宋体" w:cs="宋体"/>
                <w:color w:val="auto"/>
                <w:kern w:val="0"/>
                <w:sz w:val="24"/>
              </w:rPr>
              <w:fldChar w:fldCharType="end"/>
            </w:r>
            <w:r>
              <w:rPr>
                <w:rFonts w:hint="eastAsia" w:ascii="宋体" w:hAnsi="宋体" w:cs="宋体"/>
                <w:color w:val="auto"/>
                <w:kern w:val="0"/>
                <w:sz w:val="24"/>
                <w:lang w:eastAsia="zh-CN"/>
              </w:rPr>
              <w:t>泉州师范学院体育学院击剑运动教学训练比赛设备采购项目</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1批</w:t>
            </w:r>
          </w:p>
        </w:tc>
        <w:tc>
          <w:tcPr>
            <w:tcW w:w="1282"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127625元</w:t>
            </w:r>
          </w:p>
        </w:tc>
        <w:tc>
          <w:tcPr>
            <w:tcW w:w="1281"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0元</w:t>
            </w:r>
          </w:p>
        </w:tc>
      </w:tr>
    </w:tbl>
    <w:p>
      <w:pPr>
        <w:pStyle w:val="33"/>
        <w:widowControl/>
        <w:spacing w:line="360" w:lineRule="auto"/>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w:t>
      </w:r>
      <w:r>
        <w:rPr>
          <w:rFonts w:hint="eastAsia" w:ascii="宋体" w:hAnsi="宋体" w:eastAsia="宋体" w:cs="宋体"/>
          <w:color w:val="auto"/>
        </w:rPr>
        <w:t>小型、微型企业，适用于合同包一</w:t>
      </w:r>
      <w:r>
        <w:rPr>
          <w:rFonts w:hint="eastAsia" w:ascii="宋体" w:hAnsi="宋体" w:cs="宋体"/>
          <w:color w:val="auto"/>
          <w:shd w:val="clear" w:color="auto" w:fill="FFFFFF"/>
          <w:lang w:eastAsia="zh-CN"/>
        </w:rPr>
        <w:t>；</w:t>
      </w:r>
      <w:r>
        <w:rPr>
          <w:rFonts w:hint="eastAsia" w:ascii="宋体" w:hAnsi="宋体" w:cs="宋体"/>
          <w:color w:val="auto"/>
        </w:rPr>
        <w:t>节能产品，适用于合同包一，按照最新一期节能清单执行。环境标志产品，适用于合同包一，按照最新一期环境标志清单执行。信息安全产品，适用于合同包一。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60" w:after="60" w:line="360" w:lineRule="auto"/>
        <w:ind w:firstLine="480"/>
        <w:jc w:val="left"/>
        <w:rPr>
          <w:rFonts w:ascii="宋体" w:hAnsi="宋体" w:cs="宋体"/>
          <w:color w:val="auto"/>
          <w:sz w:val="24"/>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pPr>
        <w:pStyle w:val="33"/>
        <w:widowControl/>
        <w:spacing w:before="75" w:after="75" w:line="360" w:lineRule="auto"/>
        <w:ind w:firstLine="480" w:firstLineChars="200"/>
        <w:rPr>
          <w:rFonts w:hint="eastAsia" w:ascii="宋体" w:hAnsi="宋体" w:eastAsia="宋体" w:cs="宋体"/>
          <w:color w:val="auto"/>
          <w:lang w:eastAsia="zh-CN"/>
        </w:rPr>
      </w:pPr>
      <w:r>
        <w:rPr>
          <w:rFonts w:hint="eastAsia" w:ascii="宋体" w:hAnsi="宋体" w:cs="宋体"/>
          <w:color w:val="auto"/>
          <w:shd w:val="clear" w:color="auto" w:fill="FFFFFF"/>
        </w:rPr>
        <w:t>5.2特定条件：</w:t>
      </w:r>
      <w:r>
        <w:rPr>
          <w:rFonts w:hint="eastAsia" w:ascii="宋体" w:hAnsi="宋体" w:cs="宋体"/>
          <w:b/>
          <w:bCs/>
          <w:color w:val="auto"/>
          <w:shd w:val="clear" w:color="auto" w:fill="FFFFFF"/>
          <w:lang w:eastAsia="zh-CN"/>
        </w:rPr>
        <w:t>无</w:t>
      </w:r>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.3</w:t>
      </w:r>
      <w:r>
        <w:rPr>
          <w:rFonts w:hint="eastAsia" w:ascii="宋体" w:hAnsi="宋体" w:cs="宋体"/>
          <w:color w:val="auto"/>
          <w:shd w:val="clear" w:color="auto" w:fill="FFFFFF"/>
        </w:rPr>
        <w:t>是否接受联合体形式的响应谈判：</w:t>
      </w:r>
      <w:r>
        <w:rPr>
          <w:rFonts w:hint="eastAsia" w:ascii="宋体" w:hAnsi="宋体" w:cs="宋体"/>
          <w:color w:val="auto"/>
          <w:shd w:val="clear" w:color="auto" w:fill="FFFFFF"/>
        </w:rPr>
        <w:t>不接受</w:t>
      </w:r>
    </w:p>
    <w:p>
      <w:pPr>
        <w:pStyle w:val="3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olor w:val="auto"/>
        </w:rPr>
      </w:pPr>
      <w:r>
        <w:rPr>
          <w:rStyle w:val="39"/>
          <w:rFonts w:hint="eastAsia" w:ascii="宋体" w:hAnsi="宋体" w:cs="宋体"/>
          <w:color w:val="auto"/>
        </w:rPr>
        <w:t>※</w:t>
      </w:r>
      <w:r>
        <w:rPr>
          <w:rStyle w:val="39"/>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供应商获取文件期限：从</w:t>
      </w:r>
      <w:r>
        <w:rPr>
          <w:rFonts w:ascii="宋体" w:hAnsi="宋体" w:cs="宋体"/>
          <w:color w:val="auto"/>
          <w:kern w:val="0"/>
          <w:sz w:val="24"/>
        </w:rPr>
        <w:t>20</w:t>
      </w:r>
      <w:r>
        <w:rPr>
          <w:rFonts w:hint="eastAsia" w:ascii="宋体" w:hAnsi="宋体" w:cs="宋体"/>
          <w:color w:val="auto"/>
          <w:kern w:val="0"/>
          <w:sz w:val="24"/>
        </w:rPr>
        <w:t>22年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2</w:t>
      </w:r>
      <w:r>
        <w:rPr>
          <w:rFonts w:hint="eastAsia" w:ascii="宋体" w:hAnsi="宋体" w:cs="宋体"/>
          <w:color w:val="auto"/>
          <w:kern w:val="0"/>
          <w:sz w:val="24"/>
        </w:rPr>
        <w:t>日至2022年</w:t>
      </w:r>
      <w:r>
        <w:rPr>
          <w:rFonts w:hint="eastAsia" w:ascii="宋体" w:hAnsi="宋体" w:cs="宋体"/>
          <w:color w:val="auto"/>
          <w:kern w:val="0"/>
          <w:sz w:val="24"/>
          <w:lang w:val="en-US" w:eastAsia="zh-CN"/>
        </w:rPr>
        <w:t xml:space="preserve"> 12</w:t>
      </w:r>
      <w:r>
        <w:rPr>
          <w:rFonts w:hint="eastAsia" w:ascii="宋体" w:hAnsi="宋体" w:cs="宋体"/>
          <w:color w:val="auto"/>
          <w:kern w:val="0"/>
          <w:sz w:val="24"/>
        </w:rPr>
        <w:t>月</w:t>
      </w:r>
      <w:r>
        <w:rPr>
          <w:rFonts w:hint="eastAsia" w:ascii="宋体" w:hAnsi="宋体" w:cs="宋体"/>
          <w:color w:val="auto"/>
          <w:kern w:val="0"/>
          <w:sz w:val="24"/>
          <w:lang w:val="en-US" w:eastAsia="zh-CN"/>
        </w:rPr>
        <w:t>7</w:t>
      </w:r>
      <w:r>
        <w:rPr>
          <w:rFonts w:hint="eastAsia" w:ascii="宋体" w:hAnsi="宋体" w:cs="宋体"/>
          <w:color w:val="auto"/>
          <w:kern w:val="0"/>
          <w:sz w:val="24"/>
        </w:rPr>
        <w:t>日17:30点。</w:t>
      </w:r>
    </w:p>
    <w:p>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期限，则</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截止时间以更正公告中的约定为准。</w:t>
      </w:r>
    </w:p>
    <w:p>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期限内，</w:t>
      </w:r>
      <w:r>
        <w:rPr>
          <w:rFonts w:hint="eastAsia" w:ascii="宋体" w:hAnsi="宋体"/>
          <w:color w:val="auto"/>
          <w:sz w:val="24"/>
        </w:rPr>
        <w:t>请各潜在谈判供应商联系泉州市大汇招标代理有限公司进行获取，本次采购文件售价3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文件递交截止时间：2022年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8</w:t>
      </w:r>
      <w:r>
        <w:rPr>
          <w:rFonts w:hint="eastAsia" w:ascii="宋体" w:hAnsi="宋体" w:cs="宋体"/>
          <w:color w:val="auto"/>
          <w:kern w:val="1"/>
          <w:sz w:val="24"/>
        </w:rPr>
        <w:t>日下午15:</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0时（北京时间）；逾期收到的或不符合规定的谈判文件将被拒绝。</w:t>
      </w:r>
    </w:p>
    <w:p>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8</w:t>
      </w:r>
      <w:r>
        <w:rPr>
          <w:rFonts w:ascii="宋体" w:hAnsi="宋体" w:cs="宋体"/>
          <w:color w:val="auto"/>
          <w:kern w:val="1"/>
          <w:sz w:val="24"/>
        </w:rPr>
        <w:t>.</w:t>
      </w:r>
      <w:r>
        <w:rPr>
          <w:rFonts w:hint="eastAsia" w:ascii="宋体" w:hAnsi="宋体" w:cs="宋体"/>
          <w:color w:val="auto"/>
          <w:kern w:val="0"/>
          <w:sz w:val="24"/>
        </w:rPr>
        <w:t>谈判</w:t>
      </w:r>
      <w:r>
        <w:rPr>
          <w:rFonts w:hint="eastAsia" w:ascii="宋体" w:hAnsi="宋体" w:cs="宋体"/>
          <w:color w:val="auto"/>
          <w:kern w:val="1"/>
          <w:sz w:val="24"/>
        </w:rPr>
        <w:t>时间：2022年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8</w:t>
      </w:r>
      <w:r>
        <w:rPr>
          <w:rFonts w:hint="eastAsia" w:ascii="宋体" w:hAnsi="宋体" w:cs="宋体"/>
          <w:color w:val="auto"/>
          <w:kern w:val="1"/>
          <w:sz w:val="24"/>
        </w:rPr>
        <w:t>日下午15:</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w:t>
      </w:r>
    </w:p>
    <w:p>
      <w:pPr>
        <w:pStyle w:val="101"/>
        <w:widowControl/>
        <w:spacing w:beforeAutospacing="0" w:afterAutospacing="0" w:line="360" w:lineRule="auto"/>
        <w:ind w:firstLine="480"/>
        <w:jc w:val="both"/>
        <w:rPr>
          <w:rFonts w:ascii="宋体" w:hAnsi="宋体" w:eastAsia="宋体" w:cs="宋体"/>
          <w:color w:val="auto"/>
          <w:kern w:val="1"/>
        </w:rPr>
      </w:pPr>
      <w:r>
        <w:rPr>
          <w:rFonts w:hint="eastAsia" w:ascii="宋体" w:hAnsi="宋体" w:eastAsia="宋体" w:cs="宋体"/>
          <w:color w:val="auto"/>
          <w:kern w:val="1"/>
        </w:rPr>
        <w:t>9.谈判地点：泉州市丰泽区温陵北路711号（原省197地质大队）一号楼二楼泉州市大汇招标代理有限公司开标室  </w:t>
      </w:r>
    </w:p>
    <w:p>
      <w:pPr>
        <w:pStyle w:val="33"/>
        <w:widowControl/>
        <w:spacing w:before="60" w:after="60" w:line="360" w:lineRule="auto"/>
        <w:ind w:firstLine="384"/>
        <w:rPr>
          <w:rFonts w:hint="eastAsia" w:ascii="宋体" w:hAnsi="宋体" w:cs="宋体"/>
          <w:color w:val="auto"/>
        </w:rPr>
      </w:pPr>
      <w:r>
        <w:rPr>
          <w:rFonts w:hint="eastAsia" w:ascii="宋体" w:hAnsi="宋体" w:cs="宋体"/>
          <w:color w:val="auto"/>
          <w:kern w:val="1"/>
        </w:rPr>
        <w:t>10.</w:t>
      </w:r>
      <w:r>
        <w:rPr>
          <w:rFonts w:hint="eastAsia" w:ascii="宋体" w:hAnsi="宋体" w:cs="宋体"/>
          <w:color w:val="auto"/>
        </w:rPr>
        <w:t xml:space="preserve"> 采购人：泉州师范学院</w:t>
      </w:r>
    </w:p>
    <w:p>
      <w:pPr>
        <w:pStyle w:val="33"/>
        <w:widowControl/>
        <w:spacing w:before="60" w:after="60" w:line="360" w:lineRule="auto"/>
        <w:ind w:firstLine="720" w:firstLineChars="300"/>
        <w:rPr>
          <w:rFonts w:hint="eastAsia" w:cs="宋体" w:asciiTheme="minorEastAsia" w:hAnsiTheme="minorEastAsia" w:eastAsiaTheme="minorEastAsia"/>
          <w:color w:val="auto"/>
        </w:rPr>
      </w:pPr>
      <w:r>
        <w:rPr>
          <w:rFonts w:hint="eastAsia" w:ascii="宋体" w:hAnsi="宋体" w:cs="宋体"/>
          <w:color w:val="auto"/>
        </w:rPr>
        <w:t>地  址：</w:t>
      </w:r>
      <w:r>
        <w:rPr>
          <w:rFonts w:hint="eastAsia" w:cs="宋体" w:asciiTheme="minorEastAsia" w:hAnsiTheme="minorEastAsia" w:eastAsiaTheme="minorEastAsia"/>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cs="宋体" w:asciiTheme="minorEastAsia" w:hAnsiTheme="minorEastAsia" w:eastAsiaTheme="minorEastAsia"/>
          <w:color w:val="auto"/>
        </w:rPr>
        <w:instrText xml:space="preserve">ADDIN CNKISM.UserStyle</w:instrText>
      </w:r>
      <w:r>
        <w:rPr>
          <w:rFonts w:hint="eastAsia" w:cs="宋体" w:asciiTheme="minorEastAsia" w:hAnsiTheme="minorEastAsia" w:eastAsiaTheme="minorEastAsia"/>
          <w:color w:val="auto"/>
        </w:rPr>
        <w:fldChar w:fldCharType="end"/>
      </w:r>
      <w:r>
        <w:rPr>
          <w:rFonts w:hint="eastAsia" w:cs="宋体" w:asciiTheme="minorEastAsia" w:hAnsiTheme="minorEastAsia" w:eastAsiaTheme="minorEastAsia"/>
          <w:color w:val="auto"/>
        </w:rPr>
        <w:t>泉州市丰泽区东海大街398号</w:t>
      </w:r>
    </w:p>
    <w:p>
      <w:pPr>
        <w:pStyle w:val="33"/>
        <w:widowControl/>
        <w:spacing w:before="60" w:after="60" w:line="360" w:lineRule="auto"/>
        <w:ind w:firstLine="676" w:firstLineChars="282"/>
        <w:rPr>
          <w:rFonts w:hint="eastAsia" w:cs="宋体" w:asciiTheme="minorEastAsia" w:hAnsiTheme="minorEastAsia" w:eastAsiaTheme="minorEastAsia"/>
          <w:color w:val="auto"/>
        </w:rPr>
      </w:pPr>
      <w:r>
        <w:rPr>
          <w:rFonts w:hint="eastAsia" w:ascii="宋体" w:hAnsi="宋体" w:cs="宋体"/>
          <w:color w:val="auto"/>
        </w:rPr>
        <w:t>联 系 人：</w:t>
      </w:r>
      <w:r>
        <w:rPr>
          <w:rFonts w:hint="eastAsia" w:ascii="宋体" w:hAnsi="宋体" w:cs="宋体"/>
          <w:color w:val="auto"/>
          <w:lang w:eastAsia="zh-CN"/>
        </w:rPr>
        <w:t>杨</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0595-22919532</w:t>
      </w:r>
    </w:p>
    <w:p>
      <w:pPr>
        <w:pStyle w:val="33"/>
        <w:widowControl/>
        <w:spacing w:before="60" w:after="60" w:line="360" w:lineRule="auto"/>
        <w:ind w:firstLine="676" w:firstLineChars="282"/>
        <w:rPr>
          <w:rFonts w:hint="eastAsia" w:ascii="宋体" w:hAnsi="宋体" w:cs="宋体"/>
          <w:color w:val="auto"/>
        </w:rPr>
      </w:pPr>
      <w:r>
        <w:rPr>
          <w:rFonts w:hint="eastAsia" w:ascii="宋体" w:hAnsi="宋体" w:cs="宋体"/>
          <w:color w:val="auto"/>
        </w:rPr>
        <w:t>联 系 人：</w:t>
      </w:r>
      <w:r>
        <w:rPr>
          <w:rFonts w:hint="eastAsia" w:ascii="宋体" w:hAnsi="宋体" w:cs="宋体"/>
          <w:color w:val="auto"/>
          <w:lang w:val="en-US" w:eastAsia="zh-CN"/>
        </w:rPr>
        <w:t>乐</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13003849567</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代理机构：泉州市大汇招标代理有限公司</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地  址：泉州市丰泽区温陵北路711号（原省197地质大队）一号楼二楼</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联 系 人：小</w:t>
      </w:r>
      <w:r>
        <w:rPr>
          <w:rFonts w:hint="eastAsia" w:ascii="宋体" w:hAnsi="宋体" w:cs="宋体"/>
          <w:color w:val="auto"/>
          <w:lang w:eastAsia="zh-CN"/>
        </w:rPr>
        <w:t>陈</w:t>
      </w:r>
      <w:r>
        <w:rPr>
          <w:rFonts w:hint="eastAsia" w:ascii="宋体" w:hAnsi="宋体" w:cs="宋体"/>
          <w:color w:val="auto"/>
        </w:rPr>
        <w:t xml:space="preserve">      联系方法：0595-22667108</w:t>
      </w:r>
    </w:p>
    <w:p>
      <w:pPr>
        <w:pStyle w:val="79"/>
        <w:spacing w:line="360" w:lineRule="auto"/>
        <w:jc w:val="both"/>
        <w:rPr>
          <w:rStyle w:val="39"/>
          <w:rFonts w:ascii="宋体" w:hAnsi="宋体" w:eastAsia="宋体" w:cs="宋体"/>
          <w:color w:val="auto"/>
          <w:sz w:val="32"/>
          <w:szCs w:val="32"/>
        </w:rPr>
      </w:pPr>
      <w:bookmarkStart w:id="2" w:name="_Toc511891579"/>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rPr>
          <w:rStyle w:val="39"/>
          <w:rFonts w:ascii="宋体" w:hAnsi="宋体" w:eastAsia="宋体" w:cs="宋体"/>
          <w:color w:val="auto"/>
          <w:sz w:val="24"/>
          <w:szCs w:val="24"/>
        </w:rPr>
      </w:pPr>
      <w:r>
        <w:rPr>
          <w:rStyle w:val="39"/>
          <w:rFonts w:hint="eastAsia" w:ascii="宋体" w:hAnsi="宋体" w:eastAsia="宋体" w:cs="宋体"/>
          <w:color w:val="auto"/>
          <w:sz w:val="32"/>
          <w:szCs w:val="32"/>
        </w:rPr>
        <w:t>第二章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竞争性谈判须知</w:t>
      </w:r>
      <w:bookmarkEnd w:id="2"/>
    </w:p>
    <w:p>
      <w:pPr>
        <w:pStyle w:val="72"/>
        <w:rPr>
          <w:rFonts w:ascii="宋体" w:hAnsi="宋体" w:eastAsia="宋体"/>
          <w:color w:val="auto"/>
          <w:sz w:val="28"/>
          <w:szCs w:val="28"/>
        </w:rPr>
      </w:pPr>
      <w:bookmarkStart w:id="3" w:name="_Toc511891580"/>
      <w:r>
        <w:rPr>
          <w:rStyle w:val="39"/>
          <w:rFonts w:hint="eastAsia" w:ascii="宋体" w:hAnsi="宋体" w:eastAsia="宋体" w:cs="宋体"/>
          <w:color w:val="auto"/>
          <w:sz w:val="28"/>
          <w:szCs w:val="28"/>
        </w:rPr>
        <w:t>第</w:t>
      </w:r>
      <w:r>
        <w:rPr>
          <w:rStyle w:val="39"/>
          <w:rFonts w:ascii="宋体" w:hAnsi="宋体" w:eastAsia="宋体" w:cs="宋体"/>
          <w:color w:val="auto"/>
          <w:sz w:val="28"/>
          <w:szCs w:val="28"/>
        </w:rPr>
        <w:t>1</w:t>
      </w:r>
      <w:r>
        <w:rPr>
          <w:rStyle w:val="39"/>
          <w:rFonts w:hint="eastAsia" w:ascii="宋体" w:hAnsi="宋体" w:eastAsia="宋体" w:cs="宋体"/>
          <w:color w:val="auto"/>
          <w:sz w:val="28"/>
          <w:szCs w:val="28"/>
        </w:rPr>
        <w:t>节</w:t>
      </w:r>
      <w:r>
        <w:rPr>
          <w:rStyle w:val="39"/>
          <w:rFonts w:ascii="宋体" w:hAnsi="宋体" w:eastAsia="宋体" w:cs="宋体"/>
          <w:color w:val="auto"/>
          <w:sz w:val="28"/>
          <w:szCs w:val="28"/>
        </w:rPr>
        <w:t xml:space="preserve">  </w:t>
      </w:r>
      <w:r>
        <w:rPr>
          <w:rStyle w:val="39"/>
          <w:rFonts w:hint="eastAsia" w:ascii="宋体" w:hAnsi="宋体" w:eastAsia="宋体" w:cs="宋体"/>
          <w:color w:val="auto"/>
          <w:sz w:val="28"/>
          <w:szCs w:val="28"/>
        </w:rPr>
        <w:t>竞争性谈判须知前附表</w:t>
      </w:r>
      <w:bookmarkEnd w:id="3"/>
    </w:p>
    <w:p>
      <w:pPr>
        <w:pStyle w:val="33"/>
        <w:widowControl/>
        <w:spacing w:before="76" w:after="76" w:line="360" w:lineRule="auto"/>
        <w:ind w:firstLine="480"/>
        <w:rPr>
          <w:color w:val="auto"/>
        </w:rPr>
      </w:pPr>
      <w:r>
        <w:rPr>
          <w:rFonts w:ascii="宋体" w:hAnsi="宋体" w:cs="宋体"/>
          <w:color w:val="auto"/>
        </w:rPr>
        <w:t> </w:t>
      </w:r>
      <w:r>
        <w:rPr>
          <w:rFonts w:hint="eastAsia" w:ascii="宋体" w:hAnsi="宋体" w:cs="宋体"/>
          <w:color w:val="auto"/>
        </w:rPr>
        <w:t>竞争性谈判须知前附表是对竞争性谈判须知的补充和细化，二者如有矛盾，以前附表中的要求和规定为准</w:t>
      </w:r>
    </w:p>
    <w:tbl>
      <w:tblPr>
        <w:tblStyle w:val="36"/>
        <w:tblW w:w="96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0"/>
        <w:gridCol w:w="932"/>
        <w:gridCol w:w="8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项号</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条款号</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76"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供应商的资格要求</w:t>
            </w:r>
            <w:r>
              <w:rPr>
                <w:rFonts w:hint="eastAsia" w:ascii="宋体" w:hAnsi="宋体" w:cs="宋体"/>
                <w:color w:val="auto"/>
              </w:rPr>
              <w:t>：见谈判文件第一章“采购公告/采购邀请书”</w:t>
            </w:r>
          </w:p>
          <w:p>
            <w:pPr>
              <w:pStyle w:val="33"/>
              <w:widowControl/>
              <w:spacing w:line="360" w:lineRule="auto"/>
              <w:rPr>
                <w:rFonts w:ascii="宋体" w:hAnsi="宋体"/>
                <w:color w:val="auto"/>
              </w:rPr>
            </w:pPr>
            <w:r>
              <w:rPr>
                <w:rFonts w:hint="eastAsia" w:ascii="宋体" w:hAnsi="宋体" w:cs="宋体"/>
                <w:color w:val="auto"/>
              </w:rPr>
              <w:t>资格证明文件资料要求：</w:t>
            </w:r>
          </w:p>
          <w:tbl>
            <w:tblPr>
              <w:tblStyle w:val="36"/>
              <w:tblW w:w="80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82"/>
              <w:gridCol w:w="5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明细</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A1投标函</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A2单位负责人授权书</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单位负责人授权书</w:t>
                  </w:r>
                  <w:r>
                    <w:rPr>
                      <w:rFonts w:hint="eastAsia" w:ascii="宋体" w:hAnsi="宋体"/>
                      <w:color w:val="auto"/>
                      <w:kern w:val="0"/>
                      <w:sz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A3</w:t>
                  </w:r>
                  <w:r>
                    <w:rPr>
                      <w:rFonts w:ascii="宋体" w:hAnsi="宋体"/>
                      <w:color w:val="auto"/>
                      <w:kern w:val="0"/>
                      <w:sz w:val="24"/>
                    </w:rPr>
                    <w:t>营业执照等证明文件</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olor w:val="auto"/>
                      <w:kern w:val="0"/>
                      <w:sz w:val="24"/>
                    </w:rPr>
                    <w:t>投标人提供工商部门注册的有效的营业执照复印件；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4财务状况报告</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上一年度或上一季度财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5依法缴纳税收的相关材料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6依法缴纳社会保障资金的相关材料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7参加政府采购活动前3年内在经营活动中没有重大违法记录的书面声明</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1、“重大违法记录”指竞争性</w:t>
                  </w:r>
                  <w:r>
                    <w:rPr>
                      <w:rFonts w:hint="eastAsia" w:ascii="宋体" w:hAnsi="宋体"/>
                      <w:color w:val="auto"/>
                      <w:kern w:val="0"/>
                      <w:sz w:val="24"/>
                    </w:rPr>
                    <w:t>谈判</w:t>
                  </w:r>
                  <w:r>
                    <w:rPr>
                      <w:rFonts w:ascii="宋体" w:hAnsi="宋体"/>
                      <w:color w:val="auto"/>
                      <w:kern w:val="0"/>
                      <w:sz w:val="24"/>
                    </w:rPr>
                    <w:t>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w:t>
                  </w:r>
                  <w:r>
                    <w:rPr>
                      <w:rFonts w:hint="eastAsia" w:ascii="宋体" w:hAnsi="宋体"/>
                      <w:color w:val="auto"/>
                      <w:kern w:val="0"/>
                      <w:sz w:val="24"/>
                    </w:rPr>
                    <w:t>谈判</w:t>
                  </w:r>
                  <w:r>
                    <w:rPr>
                      <w:rFonts w:ascii="宋体" w:hAnsi="宋体"/>
                      <w:color w:val="auto"/>
                      <w:kern w:val="0"/>
                      <w:sz w:val="24"/>
                    </w:rPr>
                    <w:t>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5" w:hRule="atLeast"/>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8信用信息查询结果</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投标人应在</w:t>
                  </w:r>
                  <w:r>
                    <w:rPr>
                      <w:rFonts w:hint="eastAsia" w:ascii="宋体" w:hAnsi="宋体"/>
                      <w:color w:val="auto"/>
                      <w:kern w:val="0"/>
                      <w:sz w:val="24"/>
                    </w:rPr>
                    <w:t>投标截止时间</w:t>
                  </w:r>
                  <w:r>
                    <w:rPr>
                      <w:rFonts w:ascii="宋体" w:hAnsi="宋体"/>
                      <w:color w:val="auto"/>
                      <w:kern w:val="0"/>
                      <w:sz w:val="24"/>
                    </w:rPr>
                    <w:t>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9投标保证金</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无</w:t>
                  </w:r>
                </w:p>
              </w:tc>
            </w:tr>
          </w:tbl>
          <w:p>
            <w:pPr>
              <w:pStyle w:val="33"/>
              <w:widowControl/>
              <w:spacing w:line="360" w:lineRule="auto"/>
              <w:rPr>
                <w:rFonts w:hint="eastAsia" w:ascii="宋体" w:hAnsi="宋体" w:eastAsia="宋体"/>
                <w:color w:val="auto"/>
                <w:lang w:eastAsia="zh-CN"/>
              </w:rPr>
            </w:pPr>
            <w:r>
              <w:rPr>
                <w:rFonts w:hint="eastAsia" w:ascii="宋体" w:hAnsi="宋体" w:cs="宋体"/>
                <w:color w:val="auto"/>
              </w:rPr>
              <w:t>特定资格条件：</w:t>
            </w:r>
            <w:r>
              <w:rPr>
                <w:rFonts w:hint="eastAsia" w:ascii="宋体" w:hAnsi="宋体" w:cs="宋体"/>
                <w:color w:val="auto"/>
                <w:lang w:eastAsia="zh-CN"/>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9"/>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9.1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9"/>
                <w:rFonts w:hint="eastAsia" w:ascii="宋体" w:hAnsi="宋体" w:cs="宋体"/>
                <w:color w:val="auto"/>
              </w:rPr>
              <w:t>响应文件有效期：</w:t>
            </w:r>
            <w:r>
              <w:rPr>
                <w:rFonts w:hint="eastAsia" w:ascii="宋体" w:hAnsi="宋体" w:cs="宋体"/>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4</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谈判保证金：</w:t>
            </w:r>
          </w:p>
          <w:p>
            <w:pPr>
              <w:widowControl/>
              <w:spacing w:line="360" w:lineRule="auto"/>
              <w:ind w:firstLine="480"/>
              <w:jc w:val="left"/>
              <w:rPr>
                <w:rFonts w:ascii="宋体" w:hAnsi="宋体"/>
                <w:color w:val="auto"/>
                <w:kern w:val="0"/>
                <w:sz w:val="24"/>
              </w:rPr>
            </w:pPr>
            <w:r>
              <w:rPr>
                <w:rFonts w:hint="eastAsia" w:ascii="宋体" w:hAnsi="宋体"/>
                <w:color w:val="auto"/>
                <w:kern w:val="0"/>
                <w:sz w:val="24"/>
              </w:rPr>
              <w:t>为落实营商环境，本项目无须提交投标保证金，该谈判文件中涉及到投标保证金表述与此相矛盾的，以此为准。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5</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谈判保证金退还的其它要求：</w:t>
            </w:r>
            <w:r>
              <w:rPr>
                <w:rFonts w:hint="eastAsia" w:ascii="宋体" w:hAnsi="宋体" w:cs="宋体"/>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6</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Fonts w:hint="eastAsia" w:ascii="宋体" w:hAnsi="宋体" w:cs="宋体"/>
                <w:b/>
                <w:color w:val="auto"/>
              </w:rPr>
              <w:t>纸质</w:t>
            </w:r>
            <w:r>
              <w:rPr>
                <w:rStyle w:val="39"/>
                <w:rFonts w:hint="eastAsia" w:ascii="宋体" w:hAnsi="宋体" w:cs="宋体"/>
                <w:color w:val="auto"/>
              </w:rPr>
              <w:t>响应文件的份数</w:t>
            </w:r>
            <w:r>
              <w:rPr>
                <w:rFonts w:hint="eastAsia" w:ascii="宋体" w:hAnsi="宋体" w:cs="宋体"/>
                <w:color w:val="auto"/>
              </w:rPr>
              <w:t> </w:t>
            </w:r>
            <w:r>
              <w:rPr>
                <w:rFonts w:ascii="宋体" w:hAnsi="宋体" w:cs="宋体"/>
                <w:color w:val="auto"/>
              </w:rPr>
              <w:t> </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 xml:space="preserve">① </w:t>
            </w:r>
            <w:r>
              <w:rPr>
                <w:rFonts w:hint="eastAsia" w:ascii="宋体" w:hAnsi="宋体"/>
                <w:color w:val="auto"/>
                <w:kern w:val="0"/>
                <w:sz w:val="24"/>
                <w:lang w:eastAsia="zh-CN"/>
              </w:rPr>
              <w:t>竞争性谈判响应文件</w:t>
            </w:r>
            <w:r>
              <w:rPr>
                <w:rFonts w:hint="eastAsia" w:ascii="宋体" w:hAnsi="宋体"/>
                <w:color w:val="auto"/>
                <w:kern w:val="0"/>
                <w:sz w:val="24"/>
              </w:rPr>
              <w:t>正本1份、副本2份。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② 可读介质（光盘或U盘）1份。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密封及其标记的具体形式：</w:t>
            </w:r>
          </w:p>
          <w:p>
            <w:pPr>
              <w:widowControl/>
              <w:numPr>
                <w:ilvl w:val="0"/>
                <w:numId w:val="1"/>
              </w:numPr>
              <w:spacing w:line="360" w:lineRule="auto"/>
              <w:ind w:firstLine="384"/>
              <w:jc w:val="left"/>
              <w:rPr>
                <w:rFonts w:ascii="宋体" w:hAnsi="宋体"/>
                <w:color w:val="auto"/>
                <w:kern w:val="0"/>
                <w:sz w:val="24"/>
              </w:rPr>
            </w:pPr>
            <w:r>
              <w:rPr>
                <w:rFonts w:hint="eastAsia" w:ascii="宋体" w:hAnsi="宋体"/>
                <w:color w:val="auto"/>
                <w:kern w:val="0"/>
                <w:sz w:val="24"/>
              </w:rPr>
              <w:t>密封的外包装应至少标记“项目名称、招标编号、所投合同包、投标人的全称、（  ）部分”等内容，否则造成投标文件误投、遗漏或提前拆封的，（  ）招标代理有限公司不承担责任。</w:t>
            </w:r>
          </w:p>
          <w:p>
            <w:pPr>
              <w:widowControl/>
              <w:numPr>
                <w:ilvl w:val="0"/>
                <w:numId w:val="1"/>
              </w:numPr>
              <w:spacing w:line="360" w:lineRule="auto"/>
              <w:ind w:firstLine="384"/>
              <w:jc w:val="left"/>
              <w:rPr>
                <w:rFonts w:ascii="宋体" w:hAnsi="宋体"/>
                <w:color w:val="auto"/>
              </w:rPr>
            </w:pPr>
            <w:r>
              <w:rPr>
                <w:rFonts w:hint="eastAsia" w:ascii="宋体" w:hAnsi="宋体"/>
                <w:color w:val="auto"/>
                <w:kern w:val="0"/>
                <w:sz w:val="24"/>
              </w:rPr>
              <w:t>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7</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14.4</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谈判过程中可能发生实质性变动的内容：</w:t>
            </w:r>
            <w:r>
              <w:rPr>
                <w:rFonts w:hint="eastAsia" w:ascii="宋体" w:hAnsi="宋体" w:cs="微软雅黑"/>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8</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信息公告指定媒体（以下简称：“指定媒体”）：</w:t>
            </w:r>
          </w:p>
          <w:p>
            <w:pPr>
              <w:pStyle w:val="33"/>
              <w:widowControl/>
              <w:spacing w:line="360" w:lineRule="auto"/>
              <w:rPr>
                <w:rFonts w:ascii="宋体" w:hAnsi="宋体" w:cs="宋体"/>
                <w:color w:val="auto"/>
              </w:rPr>
            </w:pPr>
            <w:r>
              <w:rPr>
                <w:rFonts w:hint="eastAsia" w:ascii="宋体" w:hAnsi="宋体" w:cs="宋体"/>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Style w:val="43"/>
                <w:rFonts w:hint="eastAsia" w:ascii="宋体" w:hAnsi="宋体" w:cs="宋体"/>
                <w:color w:val="auto"/>
              </w:rPr>
              <w:t>http://www.ccgp.gov.cn</w:t>
            </w:r>
            <w:r>
              <w:rPr>
                <w:rStyle w:val="43"/>
                <w:rFonts w:hint="eastAsia" w:ascii="宋体" w:hAnsi="宋体" w:cs="宋体"/>
                <w:color w:val="auto"/>
              </w:rPr>
              <w:fldChar w:fldCharType="end"/>
            </w:r>
            <w:r>
              <w:rPr>
                <w:rFonts w:hint="eastAsia" w:ascii="宋体" w:hAnsi="宋体" w:cs="微软雅黑"/>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9</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本项目监督管理部门：</w:t>
            </w:r>
            <w:r>
              <w:rPr>
                <w:rFonts w:hint="eastAsia" w:ascii="宋体" w:hAnsi="宋体" w:cs="宋体"/>
                <w:b/>
                <w:bCs/>
                <w:color w:val="auto"/>
              </w:rPr>
              <w:t>采购监督管理部门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10</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24.1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48"/>
              <w:spacing w:line="360" w:lineRule="auto"/>
              <w:rPr>
                <w:rFonts w:hint="eastAsia" w:ascii="宋体" w:hAnsi="宋体"/>
                <w:bCs/>
                <w:color w:val="auto"/>
                <w:lang w:val="en-US" w:eastAsia="zh-CN"/>
              </w:rPr>
            </w:pPr>
            <w:r>
              <w:rPr>
                <w:rFonts w:hint="eastAsia" w:ascii="宋体" w:hAnsi="宋体"/>
                <w:bCs/>
                <w:color w:val="auto"/>
              </w:rPr>
              <w:t>是否收取履约保证金：是。履约保证金百分比：2%。说明：</w:t>
            </w:r>
            <w:r>
              <w:rPr>
                <w:rFonts w:hint="eastAsia" w:ascii="宋体" w:hAnsi="宋体"/>
                <w:bCs/>
                <w:color w:val="auto"/>
                <w:lang w:val="en-US" w:eastAsia="zh-CN"/>
              </w:rPr>
              <w:t>成交供应商在签订合同前，应向采购人缴纳合同总金额2%的履约保证金，该保证金在成交供应商供应的货物全部验收合格、合同约定事项全部履行完毕且无未了事项后，30日内一次性无息退还。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Style w:val="39"/>
                <w:rFonts w:ascii="宋体" w:hAnsi="宋体" w:cs="宋体"/>
                <w:color w:val="auto"/>
              </w:rPr>
            </w:pPr>
            <w:r>
              <w:rPr>
                <w:rStyle w:val="39"/>
                <w:rFonts w:hint="eastAsia" w:ascii="宋体" w:hAnsi="宋体" w:cs="宋体"/>
                <w:color w:val="auto"/>
              </w:rPr>
              <w:t>招标代理服务费：</w:t>
            </w:r>
          </w:p>
          <w:p>
            <w:pPr>
              <w:pStyle w:val="33"/>
              <w:widowControl/>
              <w:numPr>
                <w:ilvl w:val="0"/>
                <w:numId w:val="2"/>
              </w:numPr>
              <w:spacing w:line="360" w:lineRule="auto"/>
              <w:rPr>
                <w:rStyle w:val="39"/>
                <w:rFonts w:ascii="宋体" w:hAnsi="宋体" w:cs="宋体"/>
                <w:b w:val="0"/>
                <w:color w:val="auto"/>
              </w:rPr>
            </w:pPr>
            <w:r>
              <w:rPr>
                <w:rStyle w:val="39"/>
                <w:rFonts w:hint="eastAsia" w:ascii="宋体" w:hAnsi="宋体" w:cs="宋体"/>
                <w:b w:val="0"/>
                <w:color w:val="auto"/>
              </w:rPr>
              <w:t>本项目的招标代理服务费由成交供应商支付。</w:t>
            </w:r>
          </w:p>
          <w:p>
            <w:pPr>
              <w:pStyle w:val="33"/>
              <w:widowControl/>
              <w:numPr>
                <w:ilvl w:val="0"/>
                <w:numId w:val="2"/>
              </w:numPr>
              <w:spacing w:line="360" w:lineRule="auto"/>
              <w:rPr>
                <w:rFonts w:ascii="宋体" w:hAnsi="宋体" w:cs="宋体"/>
                <w:color w:val="auto"/>
              </w:rPr>
            </w:pPr>
            <w:r>
              <w:rPr>
                <w:rFonts w:hint="eastAsia" w:ascii="宋体" w:hAnsi="宋体" w:cs="宋体"/>
                <w:color w:val="auto"/>
              </w:rPr>
              <w:t>根据《泉州市政府采购代理行业服务收费指导意见（试行）》标准收取。</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代理服务费的交纳方式：现金或转账；</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 xml:space="preserve"> 电汇请转入公司基本账户：</w:t>
            </w:r>
            <w:r>
              <w:rPr>
                <w:rFonts w:ascii="宋体" w:hAnsi="宋体" w:cs="宋体"/>
                <w:bCs/>
                <w:color w:val="auto"/>
              </w:rPr>
              <w:t xml:space="preserve"> </w:t>
            </w:r>
            <w:r>
              <w:rPr>
                <w:rFonts w:hint="eastAsia" w:ascii="宋体" w:hAnsi="宋体" w:cs="宋体"/>
                <w:bCs/>
                <w:color w:val="auto"/>
              </w:rPr>
              <w:t>开户行：建设银行泉州丰泽支行</w:t>
            </w:r>
          </w:p>
          <w:p>
            <w:pPr>
              <w:pStyle w:val="33"/>
              <w:widowControl/>
              <w:spacing w:line="360" w:lineRule="auto"/>
              <w:rPr>
                <w:rFonts w:ascii="宋体" w:hAnsi="宋体" w:cs="宋体"/>
                <w:color w:val="auto"/>
              </w:rPr>
            </w:pPr>
            <w:r>
              <w:rPr>
                <w:rFonts w:hint="eastAsia" w:ascii="宋体" w:hAnsi="宋体" w:cs="宋体"/>
                <w:bCs/>
                <w:color w:val="auto"/>
              </w:rPr>
              <w:t>户</w:t>
            </w:r>
            <w:r>
              <w:rPr>
                <w:rFonts w:ascii="宋体" w:hAnsi="宋体" w:cs="宋体"/>
                <w:bCs/>
                <w:color w:val="auto"/>
              </w:rPr>
              <w:t xml:space="preserve"> </w:t>
            </w:r>
            <w:r>
              <w:rPr>
                <w:rFonts w:hint="eastAsia" w:ascii="宋体" w:hAnsi="宋体" w:cs="宋体"/>
                <w:bCs/>
                <w:color w:val="auto"/>
              </w:rPr>
              <w:t>名：泉州市大汇招标代理有限公司</w:t>
            </w:r>
            <w:r>
              <w:rPr>
                <w:rFonts w:ascii="宋体" w:hAnsi="宋体" w:cs="宋体"/>
                <w:bCs/>
                <w:color w:val="auto"/>
              </w:rPr>
              <w:t xml:space="preserve"> </w:t>
            </w:r>
            <w:r>
              <w:rPr>
                <w:rFonts w:hint="eastAsia" w:ascii="宋体" w:hAnsi="宋体" w:cs="宋体"/>
                <w:bCs/>
                <w:color w:val="auto"/>
              </w:rPr>
              <w:t>账</w:t>
            </w:r>
            <w:r>
              <w:rPr>
                <w:rFonts w:ascii="宋体" w:hAnsi="宋体" w:cs="宋体"/>
                <w:bCs/>
                <w:color w:val="auto"/>
              </w:rPr>
              <w:t xml:space="preserve"> </w:t>
            </w:r>
            <w:r>
              <w:rPr>
                <w:rFonts w:hint="eastAsia" w:ascii="宋体" w:hAnsi="宋体" w:cs="宋体"/>
                <w:bCs/>
                <w:color w:val="auto"/>
              </w:rPr>
              <w:t>号：</w:t>
            </w:r>
            <w:r>
              <w:rPr>
                <w:rFonts w:ascii="宋体" w:hAnsi="宋体" w:cs="宋体"/>
                <w:bCs/>
                <w:color w:val="auto"/>
              </w:rPr>
              <w:t>35001656007052528961</w:t>
            </w:r>
          </w:p>
        </w:tc>
      </w:tr>
    </w:tbl>
    <w:p>
      <w:pPr>
        <w:pStyle w:val="33"/>
        <w:widowControl/>
        <w:spacing w:before="76" w:after="76" w:line="360" w:lineRule="auto"/>
        <w:rPr>
          <w:rStyle w:val="39"/>
          <w:rFonts w:ascii="宋体" w:hAnsi="宋体" w:cs="宋体"/>
          <w:color w:val="auto"/>
        </w:rPr>
      </w:pPr>
    </w:p>
    <w:p>
      <w:pPr>
        <w:pStyle w:val="33"/>
        <w:widowControl/>
        <w:spacing w:before="76" w:after="76" w:line="360" w:lineRule="auto"/>
        <w:rPr>
          <w:rStyle w:val="39"/>
          <w:rFonts w:ascii="宋体" w:hAnsi="宋体" w:cs="宋体"/>
          <w:color w:val="auto"/>
        </w:rPr>
      </w:pPr>
    </w:p>
    <w:p>
      <w:pPr>
        <w:widowControl/>
        <w:spacing w:line="360" w:lineRule="auto"/>
        <w:jc w:val="center"/>
        <w:rPr>
          <w:rFonts w:ascii="宋体" w:hAnsi="宋体"/>
          <w:color w:val="auto"/>
          <w:sz w:val="32"/>
          <w:szCs w:val="32"/>
        </w:rPr>
      </w:pPr>
      <w:r>
        <w:rPr>
          <w:rStyle w:val="39"/>
          <w:rFonts w:ascii="宋体" w:hAnsi="宋体" w:cs="宋体"/>
          <w:color w:val="auto"/>
        </w:rPr>
        <w:br w:type="page"/>
      </w:r>
      <w:bookmarkStart w:id="4" w:name="_Toc511891581"/>
      <w:r>
        <w:rPr>
          <w:rStyle w:val="39"/>
          <w:rFonts w:hint="eastAsia" w:ascii="宋体" w:hAnsi="宋体" w:cs="宋体"/>
          <w:color w:val="auto"/>
          <w:sz w:val="32"/>
          <w:szCs w:val="32"/>
        </w:rPr>
        <w:t>专项附件：评定成交的标准和方法</w:t>
      </w:r>
      <w:bookmarkEnd w:id="4"/>
    </w:p>
    <w:p>
      <w:pPr>
        <w:pStyle w:val="74"/>
        <w:numPr>
          <w:ilvl w:val="0"/>
          <w:numId w:val="3"/>
        </w:numPr>
        <w:spacing w:before="0" w:after="0" w:line="360" w:lineRule="auto"/>
        <w:ind w:firstLine="2530"/>
        <w:jc w:val="both"/>
        <w:rPr>
          <w:rStyle w:val="39"/>
          <w:rFonts w:ascii="宋体" w:hAnsi="宋体" w:eastAsia="宋体" w:cs="宋体"/>
          <w:color w:val="auto"/>
          <w:sz w:val="28"/>
          <w:szCs w:val="28"/>
        </w:rPr>
      </w:pPr>
      <w:bookmarkStart w:id="5" w:name="_Toc511891582"/>
      <w:r>
        <w:rPr>
          <w:rStyle w:val="39"/>
          <w:rFonts w:hint="eastAsia" w:ascii="宋体" w:hAnsi="宋体" w:eastAsia="宋体" w:cs="宋体"/>
          <w:color w:val="auto"/>
          <w:sz w:val="28"/>
          <w:szCs w:val="28"/>
        </w:rPr>
        <w:t xml:space="preserve"> 谈判小组</w:t>
      </w:r>
      <w:bookmarkEnd w:id="5"/>
    </w:p>
    <w:p>
      <w:pPr>
        <w:pStyle w:val="33"/>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33"/>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人组成。</w:t>
      </w:r>
    </w:p>
    <w:p>
      <w:pPr>
        <w:pStyle w:val="33"/>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33"/>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33"/>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33"/>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33"/>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33"/>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pPr>
        <w:pStyle w:val="33"/>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pPr>
        <w:pStyle w:val="33"/>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pPr>
        <w:pStyle w:val="33"/>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33"/>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pPr>
        <w:pStyle w:val="33"/>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pPr>
        <w:pStyle w:val="33"/>
        <w:widowControl/>
        <w:spacing w:line="360" w:lineRule="auto"/>
        <w:ind w:firstLine="480"/>
        <w:rPr>
          <w:rStyle w:val="39"/>
          <w:rFonts w:ascii="宋体" w:hAnsi="宋体" w:cs="宋体"/>
          <w:color w:val="auto"/>
        </w:rPr>
      </w:pPr>
      <w:r>
        <w:rPr>
          <w:rStyle w:val="39"/>
          <w:rFonts w:hint="eastAsia" w:ascii="宋体" w:hAnsi="宋体" w:cs="宋体"/>
          <w:color w:val="auto"/>
        </w:rPr>
        <w:t>※对违反评审纪律的评委，将取消其评委资格，对评审工作造成严重损失者将予以通报批评乃至追究法律责任。</w:t>
      </w:r>
    </w:p>
    <w:p>
      <w:pPr>
        <w:pStyle w:val="33"/>
        <w:widowControl/>
        <w:spacing w:line="360" w:lineRule="auto"/>
        <w:ind w:firstLine="480"/>
        <w:rPr>
          <w:rStyle w:val="39"/>
          <w:rFonts w:ascii="宋体" w:hAnsi="宋体" w:cs="宋体"/>
          <w:color w:val="auto"/>
        </w:rPr>
      </w:pPr>
    </w:p>
    <w:p>
      <w:pPr>
        <w:pStyle w:val="74"/>
        <w:spacing w:before="0" w:after="0" w:line="360" w:lineRule="auto"/>
        <w:rPr>
          <w:rFonts w:ascii="宋体" w:hAnsi="宋体"/>
          <w:color w:val="auto"/>
        </w:rPr>
      </w:pPr>
      <w:bookmarkStart w:id="6" w:name="_Toc511891583"/>
      <w:r>
        <w:rPr>
          <w:rStyle w:val="39"/>
          <w:rFonts w:hint="eastAsia" w:ascii="宋体" w:hAnsi="宋体" w:eastAsia="宋体" w:cs="宋体"/>
          <w:color w:val="auto"/>
          <w:sz w:val="32"/>
          <w:szCs w:val="32"/>
        </w:rPr>
        <w:t>二、谈判程序</w:t>
      </w:r>
      <w:bookmarkEnd w:id="6"/>
    </w:p>
    <w:p>
      <w:pPr>
        <w:pStyle w:val="33"/>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pPr>
        <w:pStyle w:val="33"/>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3"/>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33"/>
        <w:widowControl/>
        <w:spacing w:line="360" w:lineRule="auto"/>
        <w:jc w:val="center"/>
        <w:rPr>
          <w:rFonts w:ascii="宋体" w:hAnsi="宋体"/>
          <w:color w:val="auto"/>
          <w:sz w:val="32"/>
          <w:szCs w:val="32"/>
        </w:rPr>
      </w:pPr>
      <w:r>
        <w:rPr>
          <w:rStyle w:val="39"/>
          <w:rFonts w:ascii="宋体" w:hAnsi="宋体" w:cs="宋体"/>
          <w:color w:val="auto"/>
          <w:sz w:val="32"/>
          <w:szCs w:val="32"/>
        </w:rPr>
        <w:t> </w:t>
      </w:r>
    </w:p>
    <w:p>
      <w:pPr>
        <w:pStyle w:val="74"/>
        <w:spacing w:before="0" w:after="0" w:line="360" w:lineRule="auto"/>
        <w:rPr>
          <w:rFonts w:ascii="宋体" w:hAnsi="宋体"/>
          <w:color w:val="auto"/>
        </w:rPr>
      </w:pPr>
      <w:bookmarkStart w:id="7" w:name="_Toc511891584"/>
      <w:r>
        <w:rPr>
          <w:rStyle w:val="39"/>
          <w:rFonts w:hint="eastAsia" w:ascii="宋体" w:hAnsi="宋体" w:eastAsia="宋体" w:cs="宋体"/>
          <w:color w:val="auto"/>
          <w:sz w:val="32"/>
          <w:szCs w:val="32"/>
        </w:rPr>
        <w:t>三、最低评审价法和成交候选人推荐</w:t>
      </w:r>
      <w:bookmarkEnd w:id="7"/>
    </w:p>
    <w:p>
      <w:pPr>
        <w:pStyle w:val="33"/>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33"/>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33"/>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pPr>
        <w:pStyle w:val="33"/>
        <w:widowControl/>
        <w:numPr>
          <w:ilvl w:val="0"/>
          <w:numId w:val="4"/>
        </w:numPr>
        <w:spacing w:line="360" w:lineRule="auto"/>
        <w:ind w:firstLine="480"/>
        <w:rPr>
          <w:rFonts w:hint="eastAsia" w:ascii="宋体" w:hAnsi="宋体" w:cs="宋体"/>
          <w:color w:val="auto"/>
          <w:lang w:eastAsia="zh-CN"/>
        </w:rPr>
      </w:pPr>
      <w:r>
        <w:rPr>
          <w:rFonts w:hint="eastAsia" w:ascii="宋体" w:hAnsi="宋体" w:cs="宋体"/>
          <w:color w:val="auto"/>
        </w:rPr>
        <w:t>小型、微型企业产品：</w:t>
      </w:r>
      <w:r>
        <w:rPr>
          <w:rFonts w:hint="eastAsia" w:ascii="宋体" w:hAnsi="宋体" w:cs="宋体"/>
          <w:color w:val="auto"/>
        </w:rPr>
        <w:t>1、对小、微企业报价给予15%的扣除。2、联合协议或分包意向协议约定小微企业的合同份额占到合同总金额 30%以上的，对联合体或者大中型企业的报价给予 5%的扣除。（本项目不适用）3、监狱企业视同上述中小企业享受政府采购扶持政策。4、残疾人福利性单位提供本单位制造的货物、承担的工程或服务，或提供其他残疾人福利性单位制造的货物（不包括使用非残疾人福利性单位注册商标的货物），对报价给予 10%的扣除。</w:t>
      </w:r>
      <w:r>
        <w:rPr>
          <w:rFonts w:ascii="宋体" w:hAnsi="宋体" w:cs="宋体"/>
          <w:color w:val="auto"/>
        </w:rPr>
        <w:t xml:space="preserve"> </w:t>
      </w:r>
    </w:p>
    <w:p>
      <w:pPr>
        <w:pStyle w:val="33"/>
        <w:widowControl/>
        <w:numPr>
          <w:ilvl w:val="0"/>
          <w:numId w:val="0"/>
        </w:numPr>
        <w:spacing w:line="360" w:lineRule="auto"/>
        <w:ind w:firstLine="480" w:firstLineChars="20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无</w:t>
      </w:r>
      <w:r>
        <w:rPr>
          <w:rFonts w:ascii="宋体" w:hAnsi="宋体" w:cs="宋体"/>
          <w:color w:val="auto"/>
        </w:rPr>
        <w:t xml:space="preserve"> </w:t>
      </w:r>
      <w:r>
        <w:rPr>
          <w:rFonts w:hint="eastAsia" w:ascii="宋体" w:hAnsi="宋体" w:cs="宋体"/>
          <w:color w:val="auto"/>
        </w:rPr>
        <w:t>。</w:t>
      </w:r>
      <w:r>
        <w:rPr>
          <w:rFonts w:ascii="宋体" w:hAnsi="宋体" w:cs="微软雅黑"/>
          <w:color w:val="auto"/>
        </w:rPr>
        <w:t xml:space="preserve"> </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33"/>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33"/>
        <w:widowControl/>
        <w:spacing w:line="360" w:lineRule="auto"/>
        <w:ind w:firstLine="480"/>
        <w:rPr>
          <w:rFonts w:ascii="宋体" w:hAnsi="宋体" w:cs="宋体"/>
          <w:color w:val="auto"/>
        </w:rPr>
      </w:pPr>
    </w:p>
    <w:p>
      <w:pPr>
        <w:pStyle w:val="74"/>
        <w:spacing w:before="0" w:after="0" w:line="360" w:lineRule="auto"/>
        <w:rPr>
          <w:rFonts w:ascii="宋体" w:hAnsi="宋体"/>
          <w:color w:val="auto"/>
        </w:rPr>
      </w:pPr>
      <w:bookmarkStart w:id="8" w:name="_Toc511891585"/>
      <w:r>
        <w:rPr>
          <w:rStyle w:val="39"/>
          <w:rFonts w:hint="eastAsia" w:ascii="宋体" w:hAnsi="宋体" w:eastAsia="宋体" w:cs="宋体"/>
          <w:color w:val="auto"/>
          <w:sz w:val="32"/>
          <w:szCs w:val="32"/>
        </w:rPr>
        <w:t>四、评审报告</w:t>
      </w:r>
      <w:bookmarkEnd w:id="8"/>
    </w:p>
    <w:p>
      <w:pPr>
        <w:pStyle w:val="33"/>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33"/>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pPr>
        <w:pStyle w:val="33"/>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pPr>
        <w:pStyle w:val="33"/>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pPr>
        <w:pStyle w:val="33"/>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pPr>
        <w:pStyle w:val="33"/>
        <w:widowControl/>
        <w:spacing w:line="360" w:lineRule="auto"/>
        <w:ind w:firstLine="480"/>
        <w:rPr>
          <w:rFonts w:ascii="宋体" w:hAnsi="宋体"/>
          <w:color w:val="auto"/>
        </w:rPr>
      </w:pPr>
      <w:r>
        <w:rPr>
          <w:rFonts w:hint="eastAsia" w:ascii="宋体" w:hAnsi="宋体" w:cs="宋体"/>
          <w:color w:val="auto"/>
        </w:rPr>
        <w:t>（四）提出的成交候选人的名单及理由。</w:t>
      </w:r>
    </w:p>
    <w:p>
      <w:pPr>
        <w:pStyle w:val="33"/>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3"/>
        <w:widowControl/>
        <w:spacing w:line="360" w:lineRule="auto"/>
        <w:ind w:firstLine="360" w:firstLineChars="150"/>
        <w:rPr>
          <w:rFonts w:ascii="宋体" w:hAnsi="宋体" w:cs="宋体"/>
          <w:color w:val="auto"/>
        </w:rPr>
      </w:pPr>
    </w:p>
    <w:p>
      <w:pPr>
        <w:pStyle w:val="74"/>
        <w:spacing w:before="0" w:after="0" w:line="360" w:lineRule="auto"/>
        <w:rPr>
          <w:rFonts w:ascii="宋体" w:hAnsi="宋体"/>
          <w:color w:val="auto"/>
        </w:rPr>
      </w:pPr>
      <w:bookmarkStart w:id="9" w:name="_Toc511891586"/>
      <w:r>
        <w:rPr>
          <w:rStyle w:val="39"/>
          <w:rFonts w:hint="eastAsia" w:ascii="宋体" w:hAnsi="宋体" w:eastAsia="宋体" w:cs="宋体"/>
          <w:color w:val="auto"/>
          <w:sz w:val="32"/>
          <w:szCs w:val="32"/>
        </w:rPr>
        <w:t>五、其他规定</w:t>
      </w:r>
      <w:bookmarkEnd w:id="9"/>
    </w:p>
    <w:p>
      <w:pPr>
        <w:pStyle w:val="33"/>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pPr>
        <w:pStyle w:val="33"/>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33"/>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33"/>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33"/>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9"/>
          <w:rFonts w:hint="eastAsia" w:ascii="宋体" w:hAnsi="宋体" w:cs="宋体"/>
          <w:color w:val="auto"/>
          <w:sz w:val="32"/>
          <w:szCs w:val="32"/>
        </w:rPr>
        <w:t>第</w:t>
      </w:r>
      <w:r>
        <w:rPr>
          <w:rStyle w:val="39"/>
          <w:rFonts w:ascii="宋体" w:hAnsi="宋体" w:cs="宋体"/>
          <w:color w:val="auto"/>
          <w:sz w:val="32"/>
          <w:szCs w:val="32"/>
        </w:rPr>
        <w:t>2</w:t>
      </w:r>
      <w:r>
        <w:rPr>
          <w:rStyle w:val="39"/>
          <w:rFonts w:hint="eastAsia" w:ascii="宋体" w:hAnsi="宋体" w:cs="宋体"/>
          <w:color w:val="auto"/>
          <w:sz w:val="32"/>
          <w:szCs w:val="32"/>
        </w:rPr>
        <w:t>节</w:t>
      </w:r>
      <w:r>
        <w:rPr>
          <w:rStyle w:val="39"/>
          <w:rFonts w:ascii="宋体" w:hAnsi="宋体" w:cs="宋体"/>
          <w:color w:val="auto"/>
          <w:sz w:val="32"/>
          <w:szCs w:val="32"/>
        </w:rPr>
        <w:t xml:space="preserve">  </w:t>
      </w:r>
      <w:r>
        <w:rPr>
          <w:rStyle w:val="39"/>
          <w:rFonts w:hint="eastAsia" w:ascii="宋体" w:hAnsi="宋体" w:cs="宋体"/>
          <w:color w:val="auto"/>
          <w:sz w:val="32"/>
          <w:szCs w:val="32"/>
        </w:rPr>
        <w:t>竞争性谈判须知</w:t>
      </w:r>
      <w:bookmarkEnd w:id="10"/>
    </w:p>
    <w:p>
      <w:pPr>
        <w:pStyle w:val="74"/>
        <w:spacing w:before="0" w:after="0" w:line="360" w:lineRule="auto"/>
        <w:rPr>
          <w:rStyle w:val="39"/>
          <w:rFonts w:ascii="宋体" w:hAnsi="宋体" w:eastAsia="宋体" w:cs="宋体"/>
          <w:color w:val="auto"/>
          <w:sz w:val="28"/>
          <w:szCs w:val="28"/>
        </w:rPr>
      </w:pPr>
      <w:bookmarkStart w:id="11" w:name="_Toc511891588"/>
      <w:r>
        <w:rPr>
          <w:rStyle w:val="39"/>
          <w:rFonts w:hint="eastAsia" w:ascii="宋体" w:hAnsi="宋体" w:eastAsia="宋体" w:cs="宋体"/>
          <w:color w:val="auto"/>
          <w:sz w:val="28"/>
          <w:szCs w:val="28"/>
        </w:rPr>
        <w:t>一、总则</w:t>
      </w:r>
      <w:bookmarkEnd w:id="11"/>
    </w:p>
    <w:p>
      <w:pPr>
        <w:pStyle w:val="33"/>
        <w:widowControl/>
        <w:spacing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适用范围：</w:t>
      </w:r>
    </w:p>
    <w:p>
      <w:pPr>
        <w:pStyle w:val="33"/>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33"/>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定义及要求：</w:t>
      </w:r>
    </w:p>
    <w:p>
      <w:pPr>
        <w:pStyle w:val="33"/>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33"/>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33"/>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“潜在供应商”按照谈判文件第一章规定进行获取文件，且有意向参加本项目响应谈判的供应商。</w:t>
      </w:r>
    </w:p>
    <w:p>
      <w:pPr>
        <w:pStyle w:val="33"/>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“供应商”指按照谈判文件第一章规定进行获取文件，且已经提交响应文件的法人或其他组织或自然人。只有适合自然人参与和承接的政府采购项目，供应商才可以是自然人。</w:t>
      </w:r>
    </w:p>
    <w:p>
      <w:pPr>
        <w:pStyle w:val="33"/>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33"/>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33"/>
        <w:widowControl/>
        <w:spacing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合格的供应商：</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pPr>
        <w:pStyle w:val="33"/>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33"/>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9"/>
          <w:rFonts w:hint="eastAsia"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9"/>
          <w:rFonts w:hint="eastAsia" w:ascii="宋体" w:hAnsi="宋体" w:cs="宋体"/>
          <w:color w:val="auto"/>
        </w:rPr>
        <w:t>。</w:t>
      </w:r>
    </w:p>
    <w:p>
      <w:pPr>
        <w:pStyle w:val="33"/>
        <w:widowControl/>
        <w:spacing w:line="360" w:lineRule="auto"/>
        <w:ind w:firstLine="480"/>
        <w:rPr>
          <w:rFonts w:ascii="宋体" w:hAnsi="宋体"/>
          <w:color w:val="auto"/>
        </w:rPr>
      </w:pPr>
      <w:r>
        <w:rPr>
          <w:rStyle w:val="39"/>
          <w:rFonts w:hint="eastAsia" w:ascii="宋体" w:hAnsi="宋体" w:cs="宋体"/>
          <w:color w:val="auto"/>
        </w:rPr>
        <w:t>供应商有责任检查自身情况，在响应文件中对是否违反以上一般规定做出如实声明，否则其响应文件将被否决。</w:t>
      </w:r>
    </w:p>
    <w:p>
      <w:pPr>
        <w:pStyle w:val="33"/>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pPr>
        <w:pStyle w:val="33"/>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33"/>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33"/>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3"/>
        <w:widowControl/>
        <w:spacing w:line="360" w:lineRule="auto"/>
        <w:rPr>
          <w:rFonts w:ascii="宋体" w:hAnsi="宋体"/>
          <w:color w:val="auto"/>
        </w:rPr>
      </w:pPr>
      <w:r>
        <w:rPr>
          <w:rStyle w:val="39"/>
          <w:rFonts w:ascii="宋体" w:hAnsi="宋体" w:cs="宋体"/>
          <w:color w:val="auto"/>
        </w:rPr>
        <w:t>4.</w:t>
      </w:r>
      <w:r>
        <w:rPr>
          <w:rStyle w:val="39"/>
          <w:rFonts w:hint="eastAsia" w:ascii="宋体" w:hAnsi="宋体" w:cs="宋体"/>
          <w:color w:val="auto"/>
        </w:rPr>
        <w:t>参与竞争性谈判费用：</w:t>
      </w:r>
    </w:p>
    <w:p>
      <w:pPr>
        <w:pStyle w:val="33"/>
        <w:widowControl/>
        <w:spacing w:line="360" w:lineRule="auto"/>
        <w:ind w:firstLine="480"/>
        <w:rPr>
          <w:rFonts w:ascii="宋体" w:hAnsi="宋体" w:cs="宋体"/>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二、竞争性谈判文件</w:t>
      </w:r>
      <w:bookmarkEnd w:id="12"/>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5.</w:t>
      </w:r>
      <w:r>
        <w:rPr>
          <w:rStyle w:val="39"/>
          <w:rFonts w:hint="eastAsia" w:ascii="宋体" w:hAnsi="宋体" w:cs="宋体"/>
          <w:color w:val="auto"/>
        </w:rPr>
        <w:t>竞争性谈判文件的组成：</w:t>
      </w:r>
    </w:p>
    <w:p>
      <w:pPr>
        <w:pStyle w:val="33"/>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pPr>
        <w:pStyle w:val="33"/>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pPr>
        <w:pStyle w:val="33"/>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pPr>
        <w:pStyle w:val="33"/>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pPr>
        <w:pStyle w:val="33"/>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pPr>
        <w:pStyle w:val="33"/>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pPr>
        <w:pStyle w:val="33"/>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33"/>
        <w:widowControl/>
        <w:spacing w:line="360" w:lineRule="auto"/>
        <w:rPr>
          <w:rFonts w:ascii="宋体" w:hAnsi="宋体"/>
          <w:color w:val="auto"/>
        </w:rPr>
      </w:pPr>
      <w:r>
        <w:rPr>
          <w:rStyle w:val="39"/>
          <w:rFonts w:ascii="宋体" w:hAnsi="宋体" w:cs="宋体"/>
          <w:color w:val="auto"/>
        </w:rPr>
        <w:t>6.</w:t>
      </w:r>
      <w:r>
        <w:rPr>
          <w:rStyle w:val="39"/>
          <w:rFonts w:hint="eastAsia" w:ascii="宋体" w:hAnsi="宋体" w:cs="宋体"/>
          <w:color w:val="auto"/>
        </w:rPr>
        <w:t>竞争性谈判文件的澄清、补充或修改：</w:t>
      </w:r>
    </w:p>
    <w:p>
      <w:pPr>
        <w:pStyle w:val="33"/>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33"/>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3"/>
        <w:widowControl/>
        <w:spacing w:line="360" w:lineRule="auto"/>
        <w:jc w:val="both"/>
        <w:rPr>
          <w:rStyle w:val="39"/>
          <w:rFonts w:ascii="宋体" w:hAnsi="宋体" w:cs="宋体"/>
          <w:color w:val="auto"/>
        </w:rPr>
      </w:pPr>
    </w:p>
    <w:p>
      <w:pPr>
        <w:pStyle w:val="74"/>
        <w:spacing w:before="0" w:after="0" w:line="360" w:lineRule="auto"/>
        <w:rPr>
          <w:rStyle w:val="39"/>
          <w:rFonts w:ascii="宋体" w:hAnsi="宋体" w:eastAsia="宋体" w:cs="宋体"/>
          <w:color w:val="auto"/>
          <w:sz w:val="32"/>
          <w:szCs w:val="32"/>
        </w:rPr>
      </w:pPr>
      <w:bookmarkStart w:id="13" w:name="_Toc511891590"/>
      <w:r>
        <w:rPr>
          <w:rStyle w:val="39"/>
          <w:rFonts w:hint="eastAsia" w:ascii="宋体" w:hAnsi="宋体" w:eastAsia="宋体" w:cs="宋体"/>
          <w:color w:val="auto"/>
          <w:sz w:val="32"/>
          <w:szCs w:val="32"/>
        </w:rPr>
        <w:t>三、响应文件编制</w:t>
      </w:r>
      <w:bookmarkEnd w:id="13"/>
    </w:p>
    <w:p>
      <w:pPr>
        <w:pStyle w:val="33"/>
        <w:widowControl/>
        <w:spacing w:line="360" w:lineRule="auto"/>
        <w:rPr>
          <w:rFonts w:ascii="宋体" w:hAnsi="宋体"/>
          <w:color w:val="auto"/>
        </w:rPr>
      </w:pPr>
      <w:r>
        <w:rPr>
          <w:rStyle w:val="39"/>
          <w:rFonts w:ascii="宋体" w:hAnsi="宋体" w:cs="宋体"/>
          <w:color w:val="auto"/>
        </w:rPr>
        <w:t>7.</w:t>
      </w:r>
      <w:r>
        <w:rPr>
          <w:rStyle w:val="39"/>
          <w:rFonts w:hint="eastAsia" w:ascii="宋体" w:hAnsi="宋体" w:cs="宋体"/>
          <w:color w:val="auto"/>
        </w:rPr>
        <w:t>应标要求</w:t>
      </w:r>
    </w:p>
    <w:p>
      <w:pPr>
        <w:pStyle w:val="33"/>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9"/>
          <w:rFonts w:hint="eastAsia" w:ascii="宋体" w:hAnsi="宋体" w:cs="宋体"/>
          <w:color w:val="auto"/>
        </w:rPr>
        <w:t>否则其相应合同包的响应文件将被否决。</w:t>
      </w:r>
    </w:p>
    <w:p>
      <w:pPr>
        <w:pStyle w:val="33"/>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9"/>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33"/>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33"/>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3"/>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33"/>
        <w:widowControl/>
        <w:spacing w:line="360" w:lineRule="auto"/>
        <w:rPr>
          <w:rFonts w:ascii="宋体" w:hAnsi="宋体"/>
          <w:color w:val="auto"/>
        </w:rPr>
      </w:pPr>
      <w:r>
        <w:rPr>
          <w:rStyle w:val="39"/>
          <w:rFonts w:ascii="宋体" w:hAnsi="宋体" w:cs="宋体"/>
          <w:color w:val="auto"/>
        </w:rPr>
        <w:t>8.</w:t>
      </w:r>
      <w:r>
        <w:rPr>
          <w:rStyle w:val="39"/>
          <w:rFonts w:hint="eastAsia" w:ascii="宋体" w:hAnsi="宋体" w:cs="宋体"/>
          <w:color w:val="auto"/>
        </w:rPr>
        <w:t>首次响应文件的组成：</w:t>
      </w:r>
    </w:p>
    <w:p>
      <w:pPr>
        <w:pStyle w:val="33"/>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33"/>
        <w:widowControl/>
        <w:spacing w:line="360" w:lineRule="auto"/>
        <w:rPr>
          <w:rFonts w:ascii="宋体" w:hAnsi="宋体"/>
          <w:color w:val="auto"/>
        </w:rPr>
      </w:pPr>
      <w:r>
        <w:rPr>
          <w:rStyle w:val="39"/>
          <w:rFonts w:ascii="宋体" w:hAnsi="宋体" w:cs="宋体"/>
          <w:color w:val="auto"/>
        </w:rPr>
        <w:t>9.</w:t>
      </w:r>
      <w:r>
        <w:rPr>
          <w:rStyle w:val="39"/>
          <w:rFonts w:hint="eastAsia" w:ascii="宋体" w:hAnsi="宋体" w:cs="宋体"/>
          <w:color w:val="auto"/>
        </w:rPr>
        <w:t>响应文件有效期：</w:t>
      </w:r>
    </w:p>
    <w:p>
      <w:pPr>
        <w:pStyle w:val="33"/>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9"/>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3"/>
        <w:widowControl/>
        <w:spacing w:line="360" w:lineRule="auto"/>
        <w:rPr>
          <w:rFonts w:ascii="宋体" w:hAnsi="宋体"/>
          <w:color w:val="auto"/>
        </w:rPr>
      </w:pPr>
      <w:r>
        <w:rPr>
          <w:rStyle w:val="39"/>
          <w:rFonts w:ascii="宋体" w:hAnsi="宋体" w:cs="宋体"/>
          <w:color w:val="auto"/>
        </w:rPr>
        <w:t>10.</w:t>
      </w:r>
      <w:r>
        <w:rPr>
          <w:rStyle w:val="39"/>
          <w:rFonts w:hint="eastAsia" w:ascii="宋体" w:hAnsi="宋体" w:cs="宋体"/>
          <w:color w:val="auto"/>
        </w:rPr>
        <w:t>谈判保证金：</w:t>
      </w:r>
    </w:p>
    <w:p>
      <w:pPr>
        <w:pStyle w:val="33"/>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33"/>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9"/>
          <w:rFonts w:hint="eastAsia" w:ascii="宋体" w:hAnsi="宋体" w:cs="宋体"/>
          <w:color w:val="auto"/>
        </w:rPr>
        <w:t>其响应文件将被否决。</w:t>
      </w:r>
    </w:p>
    <w:p>
      <w:pPr>
        <w:pStyle w:val="33"/>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pPr>
        <w:pStyle w:val="33"/>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pPr>
        <w:pStyle w:val="33"/>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3"/>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33"/>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33"/>
        <w:widowControl/>
        <w:spacing w:line="360" w:lineRule="auto"/>
        <w:rPr>
          <w:rFonts w:ascii="宋体" w:hAnsi="宋体"/>
          <w:color w:val="auto"/>
        </w:rPr>
      </w:pPr>
      <w:r>
        <w:rPr>
          <w:rStyle w:val="39"/>
          <w:rFonts w:ascii="宋体" w:hAnsi="宋体" w:cs="宋体"/>
          <w:color w:val="auto"/>
        </w:rPr>
        <w:t>11.</w:t>
      </w:r>
      <w:r>
        <w:rPr>
          <w:rStyle w:val="39"/>
          <w:rFonts w:hint="eastAsia" w:ascii="宋体" w:hAnsi="宋体" w:cs="宋体"/>
          <w:color w:val="auto"/>
        </w:rPr>
        <w:t>纸质响应文件基本编制要求：</w:t>
      </w:r>
    </w:p>
    <w:p>
      <w:pPr>
        <w:pStyle w:val="33"/>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33"/>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33"/>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33"/>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33"/>
        <w:widowControl/>
        <w:spacing w:line="360" w:lineRule="auto"/>
        <w:rPr>
          <w:rFonts w:ascii="宋体" w:hAnsi="宋体"/>
          <w:color w:val="auto"/>
        </w:rPr>
      </w:pPr>
      <w:r>
        <w:rPr>
          <w:rStyle w:val="39"/>
          <w:rFonts w:ascii="宋体" w:hAnsi="宋体" w:cs="宋体"/>
          <w:color w:val="auto"/>
        </w:rPr>
        <w:t>12.</w:t>
      </w:r>
      <w:r>
        <w:rPr>
          <w:rStyle w:val="39"/>
          <w:rFonts w:hint="eastAsia" w:ascii="宋体" w:hAnsi="宋体" w:cs="宋体"/>
          <w:color w:val="auto"/>
        </w:rPr>
        <w:t>纸质响应文件的密封、标识、签署和提交</w:t>
      </w:r>
    </w:p>
    <w:p>
      <w:pPr>
        <w:pStyle w:val="33"/>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3"/>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3"/>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3"/>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3"/>
        <w:widowControl/>
        <w:spacing w:line="360" w:lineRule="auto"/>
        <w:rPr>
          <w:rStyle w:val="39"/>
          <w:rFonts w:ascii="宋体" w:hAnsi="宋体" w:eastAsia="宋体" w:cs="宋体"/>
          <w:color w:val="auto"/>
          <w:sz w:val="32"/>
          <w:szCs w:val="32"/>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四、竞争性谈判</w:t>
      </w:r>
      <w:bookmarkEnd w:id="14"/>
    </w:p>
    <w:p>
      <w:pPr>
        <w:pStyle w:val="33"/>
        <w:widowControl/>
        <w:spacing w:line="360" w:lineRule="auto"/>
        <w:rPr>
          <w:rFonts w:ascii="宋体" w:hAnsi="宋体"/>
          <w:color w:val="auto"/>
        </w:rPr>
      </w:pPr>
      <w:r>
        <w:rPr>
          <w:rStyle w:val="39"/>
          <w:rFonts w:ascii="宋体" w:hAnsi="宋体" w:cs="宋体"/>
          <w:color w:val="auto"/>
        </w:rPr>
        <w:t>13.</w:t>
      </w:r>
      <w:r>
        <w:rPr>
          <w:rStyle w:val="39"/>
          <w:rFonts w:hint="eastAsia" w:ascii="宋体" w:hAnsi="宋体" w:cs="宋体"/>
          <w:color w:val="auto"/>
        </w:rPr>
        <w:t>评审和谈判基本准则</w:t>
      </w:r>
    </w:p>
    <w:p>
      <w:pPr>
        <w:pStyle w:val="33"/>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pPr>
        <w:pStyle w:val="33"/>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33"/>
        <w:widowControl/>
        <w:spacing w:line="360" w:lineRule="auto"/>
        <w:rPr>
          <w:rFonts w:ascii="宋体" w:hAnsi="宋体"/>
          <w:color w:val="auto"/>
        </w:rPr>
      </w:pPr>
      <w:r>
        <w:rPr>
          <w:rStyle w:val="39"/>
          <w:rFonts w:ascii="宋体" w:hAnsi="宋体" w:cs="宋体"/>
          <w:color w:val="auto"/>
        </w:rPr>
        <w:t>14.</w:t>
      </w:r>
      <w:r>
        <w:rPr>
          <w:rStyle w:val="39"/>
          <w:rFonts w:hint="eastAsia" w:ascii="宋体" w:hAnsi="宋体" w:cs="宋体"/>
          <w:color w:val="auto"/>
        </w:rPr>
        <w:t>谈判程序以及评定成交标准</w:t>
      </w:r>
    </w:p>
    <w:p>
      <w:pPr>
        <w:pStyle w:val="33"/>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33"/>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3"/>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33"/>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pPr>
        <w:pStyle w:val="33"/>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9"/>
          <w:rFonts w:ascii="宋体" w:hAnsi="宋体" w:cs="微软雅黑"/>
          <w:color w:val="auto"/>
        </w:rPr>
        <w:t>  </w:t>
      </w:r>
      <w:r>
        <w:rPr>
          <w:rStyle w:val="39"/>
          <w:rFonts w:hint="eastAsia" w:ascii="宋体" w:hAnsi="宋体" w:cs="微软雅黑"/>
          <w:color w:val="auto"/>
        </w:rPr>
        <w:t>无</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pPr>
        <w:pStyle w:val="33"/>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3"/>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33"/>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3"/>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3"/>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33"/>
        <w:widowControl/>
        <w:spacing w:line="360" w:lineRule="auto"/>
        <w:ind w:firstLine="480"/>
        <w:rPr>
          <w:rStyle w:val="39"/>
          <w:rFonts w:ascii="宋体" w:hAnsi="宋体" w:eastAsia="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五、合同授予</w:t>
      </w:r>
      <w:bookmarkEnd w:id="15"/>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15.</w:t>
      </w:r>
      <w:r>
        <w:rPr>
          <w:rStyle w:val="39"/>
          <w:rFonts w:hint="eastAsia" w:ascii="宋体" w:hAnsi="宋体" w:cs="宋体"/>
          <w:color w:val="auto"/>
        </w:rPr>
        <w:t>授予合同的准则：</w:t>
      </w:r>
    </w:p>
    <w:p>
      <w:pPr>
        <w:pStyle w:val="33"/>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pPr>
        <w:pStyle w:val="33"/>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3"/>
        <w:widowControl/>
        <w:spacing w:line="360" w:lineRule="auto"/>
        <w:ind w:firstLine="480"/>
        <w:rPr>
          <w:rStyle w:val="39"/>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33"/>
        <w:widowControl/>
        <w:spacing w:line="360" w:lineRule="auto"/>
        <w:rPr>
          <w:rFonts w:ascii="宋体" w:hAnsi="宋体"/>
          <w:color w:val="auto"/>
        </w:rPr>
      </w:pPr>
      <w:r>
        <w:rPr>
          <w:rStyle w:val="39"/>
          <w:rFonts w:ascii="宋体" w:hAnsi="宋体" w:cs="宋体"/>
          <w:color w:val="auto"/>
        </w:rPr>
        <w:t>16.</w:t>
      </w:r>
      <w:r>
        <w:rPr>
          <w:rStyle w:val="39"/>
          <w:rFonts w:hint="eastAsia" w:ascii="宋体" w:hAnsi="宋体" w:cs="宋体"/>
          <w:color w:val="auto"/>
        </w:rPr>
        <w:t>确定成交供应商：</w:t>
      </w:r>
    </w:p>
    <w:p>
      <w:pPr>
        <w:pStyle w:val="33"/>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33"/>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3"/>
        <w:widowControl/>
        <w:spacing w:line="360" w:lineRule="auto"/>
        <w:rPr>
          <w:rFonts w:ascii="宋体" w:hAnsi="宋体"/>
          <w:color w:val="auto"/>
        </w:rPr>
      </w:pPr>
      <w:r>
        <w:rPr>
          <w:rStyle w:val="39"/>
          <w:rFonts w:ascii="宋体" w:hAnsi="宋体" w:cs="宋体"/>
          <w:color w:val="auto"/>
        </w:rPr>
        <w:t>17.</w:t>
      </w:r>
      <w:r>
        <w:rPr>
          <w:rStyle w:val="39"/>
          <w:rFonts w:hint="eastAsia" w:ascii="宋体" w:hAnsi="宋体" w:cs="宋体"/>
          <w:color w:val="auto"/>
        </w:rPr>
        <w:t>成交通知</w:t>
      </w:r>
      <w:r>
        <w:rPr>
          <w:rStyle w:val="39"/>
          <w:rFonts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33"/>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3"/>
        <w:widowControl/>
        <w:spacing w:line="360" w:lineRule="auto"/>
        <w:rPr>
          <w:rFonts w:ascii="宋体" w:hAnsi="宋体"/>
          <w:color w:val="auto"/>
        </w:rPr>
      </w:pPr>
      <w:r>
        <w:rPr>
          <w:rStyle w:val="39"/>
          <w:rFonts w:ascii="宋体" w:hAnsi="宋体" w:cs="宋体"/>
          <w:color w:val="auto"/>
        </w:rPr>
        <w:t>18.</w:t>
      </w:r>
      <w:r>
        <w:rPr>
          <w:rStyle w:val="39"/>
          <w:rFonts w:hint="eastAsia" w:ascii="宋体" w:hAnsi="宋体" w:cs="宋体"/>
          <w:color w:val="auto"/>
        </w:rPr>
        <w:t>签订合同：</w:t>
      </w:r>
    </w:p>
    <w:p>
      <w:pPr>
        <w:pStyle w:val="33"/>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3"/>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33"/>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pPr>
        <w:pStyle w:val="74"/>
        <w:spacing w:before="0" w:after="0" w:line="360" w:lineRule="auto"/>
        <w:rPr>
          <w:rStyle w:val="39"/>
          <w:rFonts w:ascii="宋体" w:hAnsi="宋体" w:eastAsia="宋体" w:cs="宋体"/>
          <w:color w:val="auto"/>
          <w:sz w:val="32"/>
          <w:szCs w:val="32"/>
        </w:rPr>
      </w:pPr>
      <w:bookmarkStart w:id="16" w:name="_Toc511891593"/>
      <w:r>
        <w:rPr>
          <w:rStyle w:val="39"/>
          <w:rFonts w:hint="eastAsia" w:ascii="宋体" w:hAnsi="宋体" w:eastAsia="宋体" w:cs="宋体"/>
          <w:color w:val="auto"/>
          <w:sz w:val="32"/>
          <w:szCs w:val="32"/>
        </w:rPr>
        <w:t>六、询问、质疑与投诉</w:t>
      </w:r>
      <w:bookmarkEnd w:id="16"/>
    </w:p>
    <w:p>
      <w:pPr>
        <w:pStyle w:val="33"/>
        <w:widowControl/>
        <w:spacing w:line="360" w:lineRule="auto"/>
        <w:rPr>
          <w:rFonts w:ascii="宋体" w:hAnsi="宋体"/>
          <w:color w:val="auto"/>
        </w:rPr>
      </w:pPr>
      <w:r>
        <w:rPr>
          <w:rFonts w:ascii="宋体" w:hAnsi="宋体" w:cs="宋体"/>
          <w:color w:val="auto"/>
        </w:rPr>
        <w:t> </w:t>
      </w:r>
      <w:r>
        <w:rPr>
          <w:rStyle w:val="39"/>
          <w:rFonts w:ascii="宋体" w:hAnsi="宋体" w:cs="宋体"/>
          <w:color w:val="auto"/>
        </w:rPr>
        <w:t>19.</w:t>
      </w:r>
      <w:r>
        <w:rPr>
          <w:rStyle w:val="39"/>
          <w:rFonts w:hint="eastAsia" w:ascii="宋体" w:hAnsi="宋体" w:cs="宋体"/>
          <w:color w:val="auto"/>
        </w:rPr>
        <w:t>询问</w:t>
      </w:r>
    </w:p>
    <w:p>
      <w:pPr>
        <w:pStyle w:val="33"/>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33"/>
        <w:widowControl/>
        <w:spacing w:line="360" w:lineRule="auto"/>
        <w:rPr>
          <w:rFonts w:ascii="宋体" w:hAnsi="宋体"/>
          <w:color w:val="auto"/>
        </w:rPr>
      </w:pPr>
      <w:r>
        <w:rPr>
          <w:rStyle w:val="39"/>
          <w:rFonts w:ascii="宋体" w:hAnsi="宋体" w:cs="宋体"/>
          <w:color w:val="auto"/>
        </w:rPr>
        <w:t>20.</w:t>
      </w:r>
      <w:r>
        <w:rPr>
          <w:rStyle w:val="39"/>
          <w:rFonts w:hint="eastAsia" w:ascii="宋体" w:hAnsi="宋体" w:cs="宋体"/>
          <w:color w:val="auto"/>
        </w:rPr>
        <w:t>质疑</w:t>
      </w:r>
    </w:p>
    <w:p>
      <w:pPr>
        <w:pStyle w:val="33"/>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pPr>
        <w:pStyle w:val="33"/>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3"/>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pPr>
        <w:pStyle w:val="33"/>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pPr>
        <w:pStyle w:val="33"/>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pPr>
        <w:pStyle w:val="33"/>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pPr>
        <w:pStyle w:val="33"/>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3"/>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pPr>
        <w:pStyle w:val="33"/>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pPr>
        <w:pStyle w:val="33"/>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33"/>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33"/>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3"/>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33"/>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33"/>
        <w:widowControl/>
        <w:spacing w:line="360" w:lineRule="auto"/>
        <w:rPr>
          <w:rFonts w:ascii="宋体" w:hAnsi="宋体"/>
          <w:color w:val="auto"/>
        </w:rPr>
      </w:pPr>
      <w:r>
        <w:rPr>
          <w:rStyle w:val="39"/>
          <w:rFonts w:ascii="宋体" w:hAnsi="宋体" w:cs="宋体"/>
          <w:color w:val="auto"/>
        </w:rPr>
        <w:t>21.</w:t>
      </w:r>
      <w:r>
        <w:rPr>
          <w:rStyle w:val="39"/>
          <w:rFonts w:hint="eastAsia" w:ascii="宋体" w:hAnsi="宋体" w:cs="宋体"/>
          <w:color w:val="auto"/>
        </w:rPr>
        <w:t>投诉</w:t>
      </w:r>
    </w:p>
    <w:p>
      <w:pPr>
        <w:pStyle w:val="33"/>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33"/>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七、有关信息公告和监督部门</w:t>
      </w:r>
      <w:bookmarkEnd w:id="17"/>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22.</w:t>
      </w:r>
      <w:r>
        <w:rPr>
          <w:rStyle w:val="39"/>
          <w:rFonts w:hint="eastAsia" w:ascii="宋体" w:hAnsi="宋体" w:cs="宋体"/>
          <w:color w:val="auto"/>
        </w:rPr>
        <w:t>政府采购信息公告媒体</w:t>
      </w:r>
    </w:p>
    <w:p>
      <w:pPr>
        <w:pStyle w:val="33"/>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3"/>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33"/>
        <w:widowControl/>
        <w:spacing w:line="360" w:lineRule="auto"/>
        <w:rPr>
          <w:rFonts w:ascii="宋体" w:hAnsi="宋体"/>
          <w:color w:val="auto"/>
        </w:rPr>
      </w:pPr>
      <w:r>
        <w:rPr>
          <w:rStyle w:val="39"/>
          <w:rFonts w:ascii="宋体" w:hAnsi="宋体" w:cs="宋体"/>
          <w:color w:val="auto"/>
        </w:rPr>
        <w:t>23.</w:t>
      </w:r>
      <w:r>
        <w:rPr>
          <w:rStyle w:val="39"/>
          <w:rFonts w:hint="eastAsia" w:ascii="宋体" w:hAnsi="宋体" w:cs="宋体"/>
          <w:color w:val="auto"/>
        </w:rPr>
        <w:t>监督管理部门</w:t>
      </w:r>
    </w:p>
    <w:p>
      <w:pPr>
        <w:pStyle w:val="33"/>
        <w:widowControl/>
        <w:spacing w:line="360" w:lineRule="auto"/>
        <w:rPr>
          <w:rStyle w:val="39"/>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9"/>
          <w:rFonts w:ascii="宋体" w:hAnsi="宋体" w:cs="宋体"/>
          <w:color w:val="auto"/>
        </w:rPr>
        <w:t> </w:t>
      </w:r>
      <w:bookmarkStart w:id="18" w:name="_Toc511891595"/>
    </w:p>
    <w:p>
      <w:pPr>
        <w:pStyle w:val="74"/>
        <w:spacing w:before="0" w:after="0" w:line="360" w:lineRule="auto"/>
        <w:rPr>
          <w:rStyle w:val="39"/>
          <w:rFonts w:hint="eastAsia" w:ascii="宋体" w:hAnsi="宋体" w:eastAsia="宋体" w:cs="宋体"/>
          <w:color w:val="auto"/>
          <w:sz w:val="32"/>
          <w:szCs w:val="32"/>
        </w:rPr>
      </w:pPr>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八、根据采购项目特点或政策需要补充的其他内容</w:t>
      </w:r>
      <w:bookmarkEnd w:id="18"/>
    </w:p>
    <w:p>
      <w:pPr>
        <w:pStyle w:val="33"/>
        <w:widowControl/>
        <w:spacing w:line="360" w:lineRule="auto"/>
        <w:rPr>
          <w:rFonts w:ascii="宋体" w:hAnsi="宋体"/>
          <w:color w:val="auto"/>
        </w:rPr>
      </w:pPr>
      <w:r>
        <w:rPr>
          <w:rStyle w:val="39"/>
          <w:rFonts w:ascii="宋体" w:hAnsi="宋体" w:cs="宋体"/>
          <w:color w:val="auto"/>
        </w:rPr>
        <w:t>24.</w:t>
      </w:r>
      <w:r>
        <w:rPr>
          <w:rStyle w:val="39"/>
          <w:rFonts w:hint="eastAsia" w:ascii="宋体" w:hAnsi="宋体" w:cs="宋体"/>
          <w:color w:val="auto"/>
        </w:rPr>
        <w:t>履约保证金</w:t>
      </w:r>
    </w:p>
    <w:p>
      <w:pPr>
        <w:pStyle w:val="33"/>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33"/>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tabs>
          <w:tab w:val="left" w:pos="0"/>
          <w:tab w:val="left" w:pos="180"/>
        </w:tabs>
        <w:adjustRightInd w:val="0"/>
        <w:snapToGrid w:val="0"/>
        <w:spacing w:line="360" w:lineRule="auto"/>
        <w:jc w:val="left"/>
        <w:rPr>
          <w:rStyle w:val="39"/>
          <w:rFonts w:ascii="宋体" w:hAnsi="宋体" w:cs="宋体"/>
          <w:color w:val="auto"/>
          <w:kern w:val="0"/>
          <w:szCs w:val="22"/>
        </w:rPr>
      </w:pPr>
      <w:r>
        <w:rPr>
          <w:rStyle w:val="39"/>
          <w:rFonts w:hint="eastAsia" w:ascii="宋体" w:hAnsi="宋体" w:cs="宋体"/>
          <w:color w:val="auto"/>
          <w:kern w:val="0"/>
          <w:sz w:val="24"/>
        </w:rPr>
        <w:t>25.货款结算</w:t>
      </w:r>
    </w:p>
    <w:p>
      <w:pPr>
        <w:pStyle w:val="33"/>
        <w:widowControl/>
        <w:spacing w:line="360" w:lineRule="auto"/>
        <w:rPr>
          <w:rFonts w:ascii="宋体" w:hAnsi="宋体" w:cs="宋体"/>
          <w:color w:val="auto"/>
        </w:rPr>
      </w:pPr>
      <w:r>
        <w:rPr>
          <w:rFonts w:hint="eastAsia" w:ascii="宋体" w:hAnsi="宋体" w:cs="宋体"/>
          <w:color w:val="auto"/>
        </w:rPr>
        <w:t>25.1 以成交供应商的成交价为准。</w:t>
      </w:r>
    </w:p>
    <w:p>
      <w:pPr>
        <w:pStyle w:val="33"/>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pPr>
        <w:pStyle w:val="33"/>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pPr>
        <w:spacing w:line="360" w:lineRule="auto"/>
        <w:rPr>
          <w:rFonts w:ascii="宋体" w:hAnsi="宋体" w:cs="宋体"/>
          <w:b/>
          <w:color w:val="auto"/>
          <w:szCs w:val="20"/>
        </w:rPr>
      </w:pPr>
      <w:r>
        <w:rPr>
          <w:rStyle w:val="39"/>
          <w:rFonts w:hint="eastAsia" w:ascii="宋体" w:hAnsi="宋体" w:cs="宋体"/>
          <w:color w:val="auto"/>
          <w:kern w:val="0"/>
          <w:sz w:val="24"/>
        </w:rPr>
        <w:t>26.注意事项：</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pPr>
        <w:pStyle w:val="33"/>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7</w:t>
      </w:r>
      <w:r>
        <w:rPr>
          <w:rStyle w:val="39"/>
          <w:rFonts w:ascii="宋体" w:hAnsi="宋体" w:cs="宋体"/>
          <w:color w:val="auto"/>
        </w:rPr>
        <w:t>.</w:t>
      </w:r>
      <w:r>
        <w:rPr>
          <w:rStyle w:val="39"/>
          <w:rFonts w:hint="eastAsia" w:ascii="宋体" w:hAnsi="宋体" w:cs="宋体"/>
          <w:color w:val="auto"/>
        </w:rPr>
        <w:t>其他新增内容：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79"/>
        <w:rPr>
          <w:rStyle w:val="39"/>
          <w:rFonts w:ascii="宋体" w:hAnsi="宋体" w:eastAsia="宋体" w:cs="宋体"/>
          <w:color w:val="auto"/>
          <w:sz w:val="32"/>
          <w:szCs w:val="32"/>
        </w:rPr>
      </w:pPr>
      <w:bookmarkStart w:id="19" w:name="_Toc511891596"/>
    </w:p>
    <w:bookmarkEnd w:id="19"/>
    <w:p>
      <w:pPr>
        <w:pStyle w:val="79"/>
        <w:keepNext w:val="0"/>
        <w:keepLines w:val="0"/>
        <w:pageBreakBefore w:val="0"/>
        <w:kinsoku/>
        <w:wordWrap/>
        <w:overflowPunct/>
        <w:topLinePunct w:val="0"/>
        <w:bidi w:val="0"/>
        <w:snapToGrid/>
        <w:spacing w:before="0" w:after="0" w:line="360" w:lineRule="auto"/>
        <w:textAlignment w:val="auto"/>
        <w:rPr>
          <w:rStyle w:val="39"/>
          <w:rFonts w:ascii="宋体" w:hAnsi="宋体" w:eastAsia="宋体" w:cs="宋体"/>
          <w:color w:val="auto"/>
          <w:sz w:val="32"/>
          <w:szCs w:val="32"/>
        </w:rPr>
      </w:pPr>
      <w:bookmarkStart w:id="20" w:name="_Toc511891597"/>
      <w:r>
        <w:rPr>
          <w:rStyle w:val="39"/>
          <w:rFonts w:hint="eastAsia" w:ascii="宋体" w:hAnsi="宋体" w:eastAsia="宋体" w:cs="宋体"/>
          <w:color w:val="auto"/>
          <w:sz w:val="32"/>
          <w:szCs w:val="32"/>
        </w:rPr>
        <w:t>第三章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采购内容及要求</w:t>
      </w:r>
    </w:p>
    <w:p>
      <w:pPr>
        <w:pStyle w:val="48"/>
        <w:keepNext w:val="0"/>
        <w:keepLines w:val="0"/>
        <w:pageBreakBefore w:val="0"/>
        <w:kinsoku/>
        <w:wordWrap/>
        <w:overflowPunct/>
        <w:topLinePunct w:val="0"/>
        <w:bidi w:val="0"/>
        <w:snapToGrid/>
        <w:spacing w:line="360" w:lineRule="auto"/>
        <w:ind w:firstLine="241" w:firstLineChars="100"/>
        <w:textAlignment w:val="auto"/>
        <w:rPr>
          <w:rFonts w:ascii="宋体" w:hAnsi="宋体" w:cs="宋体"/>
          <w:b/>
          <w:color w:val="auto"/>
        </w:rPr>
      </w:pPr>
      <w:r>
        <w:rPr>
          <w:rFonts w:hint="eastAsia"/>
          <w:b/>
          <w:color w:val="auto"/>
        </w:rPr>
        <w:t>一、</w:t>
      </w:r>
      <w:r>
        <w:rPr>
          <w:rFonts w:hint="eastAsia" w:ascii="宋体" w:hAnsi="宋体" w:cs="宋体"/>
          <w:b/>
          <w:color w:val="auto"/>
        </w:rPr>
        <w:t>项目概况</w:t>
      </w:r>
    </w:p>
    <w:p>
      <w:pPr>
        <w:pStyle w:val="3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lang w:val="en-US" w:eastAsia="zh-CN"/>
        </w:rPr>
      </w:pPr>
      <w:r>
        <w:rPr>
          <w:rFonts w:hint="eastAsia" w:ascii="宋体" w:hAnsi="宋体" w:cs="宋体"/>
          <w:b w:val="0"/>
          <w:bCs/>
          <w:color w:val="auto"/>
          <w:lang w:val="en-US" w:eastAsia="zh-CN"/>
        </w:rPr>
        <w:t>本次教学设备的采购是建立在学院未来十年发展的基础上进行的设置，击剑设备的先进性在目前国内高校配备中明显提高，本项目立足学、训、赛、考结合，技术路线设计合理。计划配备的主要设备、购置数量可以提高体育学院现有教学、训练、比赛。</w:t>
      </w:r>
    </w:p>
    <w:p>
      <w:pPr>
        <w:pStyle w:val="3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lang w:val="en-US" w:eastAsia="zh-CN"/>
        </w:rPr>
      </w:pPr>
      <w:r>
        <w:rPr>
          <w:rFonts w:hint="eastAsia" w:ascii="宋体" w:hAnsi="宋体" w:cs="宋体"/>
          <w:b w:val="0"/>
          <w:bCs/>
          <w:color w:val="auto"/>
          <w:lang w:val="en-US" w:eastAsia="zh-CN"/>
        </w:rPr>
        <w:t>设备购置投入使用后，可有效改善全校师生在对于击剑运动的了解， 通过击剑运动的学习培养学生以高度注意力、和专项感知觉能力，还可以培养良好的情绪、敏捷的思维、坚强的意志其心理品质为以后的学习、生活打下良好的基础。</w:t>
      </w:r>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Cs/>
          <w:color w:val="auto"/>
        </w:rPr>
      </w:pPr>
      <w:r>
        <w:rPr>
          <w:rFonts w:hint="eastAsia" w:ascii="宋体" w:hAnsi="宋体" w:cs="宋体"/>
          <w:b/>
          <w:color w:val="auto"/>
        </w:rPr>
        <w:t>二</w:t>
      </w:r>
      <w:r>
        <w:rPr>
          <w:rFonts w:hint="eastAsia" w:ascii="宋体" w:hAnsi="宋体" w:cs="宋体"/>
          <w:b/>
          <w:color w:val="auto"/>
          <w:lang w:eastAsia="zh-CN"/>
        </w:rPr>
        <w:t>、</w:t>
      </w:r>
      <w:r>
        <w:rPr>
          <w:rFonts w:hint="eastAsia" w:ascii="宋体" w:hAnsi="宋体" w:cs="宋体"/>
          <w:b/>
          <w:color w:val="auto"/>
        </w:rPr>
        <w:t>基本技术参数及要求</w:t>
      </w:r>
    </w:p>
    <w:p>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cs="宋体"/>
          <w:b/>
          <w:bCs/>
          <w:color w:val="auto"/>
          <w:sz w:val="24"/>
        </w:rPr>
        <w:t>（一）技术参数</w:t>
      </w:r>
    </w:p>
    <w:tbl>
      <w:tblPr>
        <w:tblStyle w:val="36"/>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35"/>
        <w:gridCol w:w="7020"/>
        <w:gridCol w:w="714"/>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商品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参数及规格</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1-1</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花剑面罩</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5"/>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通过中国击剑协会认证，符合国际剑联标准。</w:t>
            </w:r>
          </w:p>
          <w:p>
            <w:pPr>
              <w:keepNext w:val="0"/>
              <w:keepLines w:val="0"/>
              <w:widowControl/>
              <w:numPr>
                <w:ilvl w:val="0"/>
                <w:numId w:val="5"/>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2、面罩由金属网制成，表面喷漆，网眼（金属丝之间的孔）≤2.1毫米，金属丝直径≥1毫米。</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3、护舌部分由白色帆布制成，内垫海绵；护舌内部两侧距金属导电层1厘米下方各有一个金属布夹片，尺寸：2厘米x1厘米（允许误差0.5厘米），用来连接花剑头夹线。</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sz w:val="24"/>
                <w:szCs w:val="24"/>
                <w:lang w:eastAsia="zh-Hans"/>
              </w:rPr>
            </w:pPr>
            <w:r>
              <w:rPr>
                <w:rStyle w:val="110"/>
                <w:rFonts w:hint="eastAsia" w:ascii="宋体" w:hAnsi="宋体" w:eastAsia="宋体" w:cs="宋体"/>
                <w:color w:val="auto"/>
                <w:sz w:val="24"/>
                <w:szCs w:val="24"/>
                <w:lang w:val="en-US" w:eastAsia="zh-CN" w:bidi="ar"/>
              </w:rPr>
              <w:t>保护服</w:t>
            </w:r>
            <w:r>
              <w:rPr>
                <w:rFonts w:hint="eastAsia" w:ascii="宋体" w:hAnsi="宋体" w:eastAsia="宋体" w:cs="宋体"/>
                <w:i w:val="0"/>
                <w:iCs w:val="0"/>
                <w:color w:val="auto"/>
                <w:kern w:val="0"/>
                <w:sz w:val="24"/>
                <w:szCs w:val="24"/>
                <w:u w:val="none"/>
                <w:lang w:val="en-US" w:eastAsia="zh-CN" w:bidi="ar"/>
              </w:rPr>
              <w:t>-</w:t>
            </w:r>
            <w:r>
              <w:rPr>
                <w:rStyle w:val="110"/>
                <w:rFonts w:hint="eastAsia" w:ascii="宋体" w:hAnsi="宋体" w:eastAsia="宋体" w:cs="宋体"/>
                <w:color w:val="auto"/>
                <w:sz w:val="24"/>
                <w:szCs w:val="24"/>
                <w:lang w:val="en-US" w:eastAsia="zh-CN" w:bidi="ar"/>
              </w:rPr>
              <w:t>上衣</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1、通过中国击剑协会认证，符合国际剑联标准。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2、主料：高分子聚乙烯纤维+强力化纤+尼龙丝</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辅料：YKK拉链、高强度尼龙织带。</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技术说明：符合CE2级标准，符合国际比赛标准，符合保护区域验证标准，符合人体工程学验证标，全弹性抗菌材料制作，吸湿排汗，全拉伸，排除异味，具有超透气功能。袖口有松紧带，上衣收腰，颈部有保护设计。</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件</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1-3</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sz w:val="24"/>
                <w:szCs w:val="24"/>
                <w:lang w:eastAsia="zh-Hans"/>
              </w:rPr>
            </w:pPr>
            <w:r>
              <w:rPr>
                <w:rStyle w:val="110"/>
                <w:rFonts w:hint="eastAsia" w:ascii="宋体" w:hAnsi="宋体" w:eastAsia="宋体" w:cs="宋体"/>
                <w:color w:val="auto"/>
                <w:sz w:val="24"/>
                <w:szCs w:val="24"/>
                <w:lang w:val="en-US" w:eastAsia="zh-CN" w:bidi="ar"/>
              </w:rPr>
              <w:t>保护服</w:t>
            </w:r>
            <w:r>
              <w:rPr>
                <w:rFonts w:hint="eastAsia" w:ascii="宋体" w:hAnsi="宋体" w:eastAsia="宋体" w:cs="宋体"/>
                <w:i w:val="0"/>
                <w:iCs w:val="0"/>
                <w:color w:val="auto"/>
                <w:kern w:val="0"/>
                <w:sz w:val="24"/>
                <w:szCs w:val="24"/>
                <w:u w:val="none"/>
                <w:lang w:val="en-US" w:eastAsia="zh-CN" w:bidi="ar"/>
              </w:rPr>
              <w:t>-</w:t>
            </w:r>
            <w:r>
              <w:rPr>
                <w:rStyle w:val="110"/>
                <w:rFonts w:hint="eastAsia" w:ascii="宋体" w:hAnsi="宋体" w:eastAsia="宋体" w:cs="宋体"/>
                <w:color w:val="auto"/>
                <w:sz w:val="24"/>
                <w:szCs w:val="24"/>
                <w:lang w:val="en-US" w:eastAsia="zh-CN" w:bidi="ar"/>
              </w:rPr>
              <w:t>裤子</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1、通过中国击剑协会认证，符合国际剑联标准。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2、主料：高分子聚乙烯纤维+强力化纤+尼龙丝</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辅料：YKK拉链、高强度尼龙织带。</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技术说明：符合CE2级标准，符合国际比赛标准，符合保护区域验证标准，符合人体工程学验证标，全弹性抗菌材料制作，吸湿排汗，全拉伸，排除异味，具有超透气功能。袖口有松紧带，上衣收腰，颈部有保护设计。</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件</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1-4</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sz w:val="24"/>
                <w:szCs w:val="24"/>
                <w:lang w:eastAsia="zh-Hans"/>
              </w:rPr>
            </w:pPr>
            <w:r>
              <w:rPr>
                <w:rStyle w:val="110"/>
                <w:rFonts w:hint="eastAsia" w:ascii="宋体" w:hAnsi="宋体" w:eastAsia="宋体" w:cs="宋体"/>
                <w:color w:val="auto"/>
                <w:sz w:val="24"/>
                <w:szCs w:val="24"/>
                <w:lang w:val="en-US" w:eastAsia="zh-CN" w:bidi="ar"/>
              </w:rPr>
              <w:t>保护服</w:t>
            </w:r>
            <w:r>
              <w:rPr>
                <w:rFonts w:hint="eastAsia" w:ascii="宋体" w:hAnsi="宋体" w:eastAsia="宋体" w:cs="宋体"/>
                <w:i w:val="0"/>
                <w:iCs w:val="0"/>
                <w:color w:val="auto"/>
                <w:kern w:val="0"/>
                <w:sz w:val="24"/>
                <w:szCs w:val="24"/>
                <w:u w:val="none"/>
                <w:lang w:val="en-US" w:eastAsia="zh-CN" w:bidi="ar"/>
              </w:rPr>
              <w:t>-</w:t>
            </w:r>
            <w:r>
              <w:rPr>
                <w:rStyle w:val="110"/>
                <w:rFonts w:hint="eastAsia" w:ascii="宋体" w:hAnsi="宋体" w:eastAsia="宋体" w:cs="宋体"/>
                <w:color w:val="auto"/>
                <w:sz w:val="24"/>
                <w:szCs w:val="24"/>
                <w:lang w:val="en-US" w:eastAsia="zh-CN" w:bidi="ar"/>
              </w:rPr>
              <w:t>背心</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1、通过中国击剑协会认证，符合国际剑联标准，抗压能力。</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2、主料：高分子聚乙烯纤维+强力化纤+尼龙丝</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辅料：YKK拉链、高强度尼龙织带。</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技术说明：符合CE2级标准，符合国际比赛标准，符合保护区域验证标准，符合人体工程学验证标，全弹性抗菌材料制作，吸湿排汗，全拉伸，排除异味，具有超透气功能。袖口有松紧带，上衣收腰，颈部有保护设计。</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件</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1-5</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sz w:val="24"/>
                <w:szCs w:val="24"/>
                <w:lang w:eastAsia="zh-Hans"/>
              </w:rPr>
            </w:pPr>
            <w:r>
              <w:rPr>
                <w:rFonts w:hint="eastAsia" w:ascii="宋体" w:hAnsi="宋体" w:eastAsia="宋体" w:cs="宋体"/>
                <w:i w:val="0"/>
                <w:iCs w:val="0"/>
                <w:color w:val="auto"/>
                <w:kern w:val="0"/>
                <w:sz w:val="24"/>
                <w:szCs w:val="24"/>
                <w:u w:val="none"/>
                <w:lang w:val="en-US" w:eastAsia="zh-CN" w:bidi="ar"/>
              </w:rPr>
              <w:t>花剑金属衣</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原材料名称： 1、超强导电金属面料。 2、拉链—YKK拉链。 3、结带—高强度腈纶结带。 </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性能： 1、导电性好，金属衣表面任何两 点电阻不大于5欧姆。重量轻，舒适性好。 3、抗氧化性强，使用寿命长。</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件</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1-6</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sz w:val="24"/>
                <w:szCs w:val="24"/>
                <w:lang w:eastAsia="zh-Hans"/>
              </w:rPr>
            </w:pPr>
            <w:r>
              <w:rPr>
                <w:rFonts w:hint="eastAsia" w:ascii="宋体" w:hAnsi="宋体" w:eastAsia="宋体" w:cs="宋体"/>
                <w:i w:val="0"/>
                <w:iCs w:val="0"/>
                <w:color w:val="auto"/>
                <w:kern w:val="0"/>
                <w:sz w:val="24"/>
                <w:szCs w:val="24"/>
                <w:u w:val="none"/>
                <w:lang w:val="en-US" w:eastAsia="zh-CN" w:bidi="ar"/>
              </w:rPr>
              <w:t>花剑电动剑</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1、符合中国击剑协会和国际剑联标准；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2、材质：优质弹簧钢；</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3、标准：总重量≤500 克；总长度≤110 厘米；剑身顶端弯曲度最小≥ 5.0 厘米，最大≤9.5 厘米。</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把</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1-7</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sz w:val="24"/>
                <w:szCs w:val="24"/>
                <w:lang w:eastAsia="zh-Hans"/>
              </w:rPr>
            </w:pPr>
            <w:r>
              <w:rPr>
                <w:rFonts w:hint="eastAsia" w:ascii="宋体" w:hAnsi="宋体" w:eastAsia="宋体" w:cs="宋体"/>
                <w:i w:val="0"/>
                <w:iCs w:val="0"/>
                <w:color w:val="auto"/>
                <w:kern w:val="0"/>
                <w:sz w:val="24"/>
                <w:szCs w:val="24"/>
                <w:u w:val="none"/>
                <w:lang w:val="en-US" w:eastAsia="zh-CN" w:bidi="ar"/>
              </w:rPr>
              <w:t>花剑剑条</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1、符合中国击剑协会和FIE国际剑联标准；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2、材料：优质弹簧钢；</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3、标准：总长度≤90厘米；截面呈四角形，棱边应不锋利，削棱斜面应呈45°±5°，每边0.5㎜±0.1㎜</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把</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1-8</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手线</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1、符合中国击剑协会和国际剑联要求。</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2、标准:主体透明色，电阻≤ 5 欧姆。一端连接口为三齿插头 ，另一端二齿插头+黄鱼夹。</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条</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1-9</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头线</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1、材料：加粗铜芯+PVC材质+电镀黄鱼夹。</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条</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1-10</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袜子</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1、材料：全棉</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2、性能：透气吸汗，弹性好</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双</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1-11</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FIE</w:t>
            </w:r>
            <w:r>
              <w:rPr>
                <w:rStyle w:val="110"/>
                <w:rFonts w:hint="eastAsia" w:ascii="宋体" w:hAnsi="宋体" w:eastAsia="宋体" w:cs="宋体"/>
                <w:color w:val="auto"/>
                <w:sz w:val="24"/>
                <w:szCs w:val="24"/>
                <w:lang w:val="en-US" w:eastAsia="zh-CN" w:bidi="ar"/>
              </w:rPr>
              <w:t>护胸</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Style w:val="75"/>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1</w:t>
            </w:r>
            <w:r>
              <w:rPr>
                <w:rStyle w:val="75"/>
                <w:rFonts w:hint="eastAsia" w:ascii="宋体" w:hAnsi="宋体" w:eastAsia="宋体" w:cs="宋体"/>
                <w:color w:val="auto"/>
                <w:sz w:val="24"/>
                <w:szCs w:val="24"/>
                <w:lang w:val="en-US" w:eastAsia="zh-CN" w:bidi="ar"/>
              </w:rPr>
              <w:t>、材质：</w:t>
            </w:r>
            <w:r>
              <w:rPr>
                <w:rFonts w:hint="eastAsia" w:ascii="宋体" w:hAnsi="宋体" w:eastAsia="宋体" w:cs="宋体"/>
                <w:i w:val="0"/>
                <w:iCs w:val="0"/>
                <w:color w:val="auto"/>
                <w:kern w:val="0"/>
                <w:sz w:val="24"/>
                <w:szCs w:val="24"/>
                <w:u w:val="none"/>
                <w:lang w:val="en-US" w:eastAsia="zh-CN" w:bidi="ar"/>
              </w:rPr>
              <w:t>ABS+EVA</w:t>
            </w:r>
            <w:r>
              <w:rPr>
                <w:rStyle w:val="75"/>
                <w:rFonts w:hint="eastAsia" w:ascii="宋体" w:hAnsi="宋体" w:eastAsia="宋体" w:cs="宋体"/>
                <w:color w:val="auto"/>
                <w:sz w:val="24"/>
                <w:szCs w:val="24"/>
                <w:lang w:val="en-US" w:eastAsia="zh-CN" w:bidi="ar"/>
              </w:rPr>
              <w:t>，通过</w:t>
            </w:r>
            <w:r>
              <w:rPr>
                <w:rFonts w:hint="eastAsia" w:ascii="宋体" w:hAnsi="宋体" w:eastAsia="宋体" w:cs="宋体"/>
                <w:i w:val="0"/>
                <w:iCs w:val="0"/>
                <w:color w:val="auto"/>
                <w:kern w:val="0"/>
                <w:sz w:val="24"/>
                <w:szCs w:val="24"/>
                <w:u w:val="none"/>
                <w:lang w:val="en-US" w:eastAsia="zh-CN" w:bidi="ar"/>
              </w:rPr>
              <w:t>FIE</w:t>
            </w:r>
            <w:r>
              <w:rPr>
                <w:rStyle w:val="75"/>
                <w:rFonts w:hint="eastAsia" w:ascii="宋体" w:hAnsi="宋体" w:eastAsia="宋体" w:cs="宋体"/>
                <w:color w:val="auto"/>
                <w:sz w:val="24"/>
                <w:szCs w:val="24"/>
                <w:lang w:val="en-US" w:eastAsia="zh-CN" w:bidi="ar"/>
              </w:rPr>
              <w:t>认证；</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r>
              <w:rPr>
                <w:rStyle w:val="75"/>
                <w:rFonts w:hint="eastAsia" w:ascii="宋体" w:hAnsi="宋体" w:eastAsia="宋体" w:cs="宋体"/>
                <w:color w:val="auto"/>
                <w:sz w:val="24"/>
                <w:szCs w:val="24"/>
                <w:lang w:val="en-US" w:eastAsia="zh-CN" w:bidi="ar"/>
              </w:rPr>
              <w:t>、功能：保护运动员胸部。</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1-12</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三用手套</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主料：棉+超纤，辅料：海绵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性能：柔软舒适，耐磨，牢固耐用，可清洗。</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双</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1-13</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击剑包</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1、材料：高级牛津布﹢钢架﹢尼龙轮。</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2、性能：美观大方，容量大，结实耐磨，使用寿命长。</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lang w:val="en-US" w:eastAsia="zh-CN" w:bidi="ar-SA"/>
              </w:rPr>
              <w:t>1-14</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教练无袖帆布</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1、材料：棉布+帆布</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2、功能：面料耐磨，训练专用。</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块</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lang w:val="en-US" w:eastAsia="zh-CN" w:bidi="ar-SA"/>
              </w:rPr>
              <w:t>1-15</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教练面罩</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护面是由金属网构成，表面黑色，其网眼（金属丝之间的孔）≤2.1毫米，金属丝直径为1毫米，网兜由金属织物或黑色帆布构成，内垫海绵，背面有松紧可调皮带。</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1-16</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方形墙靶</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木架+牛皮，训练专用。</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1-17</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Style w:val="110"/>
                <w:rFonts w:hint="eastAsia" w:ascii="宋体" w:hAnsi="宋体" w:eastAsia="宋体" w:cs="宋体"/>
                <w:color w:val="auto"/>
                <w:sz w:val="24"/>
                <w:szCs w:val="24"/>
                <w:lang w:val="en-US" w:eastAsia="zh-CN" w:bidi="ar"/>
              </w:rPr>
              <w:t>铝合金剑道</w:t>
            </w:r>
            <w:r>
              <w:rPr>
                <w:rFonts w:hint="eastAsia" w:ascii="宋体" w:hAnsi="宋体" w:eastAsia="宋体" w:cs="宋体"/>
                <w:i w:val="0"/>
                <w:iCs w:val="0"/>
                <w:color w:val="auto"/>
                <w:kern w:val="0"/>
                <w:sz w:val="24"/>
                <w:szCs w:val="24"/>
                <w:u w:val="none"/>
                <w:lang w:val="en-US" w:eastAsia="zh-CN" w:bidi="ar"/>
              </w:rPr>
              <w:t>14</w:t>
            </w:r>
            <w:r>
              <w:rPr>
                <w:rStyle w:val="110"/>
                <w:rFonts w:hint="eastAsia" w:ascii="宋体" w:hAnsi="宋体" w:eastAsia="宋体" w:cs="宋体"/>
                <w:color w:val="auto"/>
                <w:sz w:val="24"/>
                <w:szCs w:val="24"/>
                <w:lang w:val="en-US" w:eastAsia="zh-CN" w:bidi="ar"/>
              </w:rPr>
              <w:t>米</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1、符合中国击剑协会和国际剑联标准。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2、规格尺寸：长度14米，宽度1.5米，厚度16毫米。</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3、铝制剑道由1.5米*1米*14块铝板拼装而成，剑道表面经过特殊处理，阻力＜5Ω。</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4、开始线剑道板、警告区的剑道板、经过特殊导电氧化处理，颜色均为红色。</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条</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1-18</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裁判器</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通过国际剑联(FIE) 认证。</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性能：1、有线和无线控制，双方比分（增或减）、红黄牌、挑边、局数和时间设定及显示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2、运动员交换场地比分反转功能，与无线系统和计时计分系统匹配，并带所有比赛与视频连接功能。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3、RS232预留接口可与电视和大显示屏连接，可连接重复灯，适用于花、重、佩三个剑种使用。</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套</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1-19</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拖线盘一对</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1、规格尺寸：34cm×34cm×4.8cm。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2、符合中国击剑协会和国际剑联标准。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3、可与所有裁判器连接铝制壳；带3孔插头。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4、伸缩距离≥20 米；拖线接口电阻＜2Ω。</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套</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bl>
    <w:p>
      <w:pPr>
        <w:pStyle w:val="4"/>
        <w:spacing w:before="0"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备注：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.以上货物涉及到的尺寸允许±1%。</w:t>
      </w:r>
    </w:p>
    <w:p>
      <w:pPr>
        <w:pStyle w:val="4"/>
        <w:spacing w:before="0" w:after="0" w:line="360" w:lineRule="auto"/>
        <w:ind w:firstLine="723" w:firstLineChars="3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 xml:space="preserve">.本项目核心产品是：花剑金属衣、铝合金剑道14米、裁判器。 </w:t>
      </w:r>
    </w:p>
    <w:p>
      <w:pPr>
        <w:pStyle w:val="4"/>
        <w:spacing w:before="0" w:after="0" w:line="360" w:lineRule="auto"/>
        <w:jc w:val="left"/>
        <w:rPr>
          <w:rFonts w:hint="eastAsia" w:ascii="宋体" w:hAnsi="宋体" w:eastAsia="宋体" w:cs="宋体"/>
          <w:color w:val="auto"/>
          <w:sz w:val="24"/>
          <w:szCs w:val="24"/>
          <w:lang w:eastAsia="zh-CN"/>
        </w:rPr>
      </w:pPr>
    </w:p>
    <w:p>
      <w:pPr>
        <w:pStyle w:val="4"/>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（二）售后服务要求</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1.投标人对提供的货物或服务，因产品及服务质量、或知识产权纠纷等问题，必须提供保修、包换、包退等服务。</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2.货物安装调试合格后，投标人负责对采购人技术人员进行免费现场培训，培训内容包括系统的功能、原理、使用与维护等，培训日程视实际情况另定。</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6.履行所承诺的其他服务条款。</w:t>
      </w:r>
    </w:p>
    <w:p>
      <w:pPr>
        <w:pStyle w:val="4"/>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（三）验收要求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1.项目具备验收条件后，投标人应向采购人提出验收请求并提供完整的项目交接资料及交接报告。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3.投标人在接到采购人的修改意见后，应在10天内（当事人另行商定的时间除外）负责处理，否则，即视为默认采购人提出的异议和处理意见。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4.验收标准：招标文件和合同规定的技术要求、规格质量及其它要求，生产厂家的产品说明书、合格证书及技术资料等；国家现行规范；当地监督管理部门要求的安全规范以及采购文件的规定。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验收小组：需3人以上（含3人）单数。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6.验收程序：货物验收分出厂检验、货到初步验收、安装调试验收三阶段：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widowControl/>
        <w:spacing w:line="360" w:lineRule="auto"/>
        <w:jc w:val="left"/>
        <w:rPr>
          <w:rFonts w:hint="eastAsia" w:ascii="宋体" w:hAnsi="宋体" w:cs="宋体"/>
          <w:b/>
          <w:color w:val="auto"/>
          <w:kern w:val="0"/>
          <w:sz w:val="24"/>
        </w:rPr>
      </w:pPr>
      <w:r>
        <w:rPr>
          <w:rFonts w:hint="eastAsia" w:ascii="宋体" w:hAnsi="宋体" w:cs="宋体"/>
          <w:b/>
          <w:color w:val="auto"/>
          <w:kern w:val="0"/>
          <w:sz w:val="24"/>
        </w:rPr>
        <w:t>备注：以上招标内容及要求为基本要求，投标供应商须全部满足，否则不得推荐为成交候选人。</w:t>
      </w:r>
    </w:p>
    <w:p>
      <w:pPr>
        <w:pStyle w:val="14"/>
        <w:ind w:left="0" w:leftChars="0" w:firstLine="0" w:firstLineChars="0"/>
        <w:rPr>
          <w:color w:val="auto"/>
        </w:rPr>
      </w:pPr>
    </w:p>
    <w:p>
      <w:pPr>
        <w:widowControl/>
        <w:spacing w:line="360" w:lineRule="auto"/>
        <w:jc w:val="lef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商务条件</w:t>
      </w:r>
    </w:p>
    <w:p>
      <w:pPr>
        <w:pStyle w:val="33"/>
        <w:widowControl/>
        <w:spacing w:before="60" w:after="60" w:line="360" w:lineRule="auto"/>
        <w:rPr>
          <w:rFonts w:ascii="宋体" w:hAnsi="宋体" w:cs="宋体"/>
          <w:color w:val="auto"/>
        </w:rPr>
      </w:pPr>
      <w:r>
        <w:rPr>
          <w:rFonts w:hint="eastAsia" w:ascii="宋体" w:hAnsi="宋体" w:cs="宋体"/>
          <w:color w:val="auto"/>
        </w:rPr>
        <w:t xml:space="preserve">1、交付地点：采购人指定地点。 </w:t>
      </w:r>
    </w:p>
    <w:p>
      <w:pPr>
        <w:pStyle w:val="33"/>
        <w:widowControl/>
        <w:spacing w:before="60" w:after="60" w:line="360" w:lineRule="auto"/>
        <w:rPr>
          <w:rFonts w:ascii="宋体" w:hAnsi="宋体" w:cs="宋体"/>
          <w:color w:val="auto"/>
        </w:rPr>
      </w:pPr>
      <w:r>
        <w:rPr>
          <w:rFonts w:hint="eastAsia" w:ascii="宋体" w:hAnsi="宋体" w:cs="宋体"/>
          <w:color w:val="auto"/>
        </w:rPr>
        <w:t>2、交付时间：签订合同</w:t>
      </w:r>
      <w:r>
        <w:rPr>
          <w:rFonts w:hint="eastAsia" w:ascii="宋体" w:hAnsi="宋体" w:cs="宋体"/>
          <w:color w:val="auto"/>
          <w:lang w:val="en-US" w:eastAsia="zh-CN"/>
        </w:rPr>
        <w:t>50</w:t>
      </w:r>
      <w:r>
        <w:rPr>
          <w:rFonts w:hint="eastAsia" w:ascii="宋体" w:hAnsi="宋体" w:cs="宋体"/>
          <w:color w:val="auto"/>
        </w:rPr>
        <w:t xml:space="preserve">天内完成安装及调试。 </w:t>
      </w:r>
    </w:p>
    <w:p>
      <w:pPr>
        <w:pStyle w:val="33"/>
        <w:widowControl/>
        <w:spacing w:before="60" w:after="60" w:line="360" w:lineRule="auto"/>
        <w:rPr>
          <w:rFonts w:ascii="宋体" w:hAnsi="宋体" w:cs="宋体"/>
          <w:color w:val="auto"/>
        </w:rPr>
      </w:pPr>
      <w:r>
        <w:rPr>
          <w:rFonts w:hint="eastAsia" w:ascii="宋体" w:hAnsi="宋体" w:cs="宋体"/>
          <w:color w:val="auto"/>
        </w:rPr>
        <w:t>3、交付条件：</w:t>
      </w:r>
      <w:r>
        <w:rPr>
          <w:rFonts w:hint="eastAsia" w:ascii="宋体" w:hAnsi="宋体" w:cs="宋体"/>
          <w:color w:val="auto"/>
          <w:shd w:val="clear" w:color="auto" w:fill="FFFFFF"/>
        </w:rPr>
        <w:t>符合国家标准和采购文件要求，经采购单位验收合格</w:t>
      </w:r>
      <w:r>
        <w:rPr>
          <w:rFonts w:hint="eastAsia" w:ascii="宋体" w:hAnsi="宋体" w:cs="宋体"/>
          <w:color w:val="auto"/>
        </w:rPr>
        <w:t>。</w:t>
      </w:r>
    </w:p>
    <w:p>
      <w:pPr>
        <w:pStyle w:val="48"/>
        <w:keepNext w:val="0"/>
        <w:keepLines w:val="0"/>
        <w:pageBreakBefore w:val="0"/>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4、是否收取履约保证金：是。履约保证金百分比：2%。说明：</w:t>
      </w:r>
      <w:r>
        <w:rPr>
          <w:rFonts w:hint="eastAsia" w:ascii="宋体" w:hAnsi="宋体" w:cs="宋体"/>
          <w:color w:val="auto"/>
          <w:lang w:val="en-US" w:eastAsia="zh-CN"/>
        </w:rPr>
        <w:t>成交供应商在签订合同前，应向采购人缴纳合同总金额2%的履约保证金，该保证金在成交供应商供应的货物全部验收合格、合同约定事项全部履行完毕且无未了事项后，30日内一次性无息退还。</w:t>
      </w:r>
      <w:r>
        <w:rPr>
          <w:rFonts w:hint="eastAsia" w:ascii="宋体" w:hAnsi="宋体"/>
          <w:bCs/>
          <w:color w:val="auto"/>
          <w:lang w:val="en-US" w:eastAsia="zh-CN"/>
        </w:rPr>
        <w:t>履约保证金以支票、汇票、本票或者金融机构、担保机构出具的保函等非现金形式向采购人缴交。</w:t>
      </w:r>
    </w:p>
    <w:p>
      <w:pPr>
        <w:pStyle w:val="33"/>
        <w:keepNext w:val="0"/>
        <w:keepLines w:val="0"/>
        <w:pageBreakBefore w:val="0"/>
        <w:widowControl/>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5、是否邀请投标人参与验收：否。</w:t>
      </w:r>
    </w:p>
    <w:p>
      <w:pPr>
        <w:pStyle w:val="33"/>
        <w:keepNext w:val="0"/>
        <w:keepLines w:val="0"/>
        <w:pageBreakBefore w:val="0"/>
        <w:widowControl/>
        <w:kinsoku/>
        <w:wordWrap/>
        <w:overflowPunct/>
        <w:topLinePunct w:val="0"/>
        <w:bidi w:val="0"/>
        <w:snapToGrid/>
        <w:spacing w:line="360" w:lineRule="auto"/>
        <w:textAlignment w:val="auto"/>
        <w:rPr>
          <w:color w:val="auto"/>
        </w:rPr>
      </w:pPr>
      <w:r>
        <w:rPr>
          <w:rFonts w:hint="eastAsia" w:ascii="宋体" w:hAnsi="宋体" w:cs="宋体"/>
          <w:color w:val="auto"/>
        </w:rPr>
        <w:t xml:space="preserve">6、验收方式数据表格 </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39"/>
        <w:gridCol w:w="7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kern w:val="0"/>
                <w:sz w:val="24"/>
              </w:rPr>
            </w:pPr>
            <w:r>
              <w:rPr>
                <w:rFonts w:hint="eastAsia" w:ascii="宋体" w:hAnsi="宋体" w:cs="微软雅黑"/>
                <w:color w:val="auto"/>
                <w:kern w:val="0"/>
                <w:sz w:val="24"/>
              </w:rPr>
              <w:t>按采购文件要求及国家行业标准验收合格。</w:t>
            </w:r>
          </w:p>
        </w:tc>
      </w:tr>
    </w:tbl>
    <w:p>
      <w:pPr>
        <w:widowControl/>
        <w:spacing w:line="360" w:lineRule="auto"/>
        <w:jc w:val="left"/>
        <w:rPr>
          <w:rFonts w:ascii="宋体" w:hAnsi="宋体"/>
          <w:color w:val="auto"/>
          <w:sz w:val="24"/>
        </w:rPr>
      </w:pPr>
      <w:r>
        <w:rPr>
          <w:rFonts w:ascii="宋体" w:hAnsi="宋体" w:cs="微软雅黑"/>
          <w:color w:val="auto"/>
          <w:kern w:val="0"/>
          <w:sz w:val="24"/>
        </w:rPr>
        <w:t xml:space="preserve">7、支付方式数据表格 </w:t>
      </w:r>
    </w:p>
    <w:tbl>
      <w:tblPr>
        <w:tblStyle w:val="36"/>
        <w:tblW w:w="93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44"/>
        <w:gridCol w:w="1561"/>
        <w:gridCol w:w="6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支付比例</w:t>
            </w:r>
            <w:r>
              <w:rPr>
                <w:rFonts w:ascii="宋体" w:hAnsi="宋体" w:cs="微软雅黑"/>
                <w:color w:val="auto"/>
                <w:kern w:val="0"/>
                <w:sz w:val="24"/>
              </w:rPr>
              <w:t>(%)</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19" w:hRule="atLeast"/>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100</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t>1.所有货款均由泉州师范学院支付；</w:t>
            </w:r>
          </w:p>
          <w:p>
            <w:pPr>
              <w:widowControl/>
              <w:spacing w:line="360" w:lineRule="auto"/>
              <w:jc w:val="left"/>
              <w:textAlignment w:val="top"/>
              <w:rPr>
                <w:rFonts w:ascii="宋体" w:hAnsi="宋体" w:cs="宋体"/>
                <w:color w:val="auto"/>
                <w:kern w:val="0"/>
                <w:sz w:val="24"/>
              </w:rPr>
            </w:pPr>
            <w:r>
              <w:rPr>
                <w:rFonts w:hint="eastAsia" w:ascii="宋体" w:hAnsi="宋体" w:cs="宋体"/>
                <w:color w:val="auto"/>
                <w:kern w:val="0"/>
                <w:sz w:val="24"/>
              </w:rPr>
              <w:t>2.支付货款时应提供的资料：《泉州师范学院物资采购申请表》、成交通知书、采购验收单及合同的原件，正式的完税税务发票复印件（均应加盖财务专用章）和政府采购计划表（政府采购系统上打印）。</w:t>
            </w:r>
          </w:p>
          <w:p>
            <w:pPr>
              <w:pStyle w:val="48"/>
              <w:numPr>
                <w:ilvl w:val="0"/>
                <w:numId w:val="0"/>
              </w:numPr>
              <w:spacing w:line="360" w:lineRule="auto"/>
              <w:rPr>
                <w:rFonts w:ascii="宋体" w:hAnsi="宋体" w:cs="宋体"/>
                <w:color w:val="auto"/>
                <w:kern w:val="0"/>
                <w:sz w:val="24"/>
              </w:rPr>
            </w:pPr>
            <w:r>
              <w:rPr>
                <w:rFonts w:hint="eastAsia" w:ascii="宋体" w:hAnsi="宋体" w:cs="宋体"/>
                <w:color w:val="auto"/>
                <w:kern w:val="0"/>
                <w:sz w:val="24"/>
              </w:rPr>
              <w:t>3.付款：</w:t>
            </w:r>
            <w:r>
              <w:rPr>
                <w:rFonts w:hint="eastAsia" w:ascii="宋体" w:hAnsi="宋体" w:cs="宋体"/>
                <w:color w:val="auto"/>
                <w:kern w:val="0"/>
                <w:sz w:val="24"/>
              </w:rPr>
              <w:t>在合同签订后，中标供应商提交银行出具的预付款保函或启用</w:t>
            </w:r>
            <w:r>
              <w:rPr>
                <w:rFonts w:hint="eastAsia" w:ascii="宋体" w:hAnsi="宋体" w:cs="宋体"/>
                <w:color w:val="auto"/>
                <w:kern w:val="0"/>
                <w:sz w:val="24"/>
                <w:lang w:eastAsia="zh-CN"/>
              </w:rPr>
              <w:t>采购人</w:t>
            </w:r>
            <w:r>
              <w:rPr>
                <w:rFonts w:hint="eastAsia" w:ascii="宋体" w:hAnsi="宋体" w:cs="宋体"/>
                <w:color w:val="auto"/>
                <w:kern w:val="0"/>
                <w:sz w:val="24"/>
              </w:rPr>
              <w:t>指定银行的三方共管账户后，</w:t>
            </w:r>
            <w:r>
              <w:rPr>
                <w:rFonts w:hint="eastAsia" w:ascii="宋体" w:hAnsi="宋体" w:cs="宋体"/>
                <w:color w:val="auto"/>
                <w:kern w:val="0"/>
                <w:sz w:val="24"/>
                <w:lang w:eastAsia="zh-CN"/>
              </w:rPr>
              <w:t>采购人</w:t>
            </w:r>
            <w:r>
              <w:rPr>
                <w:rFonts w:hint="eastAsia" w:ascii="宋体" w:hAnsi="宋体" w:cs="宋体"/>
                <w:color w:val="auto"/>
                <w:kern w:val="0"/>
                <w:sz w:val="24"/>
              </w:rPr>
              <w:t>支付合同总价100%的预付款。预付款保函的有效期需在采购项目验收合格日期之后；启用</w:t>
            </w:r>
            <w:r>
              <w:rPr>
                <w:rFonts w:hint="eastAsia" w:ascii="宋体" w:hAnsi="宋体" w:cs="宋体"/>
                <w:color w:val="auto"/>
                <w:kern w:val="0"/>
                <w:sz w:val="24"/>
                <w:lang w:eastAsia="zh-CN"/>
              </w:rPr>
              <w:t>采购人</w:t>
            </w:r>
            <w:r>
              <w:rPr>
                <w:rFonts w:hint="eastAsia" w:ascii="宋体" w:hAnsi="宋体" w:cs="宋体"/>
                <w:color w:val="auto"/>
                <w:kern w:val="0"/>
                <w:sz w:val="24"/>
              </w:rPr>
              <w:t>指定银行的三方共管账户，采购项目经验收合格后，中标供应商从三方共管账户支取款项。</w:t>
            </w:r>
          </w:p>
          <w:p>
            <w:pPr>
              <w:widowControl/>
              <w:spacing w:line="360" w:lineRule="auto"/>
              <w:jc w:val="left"/>
              <w:textAlignment w:val="top"/>
              <w:rPr>
                <w:rFonts w:ascii="宋体" w:hAnsi="宋体" w:cs="宋体"/>
                <w:color w:val="auto"/>
              </w:rPr>
            </w:pPr>
            <w:r>
              <w:rPr>
                <w:rFonts w:hint="eastAsia" w:ascii="宋体" w:hAnsi="宋体" w:cs="宋体"/>
                <w:color w:val="auto"/>
                <w:kern w:val="0"/>
                <w:sz w:val="24"/>
              </w:rPr>
              <w:t>4.投标人、收款单位、购货票证开票单位三者应一致，投标人收款帐号应为中国人民银行批准的基本帐户。</w:t>
            </w:r>
          </w:p>
        </w:tc>
      </w:tr>
    </w:tbl>
    <w:p>
      <w:pPr>
        <w:pStyle w:val="33"/>
        <w:widowControl/>
        <w:spacing w:line="360" w:lineRule="auto"/>
        <w:rPr>
          <w:rFonts w:ascii="宋体" w:hAnsi="宋体" w:cs="宋体"/>
          <w:color w:val="auto"/>
        </w:rPr>
      </w:pPr>
      <w:r>
        <w:rPr>
          <w:rStyle w:val="39"/>
          <w:rFonts w:hint="eastAsia" w:ascii="宋体" w:hAnsi="宋体" w:cs="宋体"/>
          <w:bCs/>
          <w:color w:val="auto"/>
        </w:rPr>
        <w:t>8、其他商务要求：</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kern w:val="0"/>
          <w:sz w:val="24"/>
          <w:lang w:eastAsia="zh-CN"/>
        </w:rPr>
        <w:t>投标人</w:t>
      </w:r>
      <w:r>
        <w:rPr>
          <w:rFonts w:hint="eastAsia" w:ascii="宋体" w:hAnsi="宋体" w:cs="宋体"/>
          <w:color w:val="auto"/>
          <w:kern w:val="0"/>
          <w:sz w:val="24"/>
        </w:rPr>
        <w:t>不得虚报各项技术指标，中标产品若不能符合技术要求，采购人有权解除合同，并向政府采购管理部门通报，因此给采购人造成的一切损失，由</w:t>
      </w:r>
      <w:r>
        <w:rPr>
          <w:rFonts w:hint="eastAsia" w:ascii="宋体" w:hAnsi="宋体" w:cs="宋体"/>
          <w:color w:val="auto"/>
          <w:kern w:val="0"/>
          <w:sz w:val="24"/>
          <w:lang w:eastAsia="zh-CN"/>
        </w:rPr>
        <w:t>投标人</w:t>
      </w:r>
      <w:r>
        <w:rPr>
          <w:rFonts w:hint="eastAsia" w:ascii="宋体" w:hAnsi="宋体" w:cs="宋体"/>
          <w:color w:val="auto"/>
          <w:kern w:val="0"/>
          <w:sz w:val="24"/>
        </w:rPr>
        <w:t>承担。</w:t>
      </w:r>
    </w:p>
    <w:p>
      <w:pPr>
        <w:pStyle w:val="48"/>
        <w:spacing w:line="360" w:lineRule="auto"/>
        <w:ind w:firstLine="480" w:firstLineChars="200"/>
        <w:rPr>
          <w:rFonts w:ascii="宋体" w:hAnsi="宋体" w:cs="宋体"/>
          <w:color w:val="auto"/>
        </w:rPr>
      </w:pPr>
      <w:r>
        <w:rPr>
          <w:rFonts w:hint="eastAsia" w:ascii="宋体" w:hAnsi="宋体" w:cs="宋体"/>
          <w:color w:val="auto"/>
        </w:rPr>
        <w:t>（二）培训：</w:t>
      </w:r>
      <w:r>
        <w:rPr>
          <w:rFonts w:hint="eastAsia" w:ascii="宋体" w:hAnsi="宋体" w:cs="宋体"/>
          <w:color w:val="auto"/>
          <w:lang w:eastAsia="zh-CN"/>
        </w:rPr>
        <w:t>投标人</w:t>
      </w:r>
      <w:r>
        <w:rPr>
          <w:rFonts w:hint="eastAsia" w:ascii="宋体" w:hAnsi="宋体" w:cs="宋体"/>
          <w:color w:val="auto"/>
        </w:rPr>
        <w:t>应结合本次采购的货物，有计划地对采购人派出管理、维护及使用人员进行安装现场的基本知识、使用、维护与保养技术的培训。</w:t>
      </w:r>
    </w:p>
    <w:p>
      <w:pPr>
        <w:pStyle w:val="33"/>
        <w:widowControl/>
        <w:spacing w:line="360" w:lineRule="auto"/>
        <w:rPr>
          <w:rFonts w:ascii="宋体" w:hAnsi="宋体" w:cs="宋体"/>
          <w:color w:val="auto"/>
        </w:rPr>
      </w:pPr>
      <w:r>
        <w:rPr>
          <w:rStyle w:val="39"/>
          <w:rFonts w:hint="eastAsia" w:ascii="宋体" w:hAnsi="宋体" w:cs="宋体"/>
          <w:bCs/>
          <w:color w:val="auto"/>
        </w:rPr>
        <w:t>9、报价要求</w:t>
      </w:r>
    </w:p>
    <w:p>
      <w:pPr>
        <w:pStyle w:val="33"/>
        <w:widowControl/>
        <w:spacing w:line="360" w:lineRule="auto"/>
        <w:ind w:firstLine="384"/>
        <w:rPr>
          <w:rFonts w:ascii="宋体" w:hAnsi="宋体" w:cs="宋体"/>
          <w:color w:val="auto"/>
        </w:rPr>
      </w:pPr>
      <w:r>
        <w:rPr>
          <w:rFonts w:hint="eastAsia" w:ascii="宋体" w:hAnsi="宋体" w:cs="宋体"/>
          <w:color w:val="auto"/>
        </w:rPr>
        <w:t>9.1、根据谈判内容及要求，作出合理报价</w:t>
      </w:r>
      <w:r>
        <w:rPr>
          <w:rFonts w:hint="eastAsia" w:ascii="宋体" w:hAnsi="宋体" w:cs="宋体"/>
          <w:color w:val="auto"/>
          <w:lang w:eastAsia="zh-CN"/>
        </w:rPr>
        <w:t>（总价和分项报价）</w:t>
      </w:r>
      <w:r>
        <w:rPr>
          <w:rFonts w:hint="eastAsia" w:ascii="宋体" w:hAnsi="宋体" w:cs="宋体"/>
          <w:color w:val="auto"/>
        </w:rPr>
        <w:t>。</w:t>
      </w:r>
    </w:p>
    <w:p>
      <w:pPr>
        <w:pStyle w:val="33"/>
        <w:widowControl/>
        <w:spacing w:line="360" w:lineRule="auto"/>
        <w:ind w:firstLine="384"/>
        <w:rPr>
          <w:rFonts w:ascii="宋体" w:hAnsi="宋体" w:cs="宋体"/>
          <w:color w:val="auto"/>
        </w:rPr>
      </w:pPr>
      <w:r>
        <w:rPr>
          <w:rFonts w:hint="eastAsia" w:ascii="宋体" w:hAnsi="宋体" w:cs="宋体"/>
          <w:color w:val="auto"/>
        </w:rPr>
        <w:t>9.2、各供应商报价时应综合考虑日后属政策调整、各种材料市场价格浮动等因素造成的价格变动，上述价格变动不予调整合同金额。</w:t>
      </w:r>
    </w:p>
    <w:p>
      <w:pPr>
        <w:pStyle w:val="33"/>
        <w:widowControl/>
        <w:spacing w:line="360" w:lineRule="auto"/>
        <w:ind w:firstLine="384"/>
        <w:rPr>
          <w:rFonts w:ascii="宋体" w:hAnsi="宋体" w:cs="宋体"/>
          <w:color w:val="auto"/>
        </w:rPr>
      </w:pPr>
      <w:r>
        <w:rPr>
          <w:rFonts w:hint="eastAsia" w:ascii="宋体" w:hAnsi="宋体" w:cs="宋体"/>
          <w:color w:val="auto"/>
        </w:rPr>
        <w:t>9.3、填写响应价格时应注意下列要求：</w:t>
      </w:r>
    </w:p>
    <w:p>
      <w:pPr>
        <w:pStyle w:val="33"/>
        <w:widowControl/>
        <w:spacing w:line="360" w:lineRule="auto"/>
        <w:ind w:firstLine="384"/>
        <w:rPr>
          <w:rFonts w:ascii="宋体" w:hAnsi="宋体" w:cs="宋体"/>
          <w:color w:val="auto"/>
        </w:rPr>
      </w:pPr>
      <w:r>
        <w:rPr>
          <w:rFonts w:hint="eastAsia" w:ascii="宋体" w:hAnsi="宋体" w:cs="宋体"/>
          <w:color w:val="auto"/>
        </w:rPr>
        <w:t>9.3.1供应商对本项目只能提供唯一方案、唯一报价，采购人不接受任何有选择性的报价。</w:t>
      </w:r>
    </w:p>
    <w:p>
      <w:pPr>
        <w:pStyle w:val="33"/>
        <w:widowControl/>
        <w:spacing w:line="360" w:lineRule="auto"/>
        <w:ind w:firstLine="384"/>
        <w:rPr>
          <w:rFonts w:ascii="宋体" w:hAnsi="宋体" w:cs="宋体"/>
          <w:color w:val="auto"/>
        </w:rPr>
      </w:pPr>
      <w:r>
        <w:rPr>
          <w:rFonts w:hint="eastAsia" w:ascii="宋体" w:hAnsi="宋体" w:cs="宋体"/>
          <w:color w:val="auto"/>
        </w:rPr>
        <w:t>9.3.2供应商提供的投标价格单位为人民币元。</w:t>
      </w:r>
    </w:p>
    <w:p>
      <w:pPr>
        <w:pStyle w:val="33"/>
        <w:widowControl/>
        <w:spacing w:line="360" w:lineRule="auto"/>
        <w:rPr>
          <w:rFonts w:ascii="宋体" w:hAnsi="宋体" w:cs="宋体"/>
          <w:color w:val="auto"/>
        </w:rPr>
      </w:pPr>
      <w:r>
        <w:rPr>
          <w:rStyle w:val="39"/>
          <w:rFonts w:hint="eastAsia" w:ascii="宋体" w:hAnsi="宋体" w:cs="宋体"/>
          <w:bCs/>
          <w:color w:val="auto"/>
        </w:rPr>
        <w:t>10、注意事项</w:t>
      </w:r>
    </w:p>
    <w:p>
      <w:pPr>
        <w:pStyle w:val="33"/>
        <w:widowControl/>
        <w:spacing w:line="360" w:lineRule="auto"/>
        <w:ind w:firstLine="384"/>
        <w:rPr>
          <w:rFonts w:ascii="宋体" w:hAnsi="宋体" w:cs="宋体"/>
          <w:color w:val="auto"/>
        </w:rPr>
      </w:pPr>
      <w:r>
        <w:rPr>
          <w:rFonts w:hint="eastAsia" w:ascii="宋体" w:hAnsi="宋体" w:cs="宋体"/>
          <w:color w:val="auto"/>
        </w:rPr>
        <w:t>10.1、本项目不允许成交供应商以任何名义和理由进行转包或分包，如有发现，采购人有权单方中止合同，且成交供应商必须赔偿由此给采购人带来的一切损失。</w:t>
      </w:r>
    </w:p>
    <w:p>
      <w:pPr>
        <w:pStyle w:val="33"/>
        <w:widowControl/>
        <w:spacing w:line="360" w:lineRule="auto"/>
        <w:ind w:firstLine="384"/>
        <w:rPr>
          <w:rFonts w:ascii="宋体" w:hAnsi="宋体" w:cs="宋体"/>
          <w:color w:val="auto"/>
        </w:rPr>
      </w:pPr>
      <w:r>
        <w:rPr>
          <w:rFonts w:hint="eastAsia" w:ascii="宋体" w:hAnsi="宋体" w:cs="宋体"/>
          <w:color w:val="auto"/>
        </w:rPr>
        <w:t>10.2、本谈判文件中所发生的一切费用均包含在报价总价中。</w:t>
      </w:r>
    </w:p>
    <w:p>
      <w:pPr>
        <w:pStyle w:val="33"/>
        <w:widowControl/>
        <w:spacing w:line="360" w:lineRule="auto"/>
        <w:ind w:firstLine="384"/>
        <w:rPr>
          <w:rFonts w:ascii="宋体" w:hAnsi="宋体" w:cs="宋体"/>
          <w:color w:val="auto"/>
        </w:rPr>
      </w:pPr>
      <w:r>
        <w:rPr>
          <w:rFonts w:hint="eastAsia" w:ascii="宋体" w:hAnsi="宋体" w:cs="宋体"/>
          <w:color w:val="auto"/>
        </w:rPr>
        <w:t>10.3、成交供应商应保证采购人不受到第三方关于侵犯版权和专利权的指控，任何第三方如果提出指控，成交供应商应与第三方交涉，承担可能发生的一切法律责任、费用和后果，并赔偿采购人的损失。</w:t>
      </w:r>
    </w:p>
    <w:p>
      <w:pPr>
        <w:pStyle w:val="33"/>
        <w:widowControl/>
        <w:spacing w:line="360" w:lineRule="auto"/>
        <w:ind w:firstLine="384"/>
        <w:rPr>
          <w:rFonts w:ascii="宋体" w:hAnsi="宋体" w:cs="宋体"/>
          <w:color w:val="auto"/>
        </w:rPr>
      </w:pPr>
      <w:r>
        <w:rPr>
          <w:rFonts w:hint="eastAsia" w:ascii="宋体" w:hAnsi="宋体" w:cs="宋体"/>
          <w:color w:val="auto"/>
        </w:rPr>
        <w:t>10.4、谈判供应商应遵守国家有关法律、规章，不得提供虚假资料，不得串通报价。</w:t>
      </w:r>
    </w:p>
    <w:p>
      <w:pPr>
        <w:pStyle w:val="33"/>
        <w:widowControl/>
        <w:spacing w:line="360" w:lineRule="auto"/>
        <w:ind w:firstLine="384"/>
        <w:rPr>
          <w:rFonts w:ascii="宋体" w:hAnsi="宋体" w:cs="宋体"/>
          <w:color w:val="auto"/>
        </w:rPr>
      </w:pPr>
      <w:r>
        <w:rPr>
          <w:rFonts w:hint="eastAsia" w:ascii="宋体" w:hAnsi="宋体" w:cs="宋体"/>
          <w:color w:val="auto"/>
        </w:rPr>
        <w:t>10.5、本次采购不单独提供报价货物使用地自然环境、气候条件、公用设施等情况，供应商被视为熟悉上述与履行合同有关的一切情况。</w:t>
      </w:r>
    </w:p>
    <w:p>
      <w:pPr>
        <w:pStyle w:val="33"/>
        <w:widowControl/>
        <w:spacing w:line="360" w:lineRule="auto"/>
        <w:ind w:firstLine="384"/>
        <w:rPr>
          <w:rFonts w:ascii="宋体" w:hAnsi="宋体" w:cs="宋体"/>
          <w:color w:val="auto"/>
        </w:rPr>
      </w:pPr>
      <w:r>
        <w:rPr>
          <w:rFonts w:hint="eastAsia" w:ascii="宋体" w:hAnsi="宋体" w:cs="宋体"/>
          <w:color w:val="auto"/>
        </w:rPr>
        <w:t>10.6、谈判文件中载明的资格要求，谈判供应商必须在响应文件中提供证明材料，并应在竞争性谈判文件中明确证明材料的种类、名称、数量等要求，供 应 商未按谈判文件要求提供证明材料的应当认定为该项资格条件不符合。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10.7、谈判文件中载明的技术和商务要求，属于实质性要求，不满足即为无效投标条款的，供应商必须提供证明材料，未按谈判文件要求提供证明材料的，认定为该项技术指标或商务条件不符合。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10.8、响应文件一旦递交，概不退还。</w:t>
      </w:r>
    </w:p>
    <w:p>
      <w:pPr>
        <w:pStyle w:val="33"/>
        <w:widowControl/>
        <w:spacing w:line="360" w:lineRule="auto"/>
        <w:ind w:firstLine="384"/>
        <w:rPr>
          <w:rFonts w:hint="eastAsia" w:ascii="宋体" w:hAnsi="宋体" w:cs="宋体"/>
          <w:color w:val="auto"/>
        </w:rPr>
      </w:pPr>
    </w:p>
    <w:p>
      <w:pPr>
        <w:pStyle w:val="33"/>
        <w:widowControl/>
        <w:spacing w:line="360" w:lineRule="auto"/>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bookmarkEnd w:id="20"/>
    <w:p>
      <w:pPr>
        <w:pStyle w:val="33"/>
        <w:keepNext w:val="0"/>
        <w:keepLines w:val="0"/>
        <w:widowControl/>
        <w:suppressLineNumbers w:val="0"/>
        <w:spacing w:before="75" w:beforeAutospacing="0" w:after="75" w:afterAutospacing="0" w:line="360" w:lineRule="auto"/>
        <w:ind w:left="0" w:right="0" w:firstLine="0"/>
        <w:jc w:val="center"/>
        <w:rPr>
          <w:rFonts w:ascii="微软雅黑" w:hAnsi="微软雅黑" w:eastAsia="微软雅黑" w:cs="微软雅黑"/>
          <w:i w:val="0"/>
          <w:iCs w:val="0"/>
          <w:caps w:val="0"/>
          <w:color w:val="auto"/>
          <w:spacing w:val="0"/>
          <w:sz w:val="27"/>
          <w:szCs w:val="27"/>
        </w:rPr>
      </w:pPr>
      <w:r>
        <w:rPr>
          <w:rStyle w:val="39"/>
          <w:rFonts w:ascii="宋体" w:hAnsi="宋体" w:eastAsia="宋体" w:cs="宋体"/>
          <w:i w:val="0"/>
          <w:iCs w:val="0"/>
          <w:caps w:val="0"/>
          <w:color w:val="auto"/>
          <w:spacing w:val="0"/>
          <w:sz w:val="24"/>
          <w:szCs w:val="24"/>
        </w:rPr>
        <w:t>第四章</w:t>
      </w:r>
      <w:r>
        <w:rPr>
          <w:rStyle w:val="39"/>
          <w:rFonts w:hint="eastAsia" w:ascii="宋体" w:hAnsi="宋体" w:eastAsia="宋体" w:cs="宋体"/>
          <w:i w:val="0"/>
          <w:iCs w:val="0"/>
          <w:caps w:val="0"/>
          <w:color w:val="auto"/>
          <w:spacing w:val="0"/>
          <w:sz w:val="24"/>
          <w:szCs w:val="24"/>
        </w:rPr>
        <w:t>  合同主要条款及格式</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编制说明</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1、签订合同应遵守《中华人民共和国政府采购法》、《中华人民共和国民法典》。</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3.本章节所附的合同主要条款及格式为参考文本，如果因为项目实际特点不能适用，则可由甲乙双方在合同签订阶段可通过友好协商进行约定。</w:t>
      </w:r>
    </w:p>
    <w:p>
      <w:pPr>
        <w:pStyle w:val="33"/>
        <w:widowControl/>
        <w:spacing w:before="76" w:after="76" w:line="360" w:lineRule="auto"/>
        <w:rPr>
          <w:rFonts w:ascii="宋体" w:hAnsi="宋体"/>
          <w:color w:val="auto"/>
        </w:rPr>
      </w:pPr>
      <w:r>
        <w:rPr>
          <w:rFonts w:hint="eastAsia" w:ascii="宋体" w:hAnsi="宋体" w:cs="宋体"/>
          <w:color w:val="auto"/>
        </w:rPr>
        <w:t>甲方：（采购人全称）</w:t>
      </w:r>
    </w:p>
    <w:p>
      <w:pPr>
        <w:pStyle w:val="33"/>
        <w:widowControl/>
        <w:spacing w:before="76" w:after="76" w:line="360" w:lineRule="auto"/>
        <w:rPr>
          <w:rFonts w:ascii="宋体" w:hAnsi="宋体"/>
          <w:color w:val="auto"/>
        </w:rPr>
      </w:pPr>
      <w:r>
        <w:rPr>
          <w:rFonts w:hint="eastAsia" w:ascii="宋体" w:hAnsi="宋体" w:cs="宋体"/>
          <w:color w:val="auto"/>
        </w:rPr>
        <w:t>乙方：（成交供应商全称）</w:t>
      </w:r>
    </w:p>
    <w:p>
      <w:pPr>
        <w:pStyle w:val="33"/>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33"/>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33"/>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pPr>
        <w:pStyle w:val="33"/>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pPr>
        <w:pStyle w:val="33"/>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pPr>
        <w:pStyle w:val="33"/>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pPr>
        <w:pStyle w:val="33"/>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pPr>
        <w:pStyle w:val="33"/>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pPr>
        <w:pStyle w:val="33"/>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pPr>
        <w:pStyle w:val="33"/>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3"/>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pPr>
        <w:pStyle w:val="33"/>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pPr>
        <w:pStyle w:val="33"/>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33"/>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pPr>
        <w:pStyle w:val="33"/>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pPr>
        <w:pStyle w:val="33"/>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33"/>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33"/>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pPr>
        <w:pStyle w:val="33"/>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pPr>
        <w:pStyle w:val="33"/>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pPr>
        <w:pStyle w:val="33"/>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pPr>
        <w:pStyle w:val="33"/>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33"/>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jc w:val="center"/>
        <w:rPr>
          <w:rFonts w:ascii="宋体" w:hAnsi="宋体" w:cs="宋体"/>
          <w:color w:val="auto"/>
        </w:rPr>
      </w:pPr>
      <w:r>
        <w:rPr>
          <w:rFonts w:hint="eastAsia" w:ascii="宋体" w:hAnsi="宋体" w:cs="宋体"/>
          <w:color w:val="auto"/>
        </w:rPr>
        <w:t>（以下无正文）</w:t>
      </w: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pPr>
        <w:pStyle w:val="33"/>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pPr>
        <w:pStyle w:val="33"/>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pPr>
        <w:pStyle w:val="33"/>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pPr>
        <w:pStyle w:val="33"/>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pPr>
        <w:pStyle w:val="33"/>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pPr>
        <w:pStyle w:val="33"/>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pPr>
        <w:pStyle w:val="33"/>
        <w:widowControl/>
        <w:spacing w:before="76" w:after="76" w:line="360" w:lineRule="auto"/>
        <w:rPr>
          <w:rFonts w:ascii="宋体" w:hAnsi="宋体"/>
          <w:color w:val="auto"/>
        </w:rPr>
      </w:pP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79"/>
        <w:rPr>
          <w:rFonts w:ascii="宋体" w:hAnsi="宋体" w:cs="宋体"/>
          <w:color w:val="auto"/>
        </w:rPr>
      </w:pPr>
      <w:r>
        <w:rPr>
          <w:rFonts w:ascii="宋体" w:hAnsi="宋体" w:cs="宋体"/>
          <w:color w:val="auto"/>
        </w:rPr>
        <w:t> </w:t>
      </w:r>
      <w:bookmarkStart w:id="21" w:name="_Toc511891598"/>
    </w:p>
    <w:p>
      <w:pPr>
        <w:rPr>
          <w:rFonts w:ascii="宋体" w:hAnsi="宋体" w:cs="宋体"/>
          <w:color w:val="auto"/>
        </w:rPr>
      </w:pPr>
      <w:r>
        <w:rPr>
          <w:rFonts w:ascii="宋体" w:hAnsi="宋体" w:cs="宋体"/>
          <w:color w:val="auto"/>
        </w:rPr>
        <w:br w:type="page"/>
      </w:r>
    </w:p>
    <w:bookmarkEnd w:id="21"/>
    <w:p>
      <w:pPr>
        <w:pStyle w:val="33"/>
        <w:keepNext w:val="0"/>
        <w:keepLines w:val="0"/>
        <w:widowControl/>
        <w:suppressLineNumbers w:val="0"/>
        <w:spacing w:before="75" w:beforeAutospacing="0" w:after="75" w:afterAutospacing="0" w:line="435" w:lineRule="atLeast"/>
        <w:ind w:left="0" w:right="0" w:firstLine="0"/>
        <w:jc w:val="center"/>
        <w:rPr>
          <w:rStyle w:val="39"/>
          <w:rFonts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9"/>
          <w:rFonts w:ascii="宋体" w:hAnsi="宋体" w:eastAsia="宋体" w:cs="宋体"/>
          <w:color w:val="auto"/>
          <w:spacing w:val="0"/>
          <w:sz w:val="24"/>
          <w:szCs w:val="24"/>
        </w:rPr>
        <w:t>第五章</w:t>
      </w:r>
      <w:r>
        <w:rPr>
          <w:rStyle w:val="39"/>
          <w:rFonts w:hint="eastAsia" w:ascii="宋体" w:hAnsi="宋体" w:eastAsia="宋体" w:cs="宋体"/>
          <w:color w:val="auto"/>
          <w:spacing w:val="0"/>
          <w:sz w:val="24"/>
          <w:szCs w:val="24"/>
        </w:rPr>
        <w:t>  首次响应文件格式</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9"/>
          <w:rFonts w:hint="eastAsia" w:ascii="宋体" w:hAnsi="宋体" w:eastAsia="宋体" w:cs="宋体"/>
          <w:color w:val="auto"/>
          <w:spacing w:val="0"/>
          <w:sz w:val="24"/>
          <w:szCs w:val="24"/>
        </w:rPr>
        <w:t>编制说明</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3"/>
        <w:keepNext w:val="0"/>
        <w:keepLines w:val="0"/>
        <w:widowControl/>
        <w:suppressLineNumbers w:val="0"/>
        <w:spacing w:before="75" w:beforeAutospacing="0" w:after="75" w:afterAutospacing="0" w:line="43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sz w:val="52"/>
          <w:szCs w:val="52"/>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9"/>
          <w:rFonts w:hint="eastAsia" w:ascii="宋体" w:hAnsi="宋体" w:eastAsia="宋体" w:cs="宋体"/>
          <w:color w:val="auto"/>
          <w:spacing w:val="0"/>
          <w:sz w:val="52"/>
          <w:szCs w:val="52"/>
        </w:rPr>
        <w:t>福建省政府采购项目竞争性谈判</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9"/>
          <w:rFonts w:hint="eastAsia" w:ascii="宋体" w:hAnsi="宋体" w:eastAsia="宋体" w:cs="宋体"/>
          <w:color w:val="auto"/>
          <w:spacing w:val="0"/>
          <w:sz w:val="52"/>
          <w:szCs w:val="52"/>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响应文件</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（首次）</w:t>
      </w: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9"/>
          <w:rFonts w:hint="eastAsia" w:ascii="宋体" w:hAnsi="宋体" w:eastAsia="宋体" w:cs="宋体"/>
          <w:color w:val="auto"/>
          <w:spacing w:val="0"/>
          <w:sz w:val="28"/>
          <w:szCs w:val="28"/>
        </w:rPr>
        <w:t>项目名称：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9"/>
          <w:rFonts w:hint="eastAsia" w:ascii="宋体" w:hAnsi="宋体" w:eastAsia="宋体" w:cs="宋体"/>
          <w:color w:val="auto"/>
          <w:spacing w:val="0"/>
          <w:sz w:val="28"/>
          <w:szCs w:val="28"/>
        </w:rPr>
        <w:t>项目编号：               </w:t>
      </w:r>
    </w:p>
    <w:p>
      <w:pPr>
        <w:pStyle w:val="33"/>
        <w:keepNext w:val="0"/>
        <w:keepLines w:val="0"/>
        <w:widowControl/>
        <w:suppressLineNumbers w:val="0"/>
        <w:spacing w:before="75" w:beforeAutospacing="0" w:after="75" w:afterAutospacing="0"/>
        <w:ind w:left="0" w:right="0" w:firstLine="1260"/>
        <w:rPr>
          <w:color w:val="auto"/>
        </w:rPr>
      </w:pPr>
      <w:r>
        <w:rPr>
          <w:rStyle w:val="39"/>
          <w:rFonts w:hint="eastAsia" w:ascii="宋体" w:hAnsi="宋体" w:eastAsia="宋体" w:cs="宋体"/>
          <w:color w:val="auto"/>
          <w:spacing w:val="0"/>
          <w:sz w:val="28"/>
          <w:szCs w:val="28"/>
        </w:rPr>
        <w:t>合同包:  </w:t>
      </w: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z w:val="28"/>
          <w:szCs w:val="28"/>
        </w:rPr>
      </w:pPr>
      <w:r>
        <w:rPr>
          <w:rStyle w:val="39"/>
          <w:rFonts w:hint="eastAsia" w:ascii="宋体" w:hAnsi="宋体" w:eastAsia="宋体" w:cs="宋体"/>
          <w:color w:val="auto"/>
          <w:spacing w:val="0"/>
          <w:sz w:val="24"/>
          <w:szCs w:val="24"/>
        </w:rPr>
        <w:t xml:space="preserve">      </w:t>
      </w:r>
      <w:r>
        <w:rPr>
          <w:rStyle w:val="39"/>
          <w:rFonts w:hint="eastAsia" w:ascii="宋体" w:hAnsi="宋体" w:eastAsia="宋体" w:cs="宋体"/>
          <w:color w:val="auto"/>
          <w:spacing w:val="0"/>
          <w:sz w:val="28"/>
          <w:szCs w:val="28"/>
        </w:rPr>
        <w:t>供应商名称 ：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8"/>
          <w:szCs w:val="28"/>
        </w:rPr>
        <w:t>      日   期 ： </w:t>
      </w: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Style w:val="39"/>
          <w:rFonts w:hint="eastAsia" w:ascii="宋体" w:hAnsi="宋体" w:eastAsia="宋体" w:cs="宋体"/>
          <w:color w:val="auto"/>
          <w:spacing w:val="0"/>
          <w:sz w:val="28"/>
          <w:szCs w:val="28"/>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8"/>
          <w:szCs w:val="28"/>
        </w:rPr>
        <w:t>目  录</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附件2：报价一览表（含详细报价书）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附件4：谈判保证金凭证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附件5：技术、服务和商务响应表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           </w:t>
      </w:r>
      <w:r>
        <w:rPr>
          <w:rFonts w:hint="eastAsia" w:ascii="宋体" w:hAnsi="宋体" w:eastAsia="宋体" w:cs="宋体"/>
          <w:color w:val="auto"/>
          <w:spacing w:val="0"/>
          <w:sz w:val="28"/>
          <w:szCs w:val="28"/>
        </w:rPr>
        <w:t> </w:t>
      </w:r>
      <w:r>
        <w:rPr>
          <w:rStyle w:val="39"/>
          <w:rFonts w:hint="eastAsia" w:ascii="宋体" w:hAnsi="宋体" w:eastAsia="宋体" w:cs="宋体"/>
          <w:color w:val="auto"/>
          <w:spacing w:val="0"/>
          <w:sz w:val="28"/>
          <w:szCs w:val="28"/>
        </w:rPr>
        <w:t>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left"/>
        <w:rPr>
          <w:color w:val="auto"/>
        </w:rPr>
      </w:pPr>
      <w:r>
        <w:rPr>
          <w:rFonts w:hint="eastAsia" w:ascii="宋体" w:hAnsi="宋体" w:eastAsia="宋体" w:cs="宋体"/>
          <w:color w:val="auto"/>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（1）谈判响应声明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（2）报价一览表（含详细报价书）</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（3）资格证明文件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（4）谈判保证金凭证</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（5）技术、服务和商务响应表</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（6）相关技术、商务、服务响应承诺及资料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（8）按照谈判文件规定，要求作为响应文件组成部分的其他内容（若有）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2.据此函，我方宣布响应承诺如下：</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2.5我方愿意向贵方提供任何与本项目谈判采购有关的数据或资料。若贵方需要，我方愿意提供我方作出的一切承诺的证明材料。</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通信地址：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邮编：        传真号：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联系电话（固定电话和移动电话）：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供应商代表：     （签字）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供应商代表电子信箱：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         （全称并加盖公章）              .</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 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附件2</w:t>
      </w:r>
      <w:r>
        <w:rPr>
          <w:rFonts w:hint="eastAsia" w:ascii="宋体" w:hAnsi="宋体" w:eastAsia="宋体" w:cs="宋体"/>
          <w:color w:val="auto"/>
          <w:spacing w:val="0"/>
          <w:sz w:val="28"/>
          <w:szCs w:val="28"/>
        </w:rPr>
        <w:t>            </w:t>
      </w:r>
      <w:r>
        <w:rPr>
          <w:rStyle w:val="39"/>
          <w:rFonts w:hint="eastAsia" w:ascii="宋体" w:hAnsi="宋体" w:eastAsia="宋体" w:cs="宋体"/>
          <w:color w:val="auto"/>
          <w:spacing w:val="0"/>
          <w:sz w:val="28"/>
          <w:szCs w:val="28"/>
        </w:rPr>
        <w:t>报价一览表</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供应商名称：（全称加盖单位公章）项目编号∶          货币单位：元人民币</w:t>
      </w:r>
    </w:p>
    <w:tbl>
      <w:tblPr>
        <w:tblStyle w:val="36"/>
        <w:tblpPr w:leftFromText="180" w:rightFromText="180" w:vertAnchor="text" w:horzAnchor="page" w:tblpX="1149" w:tblpY="456"/>
        <w:tblOverlap w:val="never"/>
        <w:tblW w:w="96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3696"/>
        <w:gridCol w:w="1796"/>
        <w:gridCol w:w="1021"/>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合同包</w:t>
            </w:r>
          </w:p>
        </w:tc>
        <w:tc>
          <w:tcPr>
            <w:tcW w:w="36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首次报价</w:t>
            </w:r>
          </w:p>
        </w:tc>
        <w:tc>
          <w:tcPr>
            <w:tcW w:w="17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交货期/工期/项目完成时间/服务时间</w:t>
            </w:r>
          </w:p>
        </w:tc>
        <w:tc>
          <w:tcPr>
            <w:tcW w:w="99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谈判保证金</w:t>
            </w:r>
          </w:p>
        </w:tc>
        <w:tc>
          <w:tcPr>
            <w:tcW w:w="202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备注：详细报价书另纸详列，格式自拟。</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1"/>
          <w:szCs w:val="21"/>
        </w:rPr>
        <w:t>                                             </w:t>
      </w: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附件2-1       </w:t>
      </w:r>
      <w:r>
        <w:rPr>
          <w:rFonts w:hint="eastAsia" w:ascii="宋体" w:hAnsi="宋体" w:eastAsia="宋体" w:cs="宋体"/>
          <w:color w:val="auto"/>
          <w:spacing w:val="0"/>
          <w:sz w:val="36"/>
          <w:szCs w:val="36"/>
        </w:rPr>
        <w:t> </w:t>
      </w:r>
      <w:r>
        <w:rPr>
          <w:rFonts w:hint="eastAsia" w:ascii="宋体" w:hAnsi="宋体" w:eastAsia="宋体" w:cs="宋体"/>
          <w:color w:val="auto"/>
          <w:spacing w:val="0"/>
          <w:sz w:val="36"/>
          <w:szCs w:val="36"/>
          <w:lang w:val="en-US" w:eastAsia="zh-CN"/>
        </w:rPr>
        <w:t xml:space="preserve">     </w:t>
      </w:r>
      <w:r>
        <w:rPr>
          <w:rStyle w:val="39"/>
          <w:rFonts w:hint="eastAsia" w:ascii="宋体" w:hAnsi="宋体" w:eastAsia="宋体" w:cs="宋体"/>
          <w:color w:val="auto"/>
          <w:spacing w:val="0"/>
          <w:sz w:val="28"/>
          <w:szCs w:val="28"/>
        </w:rPr>
        <w:t>详细报价书</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9"/>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附件3        </w:t>
      </w:r>
      <w:r>
        <w:rPr>
          <w:rFonts w:hint="eastAsia" w:ascii="宋体" w:hAnsi="宋体" w:eastAsia="宋体" w:cs="宋体"/>
          <w:color w:val="auto"/>
          <w:spacing w:val="0"/>
          <w:sz w:val="28"/>
          <w:szCs w:val="28"/>
        </w:rPr>
        <w:t> </w:t>
      </w:r>
      <w:r>
        <w:rPr>
          <w:rFonts w:hint="eastAsia" w:ascii="宋体" w:hAnsi="宋体" w:eastAsia="宋体" w:cs="宋体"/>
          <w:color w:val="auto"/>
          <w:spacing w:val="0"/>
          <w:sz w:val="28"/>
          <w:szCs w:val="28"/>
          <w:lang w:val="en-US" w:eastAsia="zh-CN"/>
        </w:rPr>
        <w:t xml:space="preserve">     </w:t>
      </w:r>
      <w:r>
        <w:rPr>
          <w:rStyle w:val="39"/>
          <w:rFonts w:hint="eastAsia" w:ascii="宋体" w:hAnsi="宋体" w:eastAsia="宋体" w:cs="宋体"/>
          <w:color w:val="auto"/>
          <w:spacing w:val="0"/>
          <w:sz w:val="28"/>
          <w:szCs w:val="28"/>
        </w:rPr>
        <w:t>资格证明文件</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465" w:lineRule="atLeast"/>
        <w:ind w:left="0" w:right="0" w:firstLine="0"/>
        <w:rPr>
          <w:color w:val="auto"/>
          <w:sz w:val="28"/>
          <w:szCs w:val="28"/>
        </w:rPr>
      </w:pPr>
      <w:r>
        <w:rPr>
          <w:rFonts w:hint="eastAsia" w:ascii="宋体" w:hAnsi="宋体" w:eastAsia="宋体" w:cs="宋体"/>
          <w:color w:val="auto"/>
          <w:spacing w:val="0"/>
          <w:sz w:val="28"/>
          <w:szCs w:val="28"/>
        </w:rPr>
        <w:t>附件3-1       </w:t>
      </w:r>
      <w:r>
        <w:rPr>
          <w:rStyle w:val="39"/>
          <w:rFonts w:hint="eastAsia" w:ascii="宋体" w:hAnsi="宋体" w:eastAsia="宋体" w:cs="宋体"/>
          <w:color w:val="auto"/>
          <w:spacing w:val="0"/>
          <w:sz w:val="28"/>
          <w:szCs w:val="28"/>
        </w:rPr>
        <w:t>参加竞争性谈判的声明函</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2、供应商的基本概况：</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2.1供应商单位名称：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2.2注册地址：                           </w:t>
      </w:r>
    </w:p>
    <w:p>
      <w:pPr>
        <w:pStyle w:val="33"/>
        <w:keepNext w:val="0"/>
        <w:keepLines w:val="0"/>
        <w:widowControl/>
        <w:suppressLineNumbers w:val="0"/>
        <w:spacing w:before="75" w:beforeAutospacing="0" w:after="75" w:afterAutospacing="0" w:line="360" w:lineRule="auto"/>
        <w:ind w:left="540" w:right="0" w:firstLine="0"/>
        <w:rPr>
          <w:color w:val="auto"/>
        </w:rPr>
      </w:pPr>
      <w:r>
        <w:rPr>
          <w:rFonts w:hint="eastAsia" w:ascii="宋体" w:hAnsi="宋体" w:eastAsia="宋体" w:cs="宋体"/>
          <w:color w:val="auto"/>
          <w:spacing w:val="0"/>
          <w:sz w:val="24"/>
          <w:szCs w:val="24"/>
        </w:rPr>
        <w:t>2.3单位负责人姓名：    性别：     年龄：     职务：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备注：“单位负责人”指单位法定代表人（供应商为法人的）或法律、法规规定代表单位行使职权的主要负责人（供应商为其他组织的）。</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附件3-2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rPr>
        <w:t>供应商的资格声明</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4"/>
          <w:szCs w:val="24"/>
        </w:rPr>
        <w:t>  1、</w:t>
      </w:r>
      <w:r>
        <w:rPr>
          <w:rFonts w:hint="eastAsia" w:ascii="宋体" w:hAnsi="宋体" w:eastAsia="宋体" w:cs="宋体"/>
          <w:color w:val="auto"/>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6"/>
        <w:tblW w:w="937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68"/>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《中华人民共和国政府采购法》第二十二条对供应商的要求</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（1）具有独立承担民事责任的能力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（2）具有良好的商业信誉和健全的财务会计制度</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（3）具有履行合同所必需的设备和专业技术能力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（4）有依法缴纳税收和社会保障资金的良好记录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（5）参加政府采购活动前三年内，在经营活动中没有重大违法记录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（6）法律、行政法规规定的其他条件。</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谈判文件对合格供应商的一般规定</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供应商应当遵守中国的有关法律、法规和规章的规定，参加政府采购活动时已经自觉检查并按照政府采购相关法律规定，主动回避相应利害关系。</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列入失信被执行人、重大税收违法案件当事人名单、政府采购严重违法失信行为记录名单的供应商，不得参加政府采购活动。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2、我方对上述声明的真实性、合法性、准确性、有效性负责，并愿意根据谈判文件和谈判过程中贵方要求提供全部现有资料、数据、文件等予以证实。</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附件3-3         </w:t>
      </w:r>
      <w:r>
        <w:rPr>
          <w:rStyle w:val="39"/>
          <w:rFonts w:hint="eastAsia" w:ascii="宋体" w:hAnsi="宋体" w:eastAsia="宋体" w:cs="宋体"/>
          <w:color w:val="auto"/>
          <w:spacing w:val="0"/>
          <w:sz w:val="24"/>
          <w:szCs w:val="24"/>
        </w:rPr>
        <w:t>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供应商代表无转委权。特此授权。</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单位负责人：        身份证号：       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身份证号：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授权方</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供应商：（全称并加盖单位公章）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单位负责人签字或盖章：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接受授权方</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供应商代表签字：</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附：单位负责人、供应商代表的身份证正反面复印件</w:t>
      </w:r>
    </w:p>
    <w:tbl>
      <w:tblPr>
        <w:tblStyle w:val="36"/>
        <w:tblW w:w="943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8" w:hRule="atLeast"/>
          <w:tblCellSpacing w:w="15" w:type="dxa"/>
        </w:trPr>
        <w:tc>
          <w:tcPr>
            <w:tcW w:w="937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要求：真实、有效、清晰</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 </w:t>
            </w:r>
          </w:p>
        </w:tc>
      </w:tr>
    </w:tbl>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1、企业（银行、保险、石油石化、电力、电信等行业除外）、事业单位和社会团体法人的“单位负责人”指</w:t>
      </w:r>
      <w:r>
        <w:rPr>
          <w:rStyle w:val="39"/>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2、银行、保险、石油石化、电力、电信等行业：以法人身份参加谈判的，“单位负责人”指</w:t>
      </w:r>
      <w:r>
        <w:rPr>
          <w:rStyle w:val="39"/>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，即与实际提交的“营业执照等证明文件”载明的一致；以非法人身份参加谈判的，“单位负责人”指</w:t>
      </w:r>
      <w:r>
        <w:rPr>
          <w:rStyle w:val="39"/>
          <w:rFonts w:hint="eastAsia" w:ascii="宋体" w:hAnsi="宋体" w:eastAsia="宋体" w:cs="宋体"/>
          <w:color w:val="auto"/>
          <w:spacing w:val="0"/>
          <w:sz w:val="21"/>
          <w:szCs w:val="21"/>
        </w:rPr>
        <w:t>代表单位行使职权的主要负责人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4、对于接受联合体形式的谈判且供应商是联合体的，则只需要联合体的牵头方提交本授权书，在纸质响应文件正本中的本授权书应为原件。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附件3-4 </w:t>
      </w:r>
      <w:r>
        <w:rPr>
          <w:rStyle w:val="39"/>
          <w:rFonts w:hint="eastAsia" w:ascii="宋体" w:hAnsi="宋体" w:eastAsia="宋体" w:cs="宋体"/>
          <w:color w:val="auto"/>
          <w:spacing w:val="0"/>
          <w:sz w:val="24"/>
          <w:szCs w:val="24"/>
        </w:rPr>
        <w:t>       营业执照等证明文件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现附上由（填写“签发机关全称”）签发的我方统一社会信用代码（请填写法人的具体证照名称）复印件，该证明材料真实有效，否则我方负全部责任。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□现附上由（填写“签发机关全称”）签发的我方（请填写非自然人的非法人的具体证照名称）复印件，该证明材料真实有效，否则我方负全部责任。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□现附上由（填写“签发机关全称”）签发的我方（请填写自然人的身份证件名称）复印件，该证明材料真实有效，否则我方负全部责任。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1、请供应商根据实际情况填写，在相应的（）中打“√”并选择相应的“□”（若有）后，再按照本格式的要求提供相应证明材料的复印件。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附件3-5             </w:t>
      </w:r>
      <w:r>
        <w:rPr>
          <w:rStyle w:val="39"/>
          <w:rFonts w:hint="eastAsia" w:ascii="宋体" w:hAnsi="宋体" w:eastAsia="宋体" w:cs="宋体"/>
          <w:color w:val="auto"/>
          <w:spacing w:val="0"/>
          <w:sz w:val="24"/>
          <w:szCs w:val="24"/>
        </w:rPr>
        <w:t>财务状况报告</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）供应商提供财务报告的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）供应商提供资信证明的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□非自然人适用：现附上我方银行：（填写“开户银行全称”）出具的资信证明复印件，上述证明材料真实有效，否则我方负全部责任。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□自然人适用：现附上我方银行：（填写自然人的“个人账户的开户银行全称”）出具的资信证明复印件，上述证明材料真实有效，否则我方负全部责任。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）供应商提供投标担保函的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现附上由财政部门认可的政府采购专业担保机构：（填写“担保机构全称”）出具的投标担保函复印件，上述证明材料真实有效，否则我方负全部责任。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★注意事项：</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2、供应商提供的财务报告复印件（成立年限按照首次响应文件递交截止时间推算）应符合下列规定：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2.1成立年限满1年及以上的供应商，提供经审计的上一年度的年度财务报告。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2.2成立年限满半年但不足1年的供应商，提供该半年度中任一季度的季度财务报告或该半年度的半年度财务报告。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1"/>
          <w:szCs w:val="21"/>
        </w:rPr>
        <w:t>※无法按照本格式注意事项第2.1、2.2条规定提供财务报告复印件的供应商，应按照本格式注意事项的要求选择提供资信证明复印件或投标担保函复印件。</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3、“财政部门认可的政府采购专业担保机构”应符合《财政部关于开展政府采购信用担保试点工作方案》（财库[2011]124号）的规定。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4、供应商提供的相应证明材料复印件均应符合：内容完整、清晰、整洁，并由供应商加盖其单位公章。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附件3-6          </w:t>
      </w:r>
      <w:r>
        <w:rPr>
          <w:rStyle w:val="39"/>
          <w:rFonts w:hint="eastAsia" w:ascii="宋体" w:hAnsi="宋体" w:eastAsia="宋体" w:cs="宋体"/>
          <w:color w:val="auto"/>
          <w:spacing w:val="0"/>
          <w:sz w:val="24"/>
          <w:szCs w:val="24"/>
        </w:rPr>
        <w:t>依法缴纳税收证明材料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4"/>
          <w:szCs w:val="24"/>
        </w:rPr>
        <w:t>1、依法缴纳税收的供应商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4"/>
          <w:szCs w:val="24"/>
        </w:rPr>
        <w:t>2、依法免税的供应商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）现附上我方依法免税证明材料复印件，上述证明材料真实有效，否则我方负全部责任。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2、供应商提供的税收凭据复印件应符合下列规定：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2.2首次响应文件递交截止时间的当月成立且已依法缴纳税收的供应商，提供截止时间当月的税收凭据复印件。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2.3首次响应文件递交截止时间的当月成立但因税务机关原因而尚未依法缴纳税收的供应商，提供依法缴纳税收承诺书原件（格式自拟），该承诺书视同税收凭据。</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w:t>
      </w:r>
      <w:r>
        <w:rPr>
          <w:rStyle w:val="39"/>
          <w:rFonts w:hint="eastAsia" w:ascii="宋体" w:hAnsi="宋体" w:eastAsia="宋体" w:cs="宋体"/>
          <w:color w:val="auto"/>
          <w:spacing w:val="0"/>
          <w:sz w:val="21"/>
          <w:szCs w:val="21"/>
        </w:rPr>
        <w:t>“依法缴纳税收证明材料”</w:t>
      </w:r>
      <w:r>
        <w:rPr>
          <w:rFonts w:hint="eastAsia" w:ascii="宋体" w:hAnsi="宋体" w:eastAsia="宋体" w:cs="宋体"/>
          <w:color w:val="auto"/>
          <w:spacing w:val="0"/>
          <w:sz w:val="21"/>
          <w:szCs w:val="21"/>
        </w:rPr>
        <w:t>有欠缴记录的，视为</w:t>
      </w:r>
      <w:r>
        <w:rPr>
          <w:rStyle w:val="39"/>
          <w:rFonts w:hint="eastAsia" w:ascii="宋体" w:hAnsi="宋体" w:eastAsia="宋体" w:cs="宋体"/>
          <w:color w:val="auto"/>
          <w:spacing w:val="0"/>
          <w:sz w:val="21"/>
          <w:szCs w:val="21"/>
        </w:rPr>
        <w:t>未依法缴纳税收</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附件3-7       </w:t>
      </w:r>
      <w:r>
        <w:rPr>
          <w:rStyle w:val="39"/>
          <w:rFonts w:hint="eastAsia" w:ascii="宋体" w:hAnsi="宋体" w:eastAsia="宋体" w:cs="宋体"/>
          <w:color w:val="auto"/>
          <w:spacing w:val="0"/>
          <w:sz w:val="24"/>
          <w:szCs w:val="24"/>
        </w:rPr>
        <w:t>依法缴纳社会保障资金证明材料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1、依法缴纳社会保障资金的供应商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2、依法不需要缴纳社会保障资金的供应商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）现附上我方依法不需要缴纳社会保障资金证明材料复印件，上述证明材料真实有效，否则我方负全部责任。</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2、供应商提供的社会保险凭据复印件应符合下列规定：</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2.2首次响应文件递交截止时间的当月成立且已依法缴纳社会保障资金的供应商，提供首次响应文件递交截止时间当月的社会保险凭据复印件。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4、</w:t>
      </w:r>
      <w:r>
        <w:rPr>
          <w:rStyle w:val="39"/>
          <w:rFonts w:hint="eastAsia" w:ascii="宋体" w:hAnsi="宋体" w:eastAsia="宋体" w:cs="宋体"/>
          <w:color w:val="auto"/>
          <w:spacing w:val="0"/>
          <w:sz w:val="21"/>
          <w:szCs w:val="21"/>
        </w:rPr>
        <w:t>“依法缴纳社会保障资金证明材料”</w:t>
      </w:r>
      <w:r>
        <w:rPr>
          <w:rFonts w:hint="eastAsia" w:ascii="宋体" w:hAnsi="宋体" w:eastAsia="宋体" w:cs="宋体"/>
          <w:color w:val="auto"/>
          <w:spacing w:val="0"/>
          <w:sz w:val="21"/>
          <w:szCs w:val="21"/>
        </w:rPr>
        <w:t>有欠缴记录的，视为</w:t>
      </w:r>
      <w:r>
        <w:rPr>
          <w:rStyle w:val="39"/>
          <w:rFonts w:hint="eastAsia" w:ascii="宋体" w:hAnsi="宋体" w:eastAsia="宋体" w:cs="宋体"/>
          <w:color w:val="auto"/>
          <w:spacing w:val="0"/>
          <w:sz w:val="21"/>
          <w:szCs w:val="21"/>
        </w:rPr>
        <w:t>未依法缴纳社会保障资金</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1680" w:firstLineChars="700"/>
        <w:rPr>
          <w:color w:val="auto"/>
        </w:rPr>
      </w:pPr>
      <w:r>
        <w:rPr>
          <w:rFonts w:hint="eastAsia" w:ascii="宋体" w:hAnsi="宋体" w:eastAsia="宋体" w:cs="宋体"/>
          <w:color w:val="auto"/>
          <w:spacing w:val="0"/>
          <w:sz w:val="24"/>
          <w:szCs w:val="24"/>
        </w:rPr>
        <w:t>附件3-8   </w:t>
      </w:r>
      <w:r>
        <w:rPr>
          <w:rStyle w:val="39"/>
          <w:rFonts w:hint="eastAsia" w:ascii="宋体" w:hAnsi="宋体" w:eastAsia="宋体" w:cs="宋体"/>
          <w:color w:val="auto"/>
          <w:spacing w:val="0"/>
          <w:sz w:val="24"/>
          <w:szCs w:val="24"/>
        </w:rPr>
        <w:t>具备履行合同所必需设备和专业技术能力证明材料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132" w:firstLineChars="1300"/>
        <w:jc w:val="both"/>
        <w:rPr>
          <w:color w:val="auto"/>
        </w:rPr>
      </w:pPr>
      <w:r>
        <w:rPr>
          <w:rStyle w:val="39"/>
          <w:rFonts w:hint="eastAsia" w:ascii="宋体" w:hAnsi="宋体" w:eastAsia="宋体" w:cs="宋体"/>
          <w:color w:val="auto"/>
          <w:spacing w:val="0"/>
          <w:sz w:val="24"/>
          <w:szCs w:val="24"/>
        </w:rPr>
        <w:t>声</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明</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我方具备履行合同所必需的设备和专业技术能力，并对本声明承诺的真实性负责，否则产生不利后果由我方承担责任。</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Fonts w:hint="eastAsia" w:ascii="宋体" w:hAnsi="宋体" w:eastAsia="宋体" w:cs="宋体"/>
          <w:b w:val="0"/>
          <w:bCs w:val="0"/>
          <w:color w:val="auto"/>
          <w:spacing w:val="0"/>
          <w:sz w:val="24"/>
          <w:szCs w:val="24"/>
        </w:rPr>
        <w:t>1.</w:t>
      </w:r>
      <w:r>
        <w:rPr>
          <w:rStyle w:val="39"/>
          <w:rFonts w:hint="eastAsia" w:ascii="宋体" w:hAnsi="宋体" w:eastAsia="宋体" w:cs="宋体"/>
          <w:b w:val="0"/>
          <w:bCs w:val="0"/>
          <w:color w:val="auto"/>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Style w:val="39"/>
          <w:rFonts w:hint="eastAsia" w:ascii="宋体" w:hAnsi="宋体" w:eastAsia="宋体" w:cs="宋体"/>
          <w:b w:val="0"/>
          <w:bCs w:val="0"/>
          <w:color w:val="auto"/>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3"/>
        <w:keepNext w:val="0"/>
        <w:keepLines w:val="0"/>
        <w:widowControl/>
        <w:suppressLineNumbers w:val="0"/>
        <w:spacing w:before="75" w:beforeAutospacing="0" w:after="75" w:afterAutospacing="0" w:line="360" w:lineRule="auto"/>
        <w:ind w:left="0" w:right="0" w:firstLine="0"/>
        <w:jc w:val="both"/>
        <w:rPr>
          <w:b w:val="0"/>
          <w:bCs w:val="0"/>
          <w:color w:val="auto"/>
        </w:rPr>
      </w:pPr>
      <w:r>
        <w:rPr>
          <w:rFonts w:hint="eastAsia" w:ascii="宋体" w:hAnsi="宋体" w:eastAsia="宋体" w:cs="宋体"/>
          <w:b w:val="0"/>
          <w:bCs w:val="0"/>
          <w:color w:val="auto"/>
          <w:spacing w:val="0"/>
          <w:sz w:val="24"/>
          <w:szCs w:val="24"/>
        </w:rPr>
        <w:t>  </w:t>
      </w:r>
      <w:r>
        <w:rPr>
          <w:rStyle w:val="39"/>
          <w:rFonts w:hint="eastAsia" w:ascii="宋体" w:hAnsi="宋体" w:eastAsia="宋体" w:cs="宋体"/>
          <w:b w:val="0"/>
          <w:bCs w:val="0"/>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附件3-9    </w:t>
      </w:r>
      <w:r>
        <w:rPr>
          <w:rStyle w:val="39"/>
          <w:rFonts w:hint="eastAsia" w:ascii="宋体" w:hAnsi="宋体" w:eastAsia="宋体" w:cs="宋体"/>
          <w:color w:val="auto"/>
          <w:spacing w:val="0"/>
          <w:sz w:val="24"/>
          <w:szCs w:val="24"/>
        </w:rPr>
        <w:t>参加采购活动前三年内在经营活动中</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2701" w:firstLineChars="1121"/>
        <w:rPr>
          <w:color w:val="auto"/>
        </w:rPr>
      </w:pPr>
      <w:r>
        <w:rPr>
          <w:rStyle w:val="39"/>
          <w:rFonts w:hint="eastAsia" w:ascii="宋体" w:hAnsi="宋体" w:eastAsia="宋体" w:cs="宋体"/>
          <w:color w:val="auto"/>
          <w:spacing w:val="0"/>
          <w:sz w:val="24"/>
          <w:szCs w:val="24"/>
        </w:rPr>
        <w:t>没有重大违法记录书面声明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spacing w:val="0"/>
        </w:rPr>
        <w:t>。</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1、“重大违法记录”指供应商因违法经营受到刑事处罚或责令停产停业、吊销许可证或执照、较大数额罚款等行政处罚。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2、请供应商根据实际情况进行声明，若声明不真实，视为提供虚假材料。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附件3-10       </w:t>
      </w:r>
      <w:r>
        <w:rPr>
          <w:rStyle w:val="39"/>
          <w:rFonts w:hint="eastAsia" w:ascii="宋体" w:hAnsi="宋体" w:eastAsia="宋体" w:cs="宋体"/>
          <w:color w:val="auto"/>
          <w:spacing w:val="0"/>
          <w:sz w:val="24"/>
          <w:szCs w:val="24"/>
        </w:rPr>
        <w:t>信用记录查询结果</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1、供应商应</w:t>
      </w:r>
      <w:r>
        <w:rPr>
          <w:rStyle w:val="39"/>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39"/>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2、若本项目接受联合体响应谈判且供应商为联合体，则联合体各成员均应</w:t>
      </w:r>
      <w:r>
        <w:rPr>
          <w:rStyle w:val="39"/>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39"/>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3、联合体成员存在不良信用记录的，视同联合体存在不良信用记录，</w:t>
      </w:r>
      <w:r>
        <w:rPr>
          <w:rStyle w:val="39"/>
          <w:rFonts w:hint="eastAsia" w:ascii="宋体" w:hAnsi="宋体" w:eastAsia="宋体" w:cs="宋体"/>
          <w:color w:val="auto"/>
          <w:spacing w:val="0"/>
          <w:sz w:val="21"/>
          <w:szCs w:val="21"/>
        </w:rPr>
        <w:t>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附件3-11   </w:t>
      </w:r>
      <w:r>
        <w:rPr>
          <w:rStyle w:val="39"/>
          <w:rFonts w:hint="eastAsia" w:ascii="宋体" w:hAnsi="宋体" w:eastAsia="宋体" w:cs="宋体"/>
          <w:color w:val="auto"/>
          <w:spacing w:val="0"/>
          <w:sz w:val="24"/>
          <w:szCs w:val="24"/>
        </w:rPr>
        <w:t>检察机关行贿犯罪档案查询结果告知函（如果需要）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1.检察机关行贿犯罪档案查询结果告知函（以下简称：“告知函”）由供应商向住所地或业务发生地检察院申请查询，具体以检察院出具的为准。</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★谈判文件有要求提交“告知函”时注意：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1、供应商未提供行贿犯罪档案查询结果或查询结果有行贿犯罪记录的，</w:t>
      </w:r>
      <w:r>
        <w:rPr>
          <w:rStyle w:val="39"/>
          <w:rFonts w:hint="eastAsia" w:ascii="宋体" w:hAnsi="宋体" w:eastAsia="宋体" w:cs="宋体"/>
          <w:color w:val="auto"/>
          <w:spacing w:val="0"/>
          <w:sz w:val="24"/>
          <w:szCs w:val="24"/>
        </w:rPr>
        <w:t>则供应商的响应文件将被否决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2、告知函应在有效期内，</w:t>
      </w:r>
      <w:r>
        <w:rPr>
          <w:rStyle w:val="39"/>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。有效期内的告知函复印件，无论内容中是否注明“复印件无效”，均视同有效。</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3、若从检察机关指定网站下载打印或截图告知函，则告知函应为从前述指定网站获取的查询结果原始页面的打印件或完整截图，</w:t>
      </w:r>
      <w:r>
        <w:rPr>
          <w:rStyle w:val="39"/>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4、若告知函未注明“复印件无效”，供应商可提供原件或复印件。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5、对于接受联合体形式的谈判且供应商是联合体的，则联合体各成员都应当提交本资格证明文件</w:t>
      </w: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附件3-12       </w:t>
      </w:r>
      <w:r>
        <w:rPr>
          <w:rStyle w:val="39"/>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联合体协议</w:t>
      </w:r>
    </w:p>
    <w:p>
      <w:pPr>
        <w:pStyle w:val="33"/>
        <w:keepNext w:val="0"/>
        <w:keepLines w:val="0"/>
        <w:widowControl/>
        <w:suppressLineNumbers w:val="0"/>
        <w:spacing w:before="75" w:beforeAutospacing="0" w:after="75" w:afterAutospacing="0" w:line="360" w:lineRule="auto"/>
        <w:ind w:left="0" w:right="0" w:firstLine="2650" w:firstLineChars="1100"/>
        <w:jc w:val="both"/>
        <w:rPr>
          <w:color w:val="auto"/>
        </w:rPr>
      </w:pPr>
      <w:r>
        <w:rPr>
          <w:rStyle w:val="39"/>
          <w:rFonts w:hint="eastAsia" w:ascii="宋体" w:hAnsi="宋体" w:eastAsia="宋体" w:cs="宋体"/>
          <w:color w:val="auto"/>
          <w:spacing w:val="0"/>
          <w:sz w:val="24"/>
          <w:szCs w:val="24"/>
        </w:rPr>
        <w:t>（接受联合体的项目使用）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一、联合体各方应承担的工作和义务具体如下：</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1、联合体牵头方单位名称：                   </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color w:val="auto"/>
        </w:rPr>
      </w:pPr>
      <w:r>
        <w:rPr>
          <w:rFonts w:hint="eastAsia" w:ascii="宋体" w:hAnsi="宋体" w:eastAsia="宋体" w:cs="宋体"/>
          <w:color w:val="auto"/>
          <w:spacing w:val="0"/>
          <w:sz w:val="24"/>
          <w:szCs w:val="24"/>
        </w:rPr>
        <w:t>（填写“工作及义务的具体内容”） ；</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2、联合体成员方单位名称：                        </w:t>
      </w:r>
    </w:p>
    <w:p>
      <w:pPr>
        <w:pStyle w:val="33"/>
        <w:keepNext w:val="0"/>
        <w:keepLines w:val="0"/>
        <w:widowControl/>
        <w:suppressLineNumbers w:val="0"/>
        <w:spacing w:before="75" w:beforeAutospacing="0" w:after="75" w:afterAutospacing="0" w:line="360" w:lineRule="auto"/>
        <w:ind w:left="0" w:right="0" w:firstLine="480"/>
        <w:jc w:val="left"/>
        <w:rPr>
          <w:color w:val="auto"/>
        </w:rPr>
      </w:pPr>
      <w:r>
        <w:rPr>
          <w:rFonts w:hint="eastAsia" w:ascii="宋体" w:hAnsi="宋体" w:eastAsia="宋体" w:cs="宋体"/>
          <w:color w:val="auto"/>
          <w:spacing w:val="0"/>
          <w:sz w:val="24"/>
          <w:szCs w:val="24"/>
        </w:rPr>
        <w:t>2.1（成员一的全称）： （填写“工作及义务的具体内容”）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三、联合体各方约定由（填写填写“牵头方的全称”）代表联合体办理谈判保证金事宜。</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五、本协议自签署之日起生效，政府采购合同履行完毕后自动失效。</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六、本协议一式（填写具体份数）份，联合体各方各执一份，响应文件中提交一份。</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牵头方：（全称并加盖单位公章）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成员一：（全称并加盖成员一的单位公章）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（全称并加盖成员**的单位公章）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1、若谈判文件规定接受联合体形式且供应商为联合体的，则供应商应提供本协议；否则无须提供。</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2、本协议中的供应商代表如果不是竞争性谈判须知中定义的“单位负责人”，则还必须提供“单位负责人授权书”。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3、若谈判文件规定接受联合体形式且供应商为联合体的，纸质响应文件正本中的本协议应为原件。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附件3-13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rPr>
        <w:t>其它资格证明文件</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4"/>
          <w:szCs w:val="24"/>
        </w:rPr>
        <w:t>（如果有的话）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2、若谈判文件规定接受联合体形式且供应商为联合体的，涉及联合体成员的其它资格证明文件在此处提供相关证明材料，并加盖供应商单位公章。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rFonts w:hint="eastAsia" w:eastAsia="宋体"/>
          <w:color w:val="auto"/>
          <w:lang w:eastAsia="zh-CN"/>
        </w:rPr>
      </w:pPr>
      <w:r>
        <w:rPr>
          <w:rFonts w:hint="eastAsia" w:ascii="宋体" w:hAnsi="宋体" w:eastAsia="宋体" w:cs="宋体"/>
          <w:color w:val="auto"/>
          <w:spacing w:val="0"/>
          <w:sz w:val="24"/>
          <w:szCs w:val="24"/>
        </w:rPr>
        <w:t>附件4        </w:t>
      </w:r>
      <w:r>
        <w:rPr>
          <w:rStyle w:val="39"/>
          <w:rFonts w:hint="eastAsia" w:ascii="宋体" w:hAnsi="宋体" w:eastAsia="宋体" w:cs="宋体"/>
          <w:color w:val="auto"/>
          <w:spacing w:val="0"/>
          <w:sz w:val="24"/>
          <w:szCs w:val="24"/>
        </w:rPr>
        <w:t>谈判保证金凭证</w:t>
      </w:r>
      <w:r>
        <w:rPr>
          <w:rStyle w:val="39"/>
          <w:rFonts w:hint="eastAsia" w:ascii="宋体" w:hAnsi="宋体" w:eastAsia="宋体" w:cs="宋体"/>
          <w:color w:val="auto"/>
          <w:spacing w:val="0"/>
          <w:sz w:val="24"/>
          <w:szCs w:val="24"/>
          <w:lang w:eastAsia="zh-CN"/>
        </w:rPr>
        <w:t>（若有）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360"/>
        <w:jc w:val="both"/>
        <w:rPr>
          <w:color w:val="auto"/>
        </w:rPr>
      </w:pPr>
      <w:r>
        <w:rPr>
          <w:rFonts w:hint="eastAsia" w:ascii="宋体" w:hAnsi="宋体" w:eastAsia="宋体" w:cs="宋体"/>
          <w:color w:val="auto"/>
          <w:spacing w:val="0"/>
          <w:sz w:val="21"/>
          <w:szCs w:val="21"/>
        </w:rPr>
        <w:t>编制说明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1、在此项下提交的</w:t>
      </w:r>
      <w:r>
        <w:rPr>
          <w:rStyle w:val="39"/>
          <w:rFonts w:hint="eastAsia" w:ascii="宋体" w:hAnsi="宋体" w:eastAsia="宋体" w:cs="宋体"/>
          <w:color w:val="auto"/>
          <w:spacing w:val="0"/>
          <w:sz w:val="21"/>
          <w:szCs w:val="21"/>
        </w:rPr>
        <w:t>“谈判保证金”</w:t>
      </w:r>
      <w:r>
        <w:rPr>
          <w:rFonts w:hint="eastAsia" w:ascii="宋体" w:hAnsi="宋体" w:eastAsia="宋体" w:cs="宋体"/>
          <w:color w:val="auto"/>
          <w:spacing w:val="0"/>
          <w:sz w:val="21"/>
          <w:szCs w:val="21"/>
        </w:rPr>
        <w:t>材料可使用转账凭证复印件或从福建省政府采购网上公开信息系统中下载的有关原始页面的打印件。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2、谈判保证金是否已提交按照谈判文件规定执行。</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附件5-1  </w:t>
      </w:r>
      <w:r>
        <w:rPr>
          <w:rStyle w:val="39"/>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 技术和服务要求响应表</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6"/>
        <w:tblW w:w="899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7"/>
        <w:gridCol w:w="1409"/>
        <w:gridCol w:w="2794"/>
        <w:gridCol w:w="209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2764"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竞争性谈判文件规定的技术和服务要求</w:t>
            </w:r>
          </w:p>
        </w:tc>
        <w:tc>
          <w:tcPr>
            <w:tcW w:w="206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93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1"/>
          <w:szCs w:val="21"/>
        </w:rPr>
        <w:t>注</w:t>
      </w:r>
      <w:r>
        <w:rPr>
          <w:rStyle w:val="39"/>
          <w:rFonts w:hint="eastAsia" w:ascii="宋体" w:hAnsi="宋体" w:eastAsia="宋体" w:cs="宋体"/>
          <w:b w:val="0"/>
          <w:bCs/>
          <w:color w:val="auto"/>
          <w:spacing w:val="0"/>
          <w:sz w:val="21"/>
          <w:szCs w:val="21"/>
        </w:rPr>
        <w:t>：（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附件5-2      </w:t>
      </w:r>
      <w:r>
        <w:rPr>
          <w:rStyle w:val="39"/>
          <w:rFonts w:hint="eastAsia" w:ascii="宋体" w:hAnsi="宋体" w:eastAsia="宋体" w:cs="宋体"/>
          <w:color w:val="auto"/>
          <w:spacing w:val="0"/>
          <w:sz w:val="24"/>
          <w:szCs w:val="24"/>
        </w:rPr>
        <w:t> 商务条件和其它事项响应表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6"/>
        <w:tblW w:w="917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8"/>
        <w:gridCol w:w="1408"/>
        <w:gridCol w:w="3212"/>
        <w:gridCol w:w="214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3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竞争性谈判文件规定的商务条件要求</w:t>
            </w:r>
          </w:p>
        </w:tc>
        <w:tc>
          <w:tcPr>
            <w:tcW w:w="211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62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    </w:t>
      </w:r>
      <w:r>
        <w:rPr>
          <w:rStyle w:val="39"/>
          <w:rFonts w:hint="eastAsia" w:ascii="宋体" w:hAnsi="宋体" w:eastAsia="宋体" w:cs="宋体"/>
          <w:color w:val="auto"/>
          <w:spacing w:val="0"/>
          <w:sz w:val="24"/>
          <w:szCs w:val="24"/>
        </w:rPr>
        <w:t>  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说明：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2.如果没有特别要求的，供应商根据谈判文件的要求以及特点，提供相关技术、商务、服务响应承诺及资料，格式自拟。</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     </w:t>
      </w:r>
      <w:r>
        <w:rPr>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附件7-1-1        </w:t>
      </w:r>
      <w:r>
        <w:rPr>
          <w:rStyle w:val="39"/>
          <w:rFonts w:hint="eastAsia" w:ascii="宋体" w:hAnsi="宋体" w:eastAsia="宋体" w:cs="宋体"/>
          <w:color w:val="auto"/>
          <w:spacing w:val="0"/>
          <w:sz w:val="24"/>
          <w:szCs w:val="24"/>
        </w:rPr>
        <w:t>中小企业声明函（如果有的话）</w:t>
      </w:r>
    </w:p>
    <w:p>
      <w:pPr>
        <w:pStyle w:val="33"/>
        <w:keepNext w:val="0"/>
        <w:keepLines w:val="0"/>
        <w:widowControl/>
        <w:suppressLineNumbers w:val="0"/>
        <w:spacing w:before="75" w:beforeAutospacing="0" w:after="75" w:afterAutospacing="0" w:line="360" w:lineRule="auto"/>
        <w:ind w:left="0" w:right="0" w:firstLine="2880"/>
        <w:rPr>
          <w:rFonts w:hint="eastAsia" w:eastAsia="宋体"/>
          <w:b/>
          <w:bCs/>
          <w:color w:val="auto"/>
          <w:spacing w:val="0"/>
          <w:sz w:val="24"/>
          <w:szCs w:val="24"/>
          <w:lang w:eastAsia="zh-CN"/>
        </w:rPr>
      </w:pPr>
      <w:r>
        <w:rPr>
          <w:b/>
          <w:bCs/>
          <w:color w:val="auto"/>
          <w:spacing w:val="0"/>
          <w:sz w:val="24"/>
          <w:szCs w:val="24"/>
        </w:rPr>
        <w:t>中小企业声明函（货物）</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1.（标的名称） ，属于（采购文件中明确的所属行业）行业；制造商为（企业名称），从业人员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2.（标的名称） ， 属 于 （采购文件中明确的所属行业 ）行业；制造商为（企业名称），从业人员  人，营业收入为  万元，资产总额为  万元，属于（中型企业、小型企业、微型企业）；</w:t>
      </w: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 本企业对上述声明内容的真实性负责。如有虚假，将依法承担相应责任。</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日期：</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b/>
          <w:bCs/>
          <w:color w:val="auto"/>
          <w:spacing w:val="0"/>
          <w:sz w:val="24"/>
          <w:szCs w:val="24"/>
        </w:rPr>
      </w:pPr>
      <w:r>
        <w:rPr>
          <w:color w:val="auto"/>
          <w:spacing w:val="0"/>
          <w:sz w:val="24"/>
          <w:szCs w:val="24"/>
        </w:rPr>
        <w:t>                                       </w:t>
      </w:r>
      <w:r>
        <w:rPr>
          <w:b/>
          <w:bCs/>
          <w:color w:val="auto"/>
          <w:spacing w:val="0"/>
          <w:sz w:val="24"/>
          <w:szCs w:val="24"/>
        </w:rPr>
        <w:t xml:space="preserve">     </w:t>
      </w:r>
    </w:p>
    <w:p>
      <w:pPr>
        <w:pStyle w:val="33"/>
        <w:keepNext w:val="0"/>
        <w:keepLines w:val="0"/>
        <w:widowControl/>
        <w:suppressLineNumbers w:val="0"/>
        <w:spacing w:before="75" w:beforeAutospacing="0" w:after="75" w:afterAutospacing="0" w:line="360" w:lineRule="auto"/>
        <w:ind w:left="0" w:right="0" w:firstLine="2880"/>
        <w:rPr>
          <w:b/>
          <w:bCs/>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b/>
          <w:bCs/>
          <w:color w:val="auto"/>
          <w:spacing w:val="0"/>
          <w:sz w:val="21"/>
          <w:szCs w:val="21"/>
        </w:rPr>
      </w:pPr>
      <w:r>
        <w:rPr>
          <w:b/>
          <w:bCs/>
          <w:color w:val="auto"/>
          <w:spacing w:val="0"/>
          <w:sz w:val="24"/>
          <w:szCs w:val="24"/>
        </w:rPr>
        <w:t> </w:t>
      </w:r>
      <w:r>
        <w:rPr>
          <w:rFonts w:hint="eastAsia" w:ascii="宋体" w:hAnsi="宋体" w:eastAsia="宋体" w:cs="宋体"/>
          <w:b/>
          <w:bCs/>
          <w:color w:val="auto"/>
          <w:spacing w:val="0"/>
          <w:sz w:val="21"/>
          <w:szCs w:val="21"/>
        </w:rPr>
        <w:t>中小企业声明函（工程、服务）</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firstLine="420" w:firstLineChars="2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33"/>
        <w:keepNext w:val="0"/>
        <w:keepLines w:val="0"/>
        <w:widowControl/>
        <w:suppressLineNumbers w:val="0"/>
        <w:spacing w:before="75" w:beforeAutospacing="0" w:after="75" w:afterAutospacing="0" w:line="360" w:lineRule="auto"/>
        <w:ind w:right="0"/>
        <w:rPr>
          <w:color w:val="auto"/>
        </w:rPr>
      </w:pPr>
      <w:r>
        <w:rPr>
          <w:rFonts w:hint="eastAsia" w:ascii="宋体" w:hAnsi="宋体" w:eastAsia="宋体" w:cs="宋体"/>
          <w:color w:val="auto"/>
          <w:spacing w:val="0"/>
          <w:sz w:val="21"/>
          <w:szCs w:val="21"/>
        </w:rPr>
        <w:t xml:space="preserve">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1.（标的名称），属于（采购文件中明确的所属行业）；承建（承接）企业为（企业名称），从业人员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 xml:space="preserve"> 2.（标的名称），属于（采购文件中明确的所属行业）；承建（承接）企业为（企业名称），从业人员  人，营业收入为  万元，资产总额为  万元，属于（中型企业、小型企业、微型企业）；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本企业对上述声明内容的真实性负责。如有虚假，将依法承担相应责任。</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日期：</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480"/>
        <w:jc w:val="both"/>
        <w:rPr>
          <w:color w:val="auto"/>
        </w:rPr>
      </w:pP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附件7-1-2</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4"/>
          <w:szCs w:val="24"/>
        </w:rPr>
        <w:t>残疾人福利性单位声明函（如果有的话）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r>
        <w:rPr>
          <w:rFonts w:hint="eastAsia" w:ascii="宋体" w:hAnsi="宋体" w:eastAsia="宋体" w:cs="宋体"/>
          <w:color w:val="auto"/>
          <w:sz w:val="21"/>
          <w:szCs w:val="21"/>
        </w:rPr>
        <w:t>提供本供应商制造的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本供应商对上述声明的真实性负责。如有虚假，将依法承担相应责任。</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（全称并加盖公章）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日  期：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（2）请供应商按照实际情况编制填写本声明函，并在相应的（）中打“√”。</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（3）纸质响应文件正本中的本声明函（若有）应为原件。</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（4）若《残疾人福利性单位声明函》内容不真实，视为提供虚假材料。</w:t>
      </w:r>
    </w:p>
    <w:p>
      <w:pPr>
        <w:pStyle w:val="33"/>
        <w:keepNext w:val="0"/>
        <w:keepLines w:val="0"/>
        <w:widowControl/>
        <w:suppressLineNumbers w:val="0"/>
        <w:spacing w:before="75" w:beforeAutospacing="0" w:after="75" w:afterAutospacing="0" w:line="360" w:lineRule="auto"/>
        <w:ind w:left="0" w:right="0" w:firstLine="420"/>
        <w:jc w:val="both"/>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附件7-2</w:t>
      </w:r>
      <w:r>
        <w:rPr>
          <w:rStyle w:val="39"/>
          <w:rFonts w:hint="eastAsia" w:ascii="宋体" w:hAnsi="宋体" w:eastAsia="宋体" w:cs="宋体"/>
          <w:color w:val="auto"/>
          <w:spacing w:val="0"/>
          <w:sz w:val="24"/>
          <w:szCs w:val="24"/>
        </w:rPr>
        <w:t>优先类节能产品、环境标志产品价格扣除证明材料（如果有的话）</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tbl>
      <w:tblPr>
        <w:tblStyle w:val="36"/>
        <w:tblW w:w="932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22"/>
        <w:gridCol w:w="1212"/>
        <w:gridCol w:w="1207"/>
        <w:gridCol w:w="1218"/>
        <w:gridCol w:w="1207"/>
        <w:gridCol w:w="1218"/>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8062" w:type="dxa"/>
            <w:gridSpan w:val="6"/>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合同包</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品目号</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产品名称</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最后报价单价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数量</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最后报价总价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200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restart"/>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*-1</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continue"/>
            <w:tcBorders>
              <w:tl2br w:val="nil"/>
              <w:tr2bl w:val="nil"/>
            </w:tcBorders>
            <w:shd w:val="clear" w:color="auto" w:fill="auto"/>
            <w:tcMar>
              <w:top w:w="0" w:type="dxa"/>
              <w:left w:w="105" w:type="dxa"/>
              <w:bottom w:w="0" w:type="dxa"/>
              <w:right w:w="105" w:type="dxa"/>
            </w:tcMar>
            <w:vAlign w:val="center"/>
          </w:tcPr>
          <w:p>
            <w:pPr>
              <w:spacing w:line="360" w:lineRule="auto"/>
              <w:rPr>
                <w:rFonts w:hint="eastAsia" w:ascii="宋体"/>
                <w:color w:val="auto"/>
                <w:sz w:val="24"/>
                <w:szCs w:val="24"/>
              </w:rPr>
            </w:pP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default" w:ascii="Calibri" w:hAnsi="Calibri" w:cs="Calibri"/>
                <w:color w:val="auto"/>
                <w:spacing w:val="0"/>
                <w:sz w:val="21"/>
                <w:szCs w:val="21"/>
              </w:rPr>
              <w:t>…</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备注</w:t>
            </w:r>
          </w:p>
        </w:tc>
        <w:tc>
          <w:tcPr>
            <w:tcW w:w="8062" w:type="dxa"/>
            <w:gridSpan w:val="6"/>
            <w:tcBorders>
              <w:tl2br w:val="nil"/>
              <w:tr2bl w:val="nil"/>
            </w:tcBorders>
            <w:shd w:val="clear" w:color="auto" w:fill="auto"/>
            <w:tcMar>
              <w:top w:w="0" w:type="dxa"/>
              <w:left w:w="105" w:type="dxa"/>
              <w:bottom w:w="0" w:type="dxa"/>
              <w:right w:w="105" w:type="dxa"/>
            </w:tcMar>
            <w:vAlign w:val="top"/>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a.本合同包内属于节能、环境标志产品的合计最后报价总金额：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b.本合同包最后报价总价：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c.本合同包内属于节能、环境标志产品的合计最后报价总金额占本合同包最后报价总价的比例（以</w:t>
            </w:r>
            <w:r>
              <w:rPr>
                <w:rFonts w:hint="default" w:ascii="Calibri" w:hAnsi="Calibri" w:cs="Calibri"/>
                <w:color w:val="auto"/>
                <w:spacing w:val="0"/>
                <w:sz w:val="21"/>
                <w:szCs w:val="21"/>
              </w:rPr>
              <w:t>%</w:t>
            </w:r>
            <w:r>
              <w:rPr>
                <w:rFonts w:hint="eastAsia" w:ascii="宋体" w:hAnsi="宋体" w:eastAsia="宋体" w:cs="宋体"/>
                <w:color w:val="auto"/>
                <w:spacing w:val="0"/>
                <w:sz w:val="21"/>
                <w:szCs w:val="21"/>
              </w:rPr>
              <w:t>列示）：           。</w:t>
            </w:r>
          </w:p>
        </w:tc>
      </w:tr>
    </w:tbl>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3、具体统计、计算：</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color w:val="auto"/>
          <w:spacing w:val="0"/>
          <w:sz w:val="21"/>
          <w:szCs w:val="21"/>
        </w:rPr>
        <w:t>1</w:t>
      </w:r>
      <w:r>
        <w:rPr>
          <w:rFonts w:hint="eastAsia" w:ascii="宋体" w:hAnsi="宋体" w:eastAsia="宋体" w:cs="宋体"/>
          <w:color w:val="auto"/>
          <w:spacing w:val="0"/>
          <w:sz w:val="21"/>
          <w:szCs w:val="21"/>
        </w:rPr>
        <w:t>次。</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3.2计算结果若除不尽，可四舍五入保留到小数点后两位。</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3.3供应商应按照谈判文件上表要求认真统计、计算，否则谈判小组可不予认定。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3.4若无节能、环境标志产品，不填写本表，否则，视为提供虚假材料。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3.5强制类节能产品不享受价格扣除。</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5、纸质响应文件正本中的本表（若有）应为原件。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       </w:t>
      </w:r>
      <w:r>
        <w:rPr>
          <w:rStyle w:val="39"/>
          <w:rFonts w:hint="eastAsia" w:ascii="宋体" w:hAnsi="宋体" w:eastAsia="宋体" w:cs="宋体"/>
          <w:color w:val="auto"/>
          <w:spacing w:val="0"/>
          <w:sz w:val="24"/>
          <w:szCs w:val="24"/>
        </w:rPr>
        <w:t>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2、供应商根据自身实际情况编写有关资料包括如供应商单位简介、竞争性谈判文件要求提供或供应商自已认为体现自身优势，需要补充说明的其它资料，格式自拟。</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rPr>
          <w:rFonts w:ascii="宋体" w:hAnsi="宋体"/>
          <w:color w:val="auto"/>
        </w:rPr>
      </w:pPr>
    </w:p>
    <w:bookmarkEnd w:id="22"/>
    <w:sectPr>
      <w:headerReference r:id="rId9" w:type="default"/>
      <w:footerReference r:id="rId10" w:type="default"/>
      <w:pgSz w:w="11906" w:h="16838"/>
      <w:pgMar w:top="1191" w:right="1191" w:bottom="1191" w:left="1191" w:header="851"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altName w:val="黑体"/>
    <w:panose1 w:val="020B0502040204020203"/>
    <w:charset w:val="86"/>
    <w:family w:val="auto"/>
    <w:pitch w:val="default"/>
    <w:sig w:usb0="00000000" w:usb1="00000000"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24 -</w:t>
    </w:r>
    <w:r>
      <w:rPr>
        <w:sz w:val="15"/>
        <w:szCs w:val="15"/>
      </w:rPr>
      <w:fldChar w:fldCharType="end"/>
    </w: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1CEB1"/>
    <w:multiLevelType w:val="singleLevel"/>
    <w:tmpl w:val="F121CEB1"/>
    <w:lvl w:ilvl="0" w:tentative="0">
      <w:start w:val="1"/>
      <w:numFmt w:val="decimal"/>
      <w:suff w:val="nothing"/>
      <w:lvlText w:val="（%1）"/>
      <w:lvlJc w:val="left"/>
    </w:lvl>
  </w:abstractNum>
  <w:abstractNum w:abstractNumId="1">
    <w:nsid w:val="2E232A80"/>
    <w:multiLevelType w:val="singleLevel"/>
    <w:tmpl w:val="2E232A80"/>
    <w:lvl w:ilvl="0" w:tentative="0">
      <w:start w:val="1"/>
      <w:numFmt w:val="decimal"/>
      <w:suff w:val="nothing"/>
      <w:lvlText w:val="%1、"/>
      <w:lvlJc w:val="left"/>
    </w:lvl>
  </w:abstractNum>
  <w:abstractNum w:abstractNumId="2">
    <w:nsid w:val="3F4FCC9C"/>
    <w:multiLevelType w:val="singleLevel"/>
    <w:tmpl w:val="3F4FCC9C"/>
    <w:lvl w:ilvl="0" w:tentative="0">
      <w:start w:val="1"/>
      <w:numFmt w:val="chineseCounting"/>
      <w:suff w:val="nothing"/>
      <w:lvlText w:val="%1、"/>
      <w:lvlJc w:val="left"/>
      <w:pPr>
        <w:ind w:left="-2320"/>
      </w:pPr>
      <w:rPr>
        <w:rFonts w:hint="eastAsia"/>
      </w:rPr>
    </w:lvl>
  </w:abstractNum>
  <w:abstractNum w:abstractNumId="3">
    <w:nsid w:val="426A2C04"/>
    <w:multiLevelType w:val="multilevel"/>
    <w:tmpl w:val="426A2C04"/>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16AEA0C"/>
    <w:multiLevelType w:val="singleLevel"/>
    <w:tmpl w:val="716AEA0C"/>
    <w:lvl w:ilvl="0" w:tentative="0">
      <w:start w:val="1"/>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jNmMzQ5OGUzZGMyNjUzOWU1NzZiZGI0NjNiOWQifQ=="/>
  </w:docVars>
  <w:rsids>
    <w:rsidRoot w:val="00C15DCF"/>
    <w:rsid w:val="000011AA"/>
    <w:rsid w:val="00025002"/>
    <w:rsid w:val="00035BE1"/>
    <w:rsid w:val="00036F3F"/>
    <w:rsid w:val="00040CB8"/>
    <w:rsid w:val="00044112"/>
    <w:rsid w:val="00057F30"/>
    <w:rsid w:val="0006025D"/>
    <w:rsid w:val="00060E60"/>
    <w:rsid w:val="0006319B"/>
    <w:rsid w:val="00065747"/>
    <w:rsid w:val="000841F8"/>
    <w:rsid w:val="00090BD7"/>
    <w:rsid w:val="000955CC"/>
    <w:rsid w:val="000A1C82"/>
    <w:rsid w:val="000A4518"/>
    <w:rsid w:val="000A67BB"/>
    <w:rsid w:val="000B52BE"/>
    <w:rsid w:val="000C52CD"/>
    <w:rsid w:val="000C7D49"/>
    <w:rsid w:val="000F1406"/>
    <w:rsid w:val="000F5483"/>
    <w:rsid w:val="001035DF"/>
    <w:rsid w:val="00103D0C"/>
    <w:rsid w:val="00116F7F"/>
    <w:rsid w:val="00117530"/>
    <w:rsid w:val="001263E6"/>
    <w:rsid w:val="00134124"/>
    <w:rsid w:val="00134B07"/>
    <w:rsid w:val="00136540"/>
    <w:rsid w:val="001439AA"/>
    <w:rsid w:val="0015076E"/>
    <w:rsid w:val="00155A02"/>
    <w:rsid w:val="001569CA"/>
    <w:rsid w:val="00157E48"/>
    <w:rsid w:val="00171217"/>
    <w:rsid w:val="00180386"/>
    <w:rsid w:val="00193F3C"/>
    <w:rsid w:val="001B2804"/>
    <w:rsid w:val="001B5DD5"/>
    <w:rsid w:val="001C0F27"/>
    <w:rsid w:val="001D0865"/>
    <w:rsid w:val="001D290B"/>
    <w:rsid w:val="001D4B00"/>
    <w:rsid w:val="001F681D"/>
    <w:rsid w:val="001F70DB"/>
    <w:rsid w:val="00210EDD"/>
    <w:rsid w:val="0021224D"/>
    <w:rsid w:val="00212936"/>
    <w:rsid w:val="002145F2"/>
    <w:rsid w:val="00215C8A"/>
    <w:rsid w:val="00224176"/>
    <w:rsid w:val="00226A0F"/>
    <w:rsid w:val="00227DE6"/>
    <w:rsid w:val="00235AB4"/>
    <w:rsid w:val="0023727B"/>
    <w:rsid w:val="002410B3"/>
    <w:rsid w:val="0024175A"/>
    <w:rsid w:val="002442B7"/>
    <w:rsid w:val="00263E63"/>
    <w:rsid w:val="0026785E"/>
    <w:rsid w:val="00271C45"/>
    <w:rsid w:val="00271FB8"/>
    <w:rsid w:val="002752B7"/>
    <w:rsid w:val="002A1278"/>
    <w:rsid w:val="002A3821"/>
    <w:rsid w:val="002A67A5"/>
    <w:rsid w:val="002D0856"/>
    <w:rsid w:val="002D3D42"/>
    <w:rsid w:val="002D4073"/>
    <w:rsid w:val="002D6DBA"/>
    <w:rsid w:val="002E12FB"/>
    <w:rsid w:val="002F1126"/>
    <w:rsid w:val="002F1B91"/>
    <w:rsid w:val="00311C9F"/>
    <w:rsid w:val="00316752"/>
    <w:rsid w:val="00335F60"/>
    <w:rsid w:val="00345483"/>
    <w:rsid w:val="003602B3"/>
    <w:rsid w:val="003639AC"/>
    <w:rsid w:val="0036541F"/>
    <w:rsid w:val="00366872"/>
    <w:rsid w:val="00367E96"/>
    <w:rsid w:val="0037170B"/>
    <w:rsid w:val="003802B5"/>
    <w:rsid w:val="00382C3E"/>
    <w:rsid w:val="003934CF"/>
    <w:rsid w:val="00397FC6"/>
    <w:rsid w:val="003A4C7B"/>
    <w:rsid w:val="003A5E05"/>
    <w:rsid w:val="003B1DCB"/>
    <w:rsid w:val="003C3C18"/>
    <w:rsid w:val="003E37A7"/>
    <w:rsid w:val="003E5E86"/>
    <w:rsid w:val="00400608"/>
    <w:rsid w:val="00411981"/>
    <w:rsid w:val="00412772"/>
    <w:rsid w:val="00420B13"/>
    <w:rsid w:val="00421500"/>
    <w:rsid w:val="004306C6"/>
    <w:rsid w:val="00444E4C"/>
    <w:rsid w:val="004475A2"/>
    <w:rsid w:val="0045065E"/>
    <w:rsid w:val="00454EA3"/>
    <w:rsid w:val="00454ED4"/>
    <w:rsid w:val="00455C45"/>
    <w:rsid w:val="00456B8F"/>
    <w:rsid w:val="004612D0"/>
    <w:rsid w:val="00472FDD"/>
    <w:rsid w:val="00474F02"/>
    <w:rsid w:val="004751BF"/>
    <w:rsid w:val="00475AC8"/>
    <w:rsid w:val="00477230"/>
    <w:rsid w:val="004822E9"/>
    <w:rsid w:val="00484076"/>
    <w:rsid w:val="00487E70"/>
    <w:rsid w:val="004912D2"/>
    <w:rsid w:val="00492BB5"/>
    <w:rsid w:val="004A2B4E"/>
    <w:rsid w:val="004B2139"/>
    <w:rsid w:val="004C2D45"/>
    <w:rsid w:val="004C3222"/>
    <w:rsid w:val="004C4900"/>
    <w:rsid w:val="004D0287"/>
    <w:rsid w:val="004D35F4"/>
    <w:rsid w:val="004D4B3C"/>
    <w:rsid w:val="004D5BBC"/>
    <w:rsid w:val="004D5DCB"/>
    <w:rsid w:val="004E2CAB"/>
    <w:rsid w:val="00501A39"/>
    <w:rsid w:val="00504010"/>
    <w:rsid w:val="005130FB"/>
    <w:rsid w:val="00516BDA"/>
    <w:rsid w:val="005218C8"/>
    <w:rsid w:val="005250AA"/>
    <w:rsid w:val="00531D73"/>
    <w:rsid w:val="00537E53"/>
    <w:rsid w:val="00540B33"/>
    <w:rsid w:val="005419AD"/>
    <w:rsid w:val="00543DB8"/>
    <w:rsid w:val="00543FD7"/>
    <w:rsid w:val="0054419C"/>
    <w:rsid w:val="00547BE3"/>
    <w:rsid w:val="00552026"/>
    <w:rsid w:val="00554964"/>
    <w:rsid w:val="00556309"/>
    <w:rsid w:val="005606A3"/>
    <w:rsid w:val="005609A5"/>
    <w:rsid w:val="00564014"/>
    <w:rsid w:val="0057338E"/>
    <w:rsid w:val="00573D25"/>
    <w:rsid w:val="005808A9"/>
    <w:rsid w:val="005864F0"/>
    <w:rsid w:val="00592821"/>
    <w:rsid w:val="005A1483"/>
    <w:rsid w:val="005A4957"/>
    <w:rsid w:val="005A77FF"/>
    <w:rsid w:val="005C125A"/>
    <w:rsid w:val="005C6E1C"/>
    <w:rsid w:val="005E04C3"/>
    <w:rsid w:val="005E0FFD"/>
    <w:rsid w:val="005E65B9"/>
    <w:rsid w:val="005F1672"/>
    <w:rsid w:val="005F4AA7"/>
    <w:rsid w:val="005F52C3"/>
    <w:rsid w:val="00601DEF"/>
    <w:rsid w:val="00603109"/>
    <w:rsid w:val="0060456F"/>
    <w:rsid w:val="0060623E"/>
    <w:rsid w:val="00607295"/>
    <w:rsid w:val="006102DA"/>
    <w:rsid w:val="00616137"/>
    <w:rsid w:val="00625128"/>
    <w:rsid w:val="00633544"/>
    <w:rsid w:val="00636392"/>
    <w:rsid w:val="00646851"/>
    <w:rsid w:val="00650739"/>
    <w:rsid w:val="0066172B"/>
    <w:rsid w:val="00667A21"/>
    <w:rsid w:val="00682D15"/>
    <w:rsid w:val="00687919"/>
    <w:rsid w:val="00690A30"/>
    <w:rsid w:val="00694B5E"/>
    <w:rsid w:val="006A1DE7"/>
    <w:rsid w:val="006A66C5"/>
    <w:rsid w:val="006B4B32"/>
    <w:rsid w:val="006B756A"/>
    <w:rsid w:val="006D493F"/>
    <w:rsid w:val="006D7BA7"/>
    <w:rsid w:val="006E7B83"/>
    <w:rsid w:val="006F168B"/>
    <w:rsid w:val="006F575E"/>
    <w:rsid w:val="00700333"/>
    <w:rsid w:val="00701BF8"/>
    <w:rsid w:val="00710A3A"/>
    <w:rsid w:val="007144E4"/>
    <w:rsid w:val="0072634A"/>
    <w:rsid w:val="00737EE9"/>
    <w:rsid w:val="007409ED"/>
    <w:rsid w:val="007467D4"/>
    <w:rsid w:val="007522A9"/>
    <w:rsid w:val="00752B2E"/>
    <w:rsid w:val="0076132A"/>
    <w:rsid w:val="00761B1E"/>
    <w:rsid w:val="00770C24"/>
    <w:rsid w:val="00787C73"/>
    <w:rsid w:val="00792C31"/>
    <w:rsid w:val="00795289"/>
    <w:rsid w:val="007A5DF5"/>
    <w:rsid w:val="007B03ED"/>
    <w:rsid w:val="007B78E2"/>
    <w:rsid w:val="007C46D0"/>
    <w:rsid w:val="007D3222"/>
    <w:rsid w:val="007E0AC6"/>
    <w:rsid w:val="007E31F4"/>
    <w:rsid w:val="007E683B"/>
    <w:rsid w:val="007E6CF1"/>
    <w:rsid w:val="008129AE"/>
    <w:rsid w:val="00816A85"/>
    <w:rsid w:val="008172E2"/>
    <w:rsid w:val="008356BA"/>
    <w:rsid w:val="00835944"/>
    <w:rsid w:val="008559FB"/>
    <w:rsid w:val="00861A1C"/>
    <w:rsid w:val="0086278E"/>
    <w:rsid w:val="00891AD8"/>
    <w:rsid w:val="00892124"/>
    <w:rsid w:val="00892BBC"/>
    <w:rsid w:val="008967F6"/>
    <w:rsid w:val="008A1C40"/>
    <w:rsid w:val="008A2E95"/>
    <w:rsid w:val="008A4CC2"/>
    <w:rsid w:val="008A6FCE"/>
    <w:rsid w:val="008B5310"/>
    <w:rsid w:val="008B6933"/>
    <w:rsid w:val="008B706B"/>
    <w:rsid w:val="008B7F71"/>
    <w:rsid w:val="008F3355"/>
    <w:rsid w:val="009132E7"/>
    <w:rsid w:val="00917974"/>
    <w:rsid w:val="00917FDF"/>
    <w:rsid w:val="0093158D"/>
    <w:rsid w:val="00940336"/>
    <w:rsid w:val="00946304"/>
    <w:rsid w:val="009463D6"/>
    <w:rsid w:val="0095175A"/>
    <w:rsid w:val="00955AA1"/>
    <w:rsid w:val="00956F06"/>
    <w:rsid w:val="00957AAB"/>
    <w:rsid w:val="00957E5B"/>
    <w:rsid w:val="00960471"/>
    <w:rsid w:val="00961042"/>
    <w:rsid w:val="00961C73"/>
    <w:rsid w:val="009621E2"/>
    <w:rsid w:val="00962FBE"/>
    <w:rsid w:val="00976217"/>
    <w:rsid w:val="009827C2"/>
    <w:rsid w:val="00982F82"/>
    <w:rsid w:val="00986099"/>
    <w:rsid w:val="0099187E"/>
    <w:rsid w:val="00992EC3"/>
    <w:rsid w:val="009A0CB4"/>
    <w:rsid w:val="009A1820"/>
    <w:rsid w:val="009A391F"/>
    <w:rsid w:val="009B1CA3"/>
    <w:rsid w:val="009B23C1"/>
    <w:rsid w:val="009D3A59"/>
    <w:rsid w:val="009D59A0"/>
    <w:rsid w:val="009D623A"/>
    <w:rsid w:val="009D6E47"/>
    <w:rsid w:val="009E2112"/>
    <w:rsid w:val="009F025C"/>
    <w:rsid w:val="009F69E8"/>
    <w:rsid w:val="009F7DDF"/>
    <w:rsid w:val="00A0258F"/>
    <w:rsid w:val="00A049D4"/>
    <w:rsid w:val="00A116E6"/>
    <w:rsid w:val="00A1600F"/>
    <w:rsid w:val="00A21C4C"/>
    <w:rsid w:val="00A23B4B"/>
    <w:rsid w:val="00A26256"/>
    <w:rsid w:val="00A30472"/>
    <w:rsid w:val="00A376F3"/>
    <w:rsid w:val="00A444DC"/>
    <w:rsid w:val="00A45367"/>
    <w:rsid w:val="00A4627B"/>
    <w:rsid w:val="00A51631"/>
    <w:rsid w:val="00A54EFF"/>
    <w:rsid w:val="00A60EF9"/>
    <w:rsid w:val="00A625BF"/>
    <w:rsid w:val="00A6644B"/>
    <w:rsid w:val="00A70AB4"/>
    <w:rsid w:val="00A77B04"/>
    <w:rsid w:val="00A83949"/>
    <w:rsid w:val="00A842A1"/>
    <w:rsid w:val="00A84453"/>
    <w:rsid w:val="00A8514D"/>
    <w:rsid w:val="00A87160"/>
    <w:rsid w:val="00A87346"/>
    <w:rsid w:val="00A87755"/>
    <w:rsid w:val="00A934A5"/>
    <w:rsid w:val="00A96BD3"/>
    <w:rsid w:val="00AA3EFB"/>
    <w:rsid w:val="00AB165F"/>
    <w:rsid w:val="00AB5D31"/>
    <w:rsid w:val="00AC22F0"/>
    <w:rsid w:val="00AC2670"/>
    <w:rsid w:val="00AC57E3"/>
    <w:rsid w:val="00AC584E"/>
    <w:rsid w:val="00AD4AF6"/>
    <w:rsid w:val="00AD6503"/>
    <w:rsid w:val="00AE0AE7"/>
    <w:rsid w:val="00AE517A"/>
    <w:rsid w:val="00AE6BDA"/>
    <w:rsid w:val="00AF100C"/>
    <w:rsid w:val="00AF17B8"/>
    <w:rsid w:val="00AF45A5"/>
    <w:rsid w:val="00AF75FD"/>
    <w:rsid w:val="00AF7F7C"/>
    <w:rsid w:val="00B110B6"/>
    <w:rsid w:val="00B1186E"/>
    <w:rsid w:val="00B143A3"/>
    <w:rsid w:val="00B1645C"/>
    <w:rsid w:val="00B16D0E"/>
    <w:rsid w:val="00B2442A"/>
    <w:rsid w:val="00B30326"/>
    <w:rsid w:val="00B3274A"/>
    <w:rsid w:val="00B33816"/>
    <w:rsid w:val="00B36458"/>
    <w:rsid w:val="00B40A8C"/>
    <w:rsid w:val="00B45D3A"/>
    <w:rsid w:val="00B51A1C"/>
    <w:rsid w:val="00B62205"/>
    <w:rsid w:val="00B64E44"/>
    <w:rsid w:val="00B77B4E"/>
    <w:rsid w:val="00BA01B8"/>
    <w:rsid w:val="00BB50E1"/>
    <w:rsid w:val="00BC2301"/>
    <w:rsid w:val="00BC37DB"/>
    <w:rsid w:val="00BC5E4A"/>
    <w:rsid w:val="00BD5722"/>
    <w:rsid w:val="00BE3B69"/>
    <w:rsid w:val="00BE4525"/>
    <w:rsid w:val="00BE5BF9"/>
    <w:rsid w:val="00BE6428"/>
    <w:rsid w:val="00BF46C7"/>
    <w:rsid w:val="00C0145E"/>
    <w:rsid w:val="00C14398"/>
    <w:rsid w:val="00C15DCF"/>
    <w:rsid w:val="00C21B8D"/>
    <w:rsid w:val="00C248FA"/>
    <w:rsid w:val="00C260FD"/>
    <w:rsid w:val="00C27F21"/>
    <w:rsid w:val="00C3169B"/>
    <w:rsid w:val="00C42CF1"/>
    <w:rsid w:val="00C435F8"/>
    <w:rsid w:val="00C527C6"/>
    <w:rsid w:val="00C62272"/>
    <w:rsid w:val="00C66B32"/>
    <w:rsid w:val="00C74489"/>
    <w:rsid w:val="00C828E4"/>
    <w:rsid w:val="00C82BC7"/>
    <w:rsid w:val="00C82F5F"/>
    <w:rsid w:val="00CA0380"/>
    <w:rsid w:val="00CA03A6"/>
    <w:rsid w:val="00CA7529"/>
    <w:rsid w:val="00CB7052"/>
    <w:rsid w:val="00CB7C7E"/>
    <w:rsid w:val="00CC5693"/>
    <w:rsid w:val="00CC7B53"/>
    <w:rsid w:val="00CD5BF6"/>
    <w:rsid w:val="00CD5F8F"/>
    <w:rsid w:val="00CE21EA"/>
    <w:rsid w:val="00CE7910"/>
    <w:rsid w:val="00CF707E"/>
    <w:rsid w:val="00D01E7B"/>
    <w:rsid w:val="00D10E9D"/>
    <w:rsid w:val="00D223A9"/>
    <w:rsid w:val="00D26803"/>
    <w:rsid w:val="00D32A52"/>
    <w:rsid w:val="00D401FB"/>
    <w:rsid w:val="00D56FA3"/>
    <w:rsid w:val="00D572A8"/>
    <w:rsid w:val="00D606BC"/>
    <w:rsid w:val="00D60E3E"/>
    <w:rsid w:val="00D644A9"/>
    <w:rsid w:val="00D71BD0"/>
    <w:rsid w:val="00D77271"/>
    <w:rsid w:val="00D77F61"/>
    <w:rsid w:val="00D80142"/>
    <w:rsid w:val="00D86E22"/>
    <w:rsid w:val="00D92B50"/>
    <w:rsid w:val="00D972CC"/>
    <w:rsid w:val="00DB2075"/>
    <w:rsid w:val="00DC34A3"/>
    <w:rsid w:val="00DC6A35"/>
    <w:rsid w:val="00DC6C22"/>
    <w:rsid w:val="00DD27AD"/>
    <w:rsid w:val="00DD45DC"/>
    <w:rsid w:val="00DE16C9"/>
    <w:rsid w:val="00DF10C6"/>
    <w:rsid w:val="00DF2825"/>
    <w:rsid w:val="00E02791"/>
    <w:rsid w:val="00E05736"/>
    <w:rsid w:val="00E05A6A"/>
    <w:rsid w:val="00E150A2"/>
    <w:rsid w:val="00E21452"/>
    <w:rsid w:val="00E37187"/>
    <w:rsid w:val="00E45C1E"/>
    <w:rsid w:val="00E53744"/>
    <w:rsid w:val="00E56C9F"/>
    <w:rsid w:val="00E65446"/>
    <w:rsid w:val="00E70986"/>
    <w:rsid w:val="00E71CBF"/>
    <w:rsid w:val="00E82906"/>
    <w:rsid w:val="00EA1E2D"/>
    <w:rsid w:val="00EA2679"/>
    <w:rsid w:val="00EA36A7"/>
    <w:rsid w:val="00EA5D83"/>
    <w:rsid w:val="00EA6BA4"/>
    <w:rsid w:val="00EB4981"/>
    <w:rsid w:val="00EB679E"/>
    <w:rsid w:val="00EC3E40"/>
    <w:rsid w:val="00EF2312"/>
    <w:rsid w:val="00EF6D93"/>
    <w:rsid w:val="00F02706"/>
    <w:rsid w:val="00F03B35"/>
    <w:rsid w:val="00F15B62"/>
    <w:rsid w:val="00F24A90"/>
    <w:rsid w:val="00F3143A"/>
    <w:rsid w:val="00F47523"/>
    <w:rsid w:val="00F50FFF"/>
    <w:rsid w:val="00F51D88"/>
    <w:rsid w:val="00F531F2"/>
    <w:rsid w:val="00F615A7"/>
    <w:rsid w:val="00F64E6C"/>
    <w:rsid w:val="00F7098A"/>
    <w:rsid w:val="00F86A3A"/>
    <w:rsid w:val="00F8717B"/>
    <w:rsid w:val="00F875E2"/>
    <w:rsid w:val="00F9632D"/>
    <w:rsid w:val="00F97029"/>
    <w:rsid w:val="00FA1B95"/>
    <w:rsid w:val="00FA347C"/>
    <w:rsid w:val="00FA5977"/>
    <w:rsid w:val="00FB31C0"/>
    <w:rsid w:val="00FB504A"/>
    <w:rsid w:val="00FB57EE"/>
    <w:rsid w:val="00FC3F89"/>
    <w:rsid w:val="00FC7F88"/>
    <w:rsid w:val="00FD0535"/>
    <w:rsid w:val="00FD3A19"/>
    <w:rsid w:val="00FD6565"/>
    <w:rsid w:val="011A2806"/>
    <w:rsid w:val="013228D0"/>
    <w:rsid w:val="019A7F55"/>
    <w:rsid w:val="01DE3EE1"/>
    <w:rsid w:val="01F44FA7"/>
    <w:rsid w:val="020A56F5"/>
    <w:rsid w:val="021A2545"/>
    <w:rsid w:val="02266196"/>
    <w:rsid w:val="023F2ABD"/>
    <w:rsid w:val="02493F1D"/>
    <w:rsid w:val="024C709E"/>
    <w:rsid w:val="02664214"/>
    <w:rsid w:val="027A0F69"/>
    <w:rsid w:val="02D91644"/>
    <w:rsid w:val="02EB177B"/>
    <w:rsid w:val="0310390A"/>
    <w:rsid w:val="03337EA1"/>
    <w:rsid w:val="03757289"/>
    <w:rsid w:val="03A60410"/>
    <w:rsid w:val="03B5570B"/>
    <w:rsid w:val="03EE0EDB"/>
    <w:rsid w:val="043B09D3"/>
    <w:rsid w:val="043B560C"/>
    <w:rsid w:val="04901246"/>
    <w:rsid w:val="04A572B8"/>
    <w:rsid w:val="04AD0B8B"/>
    <w:rsid w:val="05090F64"/>
    <w:rsid w:val="05201AE6"/>
    <w:rsid w:val="054D5B0F"/>
    <w:rsid w:val="05AF5BF3"/>
    <w:rsid w:val="06431373"/>
    <w:rsid w:val="06626775"/>
    <w:rsid w:val="06A54465"/>
    <w:rsid w:val="06BF74B4"/>
    <w:rsid w:val="06FF046B"/>
    <w:rsid w:val="07587FC4"/>
    <w:rsid w:val="075D58B9"/>
    <w:rsid w:val="07A35073"/>
    <w:rsid w:val="07B753EC"/>
    <w:rsid w:val="07BC1749"/>
    <w:rsid w:val="07C63606"/>
    <w:rsid w:val="07E0010F"/>
    <w:rsid w:val="07F05881"/>
    <w:rsid w:val="08260646"/>
    <w:rsid w:val="084C4D23"/>
    <w:rsid w:val="085F29AC"/>
    <w:rsid w:val="08735201"/>
    <w:rsid w:val="08777A0E"/>
    <w:rsid w:val="08B155C9"/>
    <w:rsid w:val="08F83284"/>
    <w:rsid w:val="09567B3F"/>
    <w:rsid w:val="09646403"/>
    <w:rsid w:val="09BB7F03"/>
    <w:rsid w:val="09BC64A4"/>
    <w:rsid w:val="09DD3A82"/>
    <w:rsid w:val="09F6431D"/>
    <w:rsid w:val="0A46479E"/>
    <w:rsid w:val="0A786664"/>
    <w:rsid w:val="0AAC69A9"/>
    <w:rsid w:val="0AF31003"/>
    <w:rsid w:val="0B4E4FB9"/>
    <w:rsid w:val="0B6B3F60"/>
    <w:rsid w:val="0B7B6159"/>
    <w:rsid w:val="0B7C089E"/>
    <w:rsid w:val="0BBD0341"/>
    <w:rsid w:val="0C040028"/>
    <w:rsid w:val="0C882A07"/>
    <w:rsid w:val="0CD14E47"/>
    <w:rsid w:val="0CFE44C0"/>
    <w:rsid w:val="0D0A22CB"/>
    <w:rsid w:val="0D302969"/>
    <w:rsid w:val="0D405013"/>
    <w:rsid w:val="0D930B70"/>
    <w:rsid w:val="0DF20D34"/>
    <w:rsid w:val="0DF67AC5"/>
    <w:rsid w:val="0DFE4484"/>
    <w:rsid w:val="0E0F0354"/>
    <w:rsid w:val="0E371734"/>
    <w:rsid w:val="0EB137D2"/>
    <w:rsid w:val="0EB144F6"/>
    <w:rsid w:val="0EFB3561"/>
    <w:rsid w:val="0F245AF8"/>
    <w:rsid w:val="0FDD6A04"/>
    <w:rsid w:val="100F5C13"/>
    <w:rsid w:val="1038786D"/>
    <w:rsid w:val="10F21DEB"/>
    <w:rsid w:val="11102D99"/>
    <w:rsid w:val="111B2C9F"/>
    <w:rsid w:val="11883866"/>
    <w:rsid w:val="122078A5"/>
    <w:rsid w:val="12513250"/>
    <w:rsid w:val="125E091B"/>
    <w:rsid w:val="12736CA2"/>
    <w:rsid w:val="128115FD"/>
    <w:rsid w:val="128A0575"/>
    <w:rsid w:val="129B7495"/>
    <w:rsid w:val="12C03463"/>
    <w:rsid w:val="12E1330B"/>
    <w:rsid w:val="13346DCE"/>
    <w:rsid w:val="13642CEB"/>
    <w:rsid w:val="13A21630"/>
    <w:rsid w:val="13C13906"/>
    <w:rsid w:val="14043C24"/>
    <w:rsid w:val="147F492C"/>
    <w:rsid w:val="149C61F4"/>
    <w:rsid w:val="14A547A7"/>
    <w:rsid w:val="14BB0D3B"/>
    <w:rsid w:val="151C504B"/>
    <w:rsid w:val="1535268D"/>
    <w:rsid w:val="154167F8"/>
    <w:rsid w:val="15551823"/>
    <w:rsid w:val="158B33A6"/>
    <w:rsid w:val="158E0B8A"/>
    <w:rsid w:val="15FA26ED"/>
    <w:rsid w:val="160449B4"/>
    <w:rsid w:val="166E74DA"/>
    <w:rsid w:val="16AC3376"/>
    <w:rsid w:val="16DF0F5F"/>
    <w:rsid w:val="16F34DEA"/>
    <w:rsid w:val="171B738C"/>
    <w:rsid w:val="173D215B"/>
    <w:rsid w:val="1740618E"/>
    <w:rsid w:val="1776278A"/>
    <w:rsid w:val="17836928"/>
    <w:rsid w:val="182339F3"/>
    <w:rsid w:val="18550D36"/>
    <w:rsid w:val="18657AF2"/>
    <w:rsid w:val="186B2B93"/>
    <w:rsid w:val="18EA6877"/>
    <w:rsid w:val="18F3418E"/>
    <w:rsid w:val="19222242"/>
    <w:rsid w:val="1973262F"/>
    <w:rsid w:val="199C50C3"/>
    <w:rsid w:val="19BF3BAC"/>
    <w:rsid w:val="19C771EB"/>
    <w:rsid w:val="1A01060C"/>
    <w:rsid w:val="1A241D51"/>
    <w:rsid w:val="1A5F0359"/>
    <w:rsid w:val="1ACE7A6E"/>
    <w:rsid w:val="1B187489"/>
    <w:rsid w:val="1B3C514E"/>
    <w:rsid w:val="1B801A25"/>
    <w:rsid w:val="1C751C91"/>
    <w:rsid w:val="1C856245"/>
    <w:rsid w:val="1CCD4027"/>
    <w:rsid w:val="1CF80F2C"/>
    <w:rsid w:val="1D0339D8"/>
    <w:rsid w:val="1D407A82"/>
    <w:rsid w:val="1D7E76FE"/>
    <w:rsid w:val="1D954F84"/>
    <w:rsid w:val="1DC54A1D"/>
    <w:rsid w:val="1E7E501C"/>
    <w:rsid w:val="1EAC40C0"/>
    <w:rsid w:val="1F141DC7"/>
    <w:rsid w:val="1F572178"/>
    <w:rsid w:val="1F6A516A"/>
    <w:rsid w:val="1F956224"/>
    <w:rsid w:val="1F9A1A58"/>
    <w:rsid w:val="1FB66C62"/>
    <w:rsid w:val="200915A2"/>
    <w:rsid w:val="2032109E"/>
    <w:rsid w:val="204E4A8E"/>
    <w:rsid w:val="205B1DA3"/>
    <w:rsid w:val="20810E68"/>
    <w:rsid w:val="208B2BFD"/>
    <w:rsid w:val="20FD607F"/>
    <w:rsid w:val="21253C21"/>
    <w:rsid w:val="216E738A"/>
    <w:rsid w:val="21AA00A2"/>
    <w:rsid w:val="21BA6F33"/>
    <w:rsid w:val="21CA1AE6"/>
    <w:rsid w:val="2258772E"/>
    <w:rsid w:val="227746D8"/>
    <w:rsid w:val="228876A8"/>
    <w:rsid w:val="233B61A9"/>
    <w:rsid w:val="23501D06"/>
    <w:rsid w:val="235F441D"/>
    <w:rsid w:val="23663D0A"/>
    <w:rsid w:val="238B1303"/>
    <w:rsid w:val="23CA4807"/>
    <w:rsid w:val="23E43828"/>
    <w:rsid w:val="241B13A2"/>
    <w:rsid w:val="241F5B7C"/>
    <w:rsid w:val="247170E1"/>
    <w:rsid w:val="24A655C4"/>
    <w:rsid w:val="24E07FB4"/>
    <w:rsid w:val="24E3329B"/>
    <w:rsid w:val="256A3139"/>
    <w:rsid w:val="257D6BA2"/>
    <w:rsid w:val="25BE5A55"/>
    <w:rsid w:val="25C44BBC"/>
    <w:rsid w:val="25EB0F2A"/>
    <w:rsid w:val="25ED37EB"/>
    <w:rsid w:val="25F46DE7"/>
    <w:rsid w:val="26003133"/>
    <w:rsid w:val="264601CC"/>
    <w:rsid w:val="2681780B"/>
    <w:rsid w:val="268D2CE5"/>
    <w:rsid w:val="269437D5"/>
    <w:rsid w:val="26FB2074"/>
    <w:rsid w:val="270C1CFB"/>
    <w:rsid w:val="2760231B"/>
    <w:rsid w:val="27674A8F"/>
    <w:rsid w:val="279807E5"/>
    <w:rsid w:val="27A55946"/>
    <w:rsid w:val="27BB349F"/>
    <w:rsid w:val="27F067C8"/>
    <w:rsid w:val="27F730D9"/>
    <w:rsid w:val="280412C2"/>
    <w:rsid w:val="28183370"/>
    <w:rsid w:val="286A33AE"/>
    <w:rsid w:val="286C1033"/>
    <w:rsid w:val="288E6680"/>
    <w:rsid w:val="28C20F45"/>
    <w:rsid w:val="290A1B34"/>
    <w:rsid w:val="29313673"/>
    <w:rsid w:val="295906F2"/>
    <w:rsid w:val="29A50AFC"/>
    <w:rsid w:val="29B67D1B"/>
    <w:rsid w:val="29D42D1E"/>
    <w:rsid w:val="2A394622"/>
    <w:rsid w:val="2A47735D"/>
    <w:rsid w:val="2A5819C4"/>
    <w:rsid w:val="2A9D73BD"/>
    <w:rsid w:val="2AD27B84"/>
    <w:rsid w:val="2AE26F9E"/>
    <w:rsid w:val="2AF679BE"/>
    <w:rsid w:val="2B452372"/>
    <w:rsid w:val="2BA23250"/>
    <w:rsid w:val="2BDF352E"/>
    <w:rsid w:val="2BF56356"/>
    <w:rsid w:val="2C117498"/>
    <w:rsid w:val="2C223EC2"/>
    <w:rsid w:val="2C453947"/>
    <w:rsid w:val="2C557D38"/>
    <w:rsid w:val="2CA34301"/>
    <w:rsid w:val="2D393B7E"/>
    <w:rsid w:val="2D5D7ED0"/>
    <w:rsid w:val="2D94786D"/>
    <w:rsid w:val="2E473FEE"/>
    <w:rsid w:val="2E9F188E"/>
    <w:rsid w:val="2EB1583B"/>
    <w:rsid w:val="2EB92139"/>
    <w:rsid w:val="2F726D0A"/>
    <w:rsid w:val="2F985083"/>
    <w:rsid w:val="30250B36"/>
    <w:rsid w:val="30843E42"/>
    <w:rsid w:val="308F1ADA"/>
    <w:rsid w:val="30A05208"/>
    <w:rsid w:val="30A953CC"/>
    <w:rsid w:val="30B73DEA"/>
    <w:rsid w:val="30B97179"/>
    <w:rsid w:val="30C46223"/>
    <w:rsid w:val="30F82E33"/>
    <w:rsid w:val="31763BA5"/>
    <w:rsid w:val="317B4988"/>
    <w:rsid w:val="319D50F7"/>
    <w:rsid w:val="31E716D4"/>
    <w:rsid w:val="31F546D2"/>
    <w:rsid w:val="32167317"/>
    <w:rsid w:val="322D595C"/>
    <w:rsid w:val="326917BA"/>
    <w:rsid w:val="3316734E"/>
    <w:rsid w:val="338A3A01"/>
    <w:rsid w:val="33A97197"/>
    <w:rsid w:val="34273D6E"/>
    <w:rsid w:val="343F68CB"/>
    <w:rsid w:val="34BB44E4"/>
    <w:rsid w:val="353164D3"/>
    <w:rsid w:val="35436554"/>
    <w:rsid w:val="35484624"/>
    <w:rsid w:val="354F3DA6"/>
    <w:rsid w:val="3574344A"/>
    <w:rsid w:val="35804F32"/>
    <w:rsid w:val="359B0981"/>
    <w:rsid w:val="360A3A78"/>
    <w:rsid w:val="36705DDE"/>
    <w:rsid w:val="367A1642"/>
    <w:rsid w:val="368878B5"/>
    <w:rsid w:val="36C533CD"/>
    <w:rsid w:val="37595E02"/>
    <w:rsid w:val="37BD6228"/>
    <w:rsid w:val="38804144"/>
    <w:rsid w:val="388D7CD2"/>
    <w:rsid w:val="39165618"/>
    <w:rsid w:val="395B3D04"/>
    <w:rsid w:val="397C70E3"/>
    <w:rsid w:val="39995CE5"/>
    <w:rsid w:val="3A1352C8"/>
    <w:rsid w:val="3A151A0B"/>
    <w:rsid w:val="3A9E099C"/>
    <w:rsid w:val="3ADD15D1"/>
    <w:rsid w:val="3B263497"/>
    <w:rsid w:val="3B540113"/>
    <w:rsid w:val="3BC3397F"/>
    <w:rsid w:val="3C061FA3"/>
    <w:rsid w:val="3C475B28"/>
    <w:rsid w:val="3C596E53"/>
    <w:rsid w:val="3CE52BEB"/>
    <w:rsid w:val="3D0B740D"/>
    <w:rsid w:val="3DDC0916"/>
    <w:rsid w:val="3DF34BE7"/>
    <w:rsid w:val="3E073EF9"/>
    <w:rsid w:val="3E1423AA"/>
    <w:rsid w:val="3E9407B0"/>
    <w:rsid w:val="3E9B6079"/>
    <w:rsid w:val="3EA677E5"/>
    <w:rsid w:val="3EF95857"/>
    <w:rsid w:val="3F8B001D"/>
    <w:rsid w:val="3F9A1A81"/>
    <w:rsid w:val="3FC95D6F"/>
    <w:rsid w:val="3FCA17FE"/>
    <w:rsid w:val="3FD87F53"/>
    <w:rsid w:val="3FF467A4"/>
    <w:rsid w:val="40123435"/>
    <w:rsid w:val="40757C6C"/>
    <w:rsid w:val="40A95F66"/>
    <w:rsid w:val="40EA7177"/>
    <w:rsid w:val="410B1F26"/>
    <w:rsid w:val="412738F0"/>
    <w:rsid w:val="41A02AC6"/>
    <w:rsid w:val="41F8112E"/>
    <w:rsid w:val="42057B75"/>
    <w:rsid w:val="42600444"/>
    <w:rsid w:val="426F21B9"/>
    <w:rsid w:val="42DA3C6A"/>
    <w:rsid w:val="430E6171"/>
    <w:rsid w:val="43164CAE"/>
    <w:rsid w:val="438A03D7"/>
    <w:rsid w:val="43DC273C"/>
    <w:rsid w:val="43FA6FCA"/>
    <w:rsid w:val="44443F96"/>
    <w:rsid w:val="448A6C84"/>
    <w:rsid w:val="453D712D"/>
    <w:rsid w:val="45404AD7"/>
    <w:rsid w:val="4546651B"/>
    <w:rsid w:val="4552724E"/>
    <w:rsid w:val="45787AF5"/>
    <w:rsid w:val="45D40A4B"/>
    <w:rsid w:val="45D72C01"/>
    <w:rsid w:val="45DF1800"/>
    <w:rsid w:val="45F3043D"/>
    <w:rsid w:val="46242EC3"/>
    <w:rsid w:val="46442FE6"/>
    <w:rsid w:val="468B3613"/>
    <w:rsid w:val="468D7036"/>
    <w:rsid w:val="46B23BB7"/>
    <w:rsid w:val="46C16DC0"/>
    <w:rsid w:val="46E4672C"/>
    <w:rsid w:val="470A3E8D"/>
    <w:rsid w:val="476C464E"/>
    <w:rsid w:val="47755921"/>
    <w:rsid w:val="47E50294"/>
    <w:rsid w:val="48A83599"/>
    <w:rsid w:val="48AE0DDB"/>
    <w:rsid w:val="48DB18C5"/>
    <w:rsid w:val="48EC0A4F"/>
    <w:rsid w:val="491E236E"/>
    <w:rsid w:val="49346654"/>
    <w:rsid w:val="49A968E6"/>
    <w:rsid w:val="49BD6F64"/>
    <w:rsid w:val="49FA59A0"/>
    <w:rsid w:val="4A2E151A"/>
    <w:rsid w:val="4A325AAE"/>
    <w:rsid w:val="4A47179E"/>
    <w:rsid w:val="4A8B5BF6"/>
    <w:rsid w:val="4AE32352"/>
    <w:rsid w:val="4B227B60"/>
    <w:rsid w:val="4B7132BF"/>
    <w:rsid w:val="4B81703E"/>
    <w:rsid w:val="4B92773C"/>
    <w:rsid w:val="4BDD486D"/>
    <w:rsid w:val="4C274673"/>
    <w:rsid w:val="4C3C788E"/>
    <w:rsid w:val="4C540C95"/>
    <w:rsid w:val="4C553102"/>
    <w:rsid w:val="4CA626E4"/>
    <w:rsid w:val="4CE46646"/>
    <w:rsid w:val="4CFD69C6"/>
    <w:rsid w:val="4D135031"/>
    <w:rsid w:val="4D2928B9"/>
    <w:rsid w:val="4DC72E45"/>
    <w:rsid w:val="4DF22CA9"/>
    <w:rsid w:val="4E023EDC"/>
    <w:rsid w:val="4E056F5A"/>
    <w:rsid w:val="4E2259B4"/>
    <w:rsid w:val="4E3B51DE"/>
    <w:rsid w:val="4EA830E1"/>
    <w:rsid w:val="4EDC1EB1"/>
    <w:rsid w:val="4EF6519A"/>
    <w:rsid w:val="4EFE48A5"/>
    <w:rsid w:val="4F0F6165"/>
    <w:rsid w:val="4F15152F"/>
    <w:rsid w:val="4F7C04C8"/>
    <w:rsid w:val="4FC6275D"/>
    <w:rsid w:val="50907C42"/>
    <w:rsid w:val="50A7088F"/>
    <w:rsid w:val="50C461CA"/>
    <w:rsid w:val="50E84923"/>
    <w:rsid w:val="510A09DC"/>
    <w:rsid w:val="521D0B56"/>
    <w:rsid w:val="526F2A1D"/>
    <w:rsid w:val="527429C1"/>
    <w:rsid w:val="52940232"/>
    <w:rsid w:val="531112A6"/>
    <w:rsid w:val="533802B0"/>
    <w:rsid w:val="533C3B52"/>
    <w:rsid w:val="53471809"/>
    <w:rsid w:val="536C3F0B"/>
    <w:rsid w:val="537F3005"/>
    <w:rsid w:val="538A24F4"/>
    <w:rsid w:val="53B82E99"/>
    <w:rsid w:val="53C372DB"/>
    <w:rsid w:val="540521AE"/>
    <w:rsid w:val="541C347A"/>
    <w:rsid w:val="5448544E"/>
    <w:rsid w:val="54877B84"/>
    <w:rsid w:val="54B72614"/>
    <w:rsid w:val="550E1AE1"/>
    <w:rsid w:val="553B4FCF"/>
    <w:rsid w:val="55452BDB"/>
    <w:rsid w:val="55470D09"/>
    <w:rsid w:val="55515E18"/>
    <w:rsid w:val="555754F8"/>
    <w:rsid w:val="55B60419"/>
    <w:rsid w:val="560E0469"/>
    <w:rsid w:val="562F1154"/>
    <w:rsid w:val="56607CDF"/>
    <w:rsid w:val="570B7635"/>
    <w:rsid w:val="57A509D6"/>
    <w:rsid w:val="58377BEC"/>
    <w:rsid w:val="58486567"/>
    <w:rsid w:val="585E5A22"/>
    <w:rsid w:val="5883687F"/>
    <w:rsid w:val="58A7240B"/>
    <w:rsid w:val="58E84116"/>
    <w:rsid w:val="58EC7E13"/>
    <w:rsid w:val="58EF01FF"/>
    <w:rsid w:val="593D0E06"/>
    <w:rsid w:val="596035EC"/>
    <w:rsid w:val="59A74EFA"/>
    <w:rsid w:val="5A2F0DA6"/>
    <w:rsid w:val="5A4A727C"/>
    <w:rsid w:val="5A5479D3"/>
    <w:rsid w:val="5A8D0E51"/>
    <w:rsid w:val="5AAD7C72"/>
    <w:rsid w:val="5ACD0A5E"/>
    <w:rsid w:val="5B204D58"/>
    <w:rsid w:val="5B2B0C50"/>
    <w:rsid w:val="5BC35E63"/>
    <w:rsid w:val="5BD8693E"/>
    <w:rsid w:val="5BE11457"/>
    <w:rsid w:val="5BEF3C62"/>
    <w:rsid w:val="5C120045"/>
    <w:rsid w:val="5C4F3A2B"/>
    <w:rsid w:val="5C591D1D"/>
    <w:rsid w:val="5C764B2D"/>
    <w:rsid w:val="5C8D7E5B"/>
    <w:rsid w:val="5C967B06"/>
    <w:rsid w:val="5CFD6B77"/>
    <w:rsid w:val="5D14572E"/>
    <w:rsid w:val="5D5145F3"/>
    <w:rsid w:val="5D8767AE"/>
    <w:rsid w:val="5DC61E7E"/>
    <w:rsid w:val="5DC65D01"/>
    <w:rsid w:val="5DEA5A2D"/>
    <w:rsid w:val="5E161F57"/>
    <w:rsid w:val="5E177004"/>
    <w:rsid w:val="5E3E1307"/>
    <w:rsid w:val="5E431168"/>
    <w:rsid w:val="5E521BBD"/>
    <w:rsid w:val="5EB818DB"/>
    <w:rsid w:val="5EC522EB"/>
    <w:rsid w:val="5EE132EC"/>
    <w:rsid w:val="5F0E4864"/>
    <w:rsid w:val="5FA8318B"/>
    <w:rsid w:val="5FC30EF9"/>
    <w:rsid w:val="5FD95C51"/>
    <w:rsid w:val="5FE8339C"/>
    <w:rsid w:val="5FEF35D3"/>
    <w:rsid w:val="600C0C2B"/>
    <w:rsid w:val="60187431"/>
    <w:rsid w:val="607C5C81"/>
    <w:rsid w:val="60E26068"/>
    <w:rsid w:val="619652A6"/>
    <w:rsid w:val="61AD20C2"/>
    <w:rsid w:val="61B012F8"/>
    <w:rsid w:val="61D50CD0"/>
    <w:rsid w:val="61FA55ED"/>
    <w:rsid w:val="623220ED"/>
    <w:rsid w:val="624460C9"/>
    <w:rsid w:val="624C1AAC"/>
    <w:rsid w:val="62847106"/>
    <w:rsid w:val="62E73DC2"/>
    <w:rsid w:val="638A0E79"/>
    <w:rsid w:val="63AD55C3"/>
    <w:rsid w:val="63CA02E0"/>
    <w:rsid w:val="641427A9"/>
    <w:rsid w:val="643B1BCF"/>
    <w:rsid w:val="6460383C"/>
    <w:rsid w:val="648F7110"/>
    <w:rsid w:val="64AE6CF0"/>
    <w:rsid w:val="65601C1D"/>
    <w:rsid w:val="66612A29"/>
    <w:rsid w:val="6684355E"/>
    <w:rsid w:val="66A03796"/>
    <w:rsid w:val="67490299"/>
    <w:rsid w:val="674E1D0B"/>
    <w:rsid w:val="678057EF"/>
    <w:rsid w:val="67DA7A10"/>
    <w:rsid w:val="67E15D2E"/>
    <w:rsid w:val="67ED7013"/>
    <w:rsid w:val="67EE24BE"/>
    <w:rsid w:val="680208FD"/>
    <w:rsid w:val="682062A4"/>
    <w:rsid w:val="684D4BB6"/>
    <w:rsid w:val="685C65A6"/>
    <w:rsid w:val="6872163A"/>
    <w:rsid w:val="68BC4CF0"/>
    <w:rsid w:val="691E7F15"/>
    <w:rsid w:val="6929351C"/>
    <w:rsid w:val="695C33F2"/>
    <w:rsid w:val="69737B45"/>
    <w:rsid w:val="69D77275"/>
    <w:rsid w:val="6A8278FC"/>
    <w:rsid w:val="6AA35793"/>
    <w:rsid w:val="6ADF40C1"/>
    <w:rsid w:val="6B052E2E"/>
    <w:rsid w:val="6B9E5837"/>
    <w:rsid w:val="6BCF114D"/>
    <w:rsid w:val="6C2E368F"/>
    <w:rsid w:val="6C4702F2"/>
    <w:rsid w:val="6C50179A"/>
    <w:rsid w:val="6C540948"/>
    <w:rsid w:val="6C7000F8"/>
    <w:rsid w:val="6C7D4FF8"/>
    <w:rsid w:val="6C842198"/>
    <w:rsid w:val="6CA048BC"/>
    <w:rsid w:val="6CBD1930"/>
    <w:rsid w:val="6D013069"/>
    <w:rsid w:val="6D2F5E72"/>
    <w:rsid w:val="6DA1380B"/>
    <w:rsid w:val="6E2A466F"/>
    <w:rsid w:val="6E645502"/>
    <w:rsid w:val="6E8400F7"/>
    <w:rsid w:val="6EA2780A"/>
    <w:rsid w:val="6EBF60EB"/>
    <w:rsid w:val="6EC90AAE"/>
    <w:rsid w:val="6F0740FE"/>
    <w:rsid w:val="6F4A6557"/>
    <w:rsid w:val="6FFA6B39"/>
    <w:rsid w:val="70220B74"/>
    <w:rsid w:val="715B2148"/>
    <w:rsid w:val="71601A8A"/>
    <w:rsid w:val="71BC47A3"/>
    <w:rsid w:val="71C971FF"/>
    <w:rsid w:val="71DA7DB2"/>
    <w:rsid w:val="72D61A66"/>
    <w:rsid w:val="72DF6DA9"/>
    <w:rsid w:val="730C4270"/>
    <w:rsid w:val="73483DC7"/>
    <w:rsid w:val="734C34CB"/>
    <w:rsid w:val="736B6999"/>
    <w:rsid w:val="739672B8"/>
    <w:rsid w:val="73A33031"/>
    <w:rsid w:val="740030D4"/>
    <w:rsid w:val="745410BE"/>
    <w:rsid w:val="7496135E"/>
    <w:rsid w:val="74F9668C"/>
    <w:rsid w:val="75610162"/>
    <w:rsid w:val="75612539"/>
    <w:rsid w:val="75A726F1"/>
    <w:rsid w:val="75DE2055"/>
    <w:rsid w:val="75F251AB"/>
    <w:rsid w:val="760E2F2C"/>
    <w:rsid w:val="762952B6"/>
    <w:rsid w:val="764A31F9"/>
    <w:rsid w:val="7650244C"/>
    <w:rsid w:val="76EA4522"/>
    <w:rsid w:val="76ED397C"/>
    <w:rsid w:val="771A0F7D"/>
    <w:rsid w:val="772918F7"/>
    <w:rsid w:val="7730072D"/>
    <w:rsid w:val="77457EB8"/>
    <w:rsid w:val="774D4B46"/>
    <w:rsid w:val="7767095B"/>
    <w:rsid w:val="776A4E3F"/>
    <w:rsid w:val="77CD57C9"/>
    <w:rsid w:val="781452AB"/>
    <w:rsid w:val="787D2D73"/>
    <w:rsid w:val="78A3450E"/>
    <w:rsid w:val="79364554"/>
    <w:rsid w:val="7955162F"/>
    <w:rsid w:val="79B63149"/>
    <w:rsid w:val="79C82C2F"/>
    <w:rsid w:val="79D75F84"/>
    <w:rsid w:val="7A1A5AFA"/>
    <w:rsid w:val="7A2477F3"/>
    <w:rsid w:val="7A4A60E6"/>
    <w:rsid w:val="7AED595A"/>
    <w:rsid w:val="7B033263"/>
    <w:rsid w:val="7B202CDE"/>
    <w:rsid w:val="7B8621F7"/>
    <w:rsid w:val="7BB545F1"/>
    <w:rsid w:val="7BF0357D"/>
    <w:rsid w:val="7C003FC2"/>
    <w:rsid w:val="7C5C40FD"/>
    <w:rsid w:val="7C75347C"/>
    <w:rsid w:val="7C821F38"/>
    <w:rsid w:val="7C893C34"/>
    <w:rsid w:val="7CA70CD4"/>
    <w:rsid w:val="7CD0360A"/>
    <w:rsid w:val="7CE9095E"/>
    <w:rsid w:val="7CF26EAA"/>
    <w:rsid w:val="7D1459CF"/>
    <w:rsid w:val="7D156D26"/>
    <w:rsid w:val="7D20677E"/>
    <w:rsid w:val="7D281FC6"/>
    <w:rsid w:val="7D3C7D45"/>
    <w:rsid w:val="7D8B2E5D"/>
    <w:rsid w:val="7DB1628A"/>
    <w:rsid w:val="7DDB0225"/>
    <w:rsid w:val="7E195D4C"/>
    <w:rsid w:val="7E232EF9"/>
    <w:rsid w:val="7E4B5223"/>
    <w:rsid w:val="7E515BFA"/>
    <w:rsid w:val="7E612A26"/>
    <w:rsid w:val="7E9B49FB"/>
    <w:rsid w:val="7EE51C5F"/>
    <w:rsid w:val="7F090374"/>
    <w:rsid w:val="7FA93732"/>
    <w:rsid w:val="7FE2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5">
    <w:name w:val="heading 2"/>
    <w:basedOn w:val="1"/>
    <w:next w:val="1"/>
    <w:link w:val="50"/>
    <w:qFormat/>
    <w:uiPriority w:val="9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51"/>
    <w:qFormat/>
    <w:uiPriority w:val="99"/>
    <w:pPr>
      <w:jc w:val="left"/>
      <w:outlineLvl w:val="2"/>
    </w:pPr>
    <w:rPr>
      <w:rFonts w:ascii="宋体" w:hAnsi="宋体"/>
      <w:b/>
      <w:kern w:val="0"/>
      <w:sz w:val="27"/>
      <w:szCs w:val="27"/>
    </w:rPr>
  </w:style>
  <w:style w:type="paragraph" w:styleId="7">
    <w:name w:val="heading 4"/>
    <w:basedOn w:val="1"/>
    <w:next w:val="1"/>
    <w:qFormat/>
    <w:locked/>
    <w:uiPriority w:val="0"/>
    <w:pPr>
      <w:keepNext/>
      <w:keepLines/>
      <w:spacing w:before="20" w:after="20" w:line="360" w:lineRule="auto"/>
      <w:outlineLvl w:val="3"/>
    </w:pPr>
    <w:rPr>
      <w:rFonts w:ascii="Cambria" w:hAnsi="Cambria"/>
      <w:b/>
      <w:bCs/>
      <w:sz w:val="24"/>
      <w:szCs w:val="28"/>
    </w:rPr>
  </w:style>
  <w:style w:type="paragraph" w:styleId="8">
    <w:name w:val="heading 5"/>
    <w:basedOn w:val="1"/>
    <w:next w:val="1"/>
    <w:link w:val="52"/>
    <w:qFormat/>
    <w:locked/>
    <w:uiPriority w:val="0"/>
    <w:pPr>
      <w:keepNext/>
      <w:keepLines/>
      <w:spacing w:before="280" w:after="290" w:line="372" w:lineRule="auto"/>
      <w:outlineLvl w:val="4"/>
    </w:pPr>
    <w:rPr>
      <w:rFonts w:ascii="Calibri" w:hAnsi="Calibri" w:eastAsia="FangSong_GB2312"/>
      <w:b/>
      <w:sz w:val="28"/>
    </w:rPr>
  </w:style>
  <w:style w:type="paragraph" w:styleId="9">
    <w:name w:val="heading 6"/>
    <w:basedOn w:val="1"/>
    <w:next w:val="1"/>
    <w:link w:val="53"/>
    <w:qFormat/>
    <w:locked/>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54"/>
    <w:qFormat/>
    <w:locked/>
    <w:uiPriority w:val="0"/>
    <w:pPr>
      <w:keepNext/>
      <w:keepLines/>
      <w:spacing w:before="240" w:after="64" w:line="317" w:lineRule="auto"/>
      <w:outlineLvl w:val="6"/>
    </w:pPr>
    <w:rPr>
      <w:rFonts w:ascii="Calibri" w:hAnsi="Calibri" w:eastAsia="FangSong_GB2312"/>
      <w:b/>
      <w:sz w:val="24"/>
    </w:rPr>
  </w:style>
  <w:style w:type="paragraph" w:styleId="11">
    <w:name w:val="heading 8"/>
    <w:basedOn w:val="1"/>
    <w:next w:val="1"/>
    <w:link w:val="55"/>
    <w:qFormat/>
    <w:locked/>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56"/>
    <w:qFormat/>
    <w:locked/>
    <w:uiPriority w:val="0"/>
    <w:pPr>
      <w:keepNext/>
      <w:keepLines/>
      <w:spacing w:before="240" w:after="64" w:line="317"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unhideWhenUsed/>
    <w:qFormat/>
    <w:locked/>
    <w:uiPriority w:val="99"/>
    <w:pPr>
      <w:ind w:firstLine="420" w:firstLineChars="200"/>
    </w:pPr>
  </w:style>
  <w:style w:type="paragraph" w:customStyle="1" w:styleId="3">
    <w:name w:val="*正文"/>
    <w:basedOn w:val="1"/>
    <w:qFormat/>
    <w:uiPriority w:val="0"/>
    <w:pPr>
      <w:spacing w:line="360" w:lineRule="auto"/>
      <w:ind w:firstLine="482"/>
    </w:pPr>
    <w:rPr>
      <w:rFonts w:cs="仿宋_GB2312"/>
      <w:sz w:val="28"/>
    </w:rPr>
  </w:style>
  <w:style w:type="paragraph" w:styleId="13">
    <w:name w:val="toc 7"/>
    <w:basedOn w:val="1"/>
    <w:next w:val="1"/>
    <w:qFormat/>
    <w:locked/>
    <w:uiPriority w:val="99"/>
    <w:pPr>
      <w:ind w:left="2520" w:leftChars="1200"/>
    </w:pPr>
    <w:rPr>
      <w:sz w:val="24"/>
    </w:rPr>
  </w:style>
  <w:style w:type="paragraph" w:styleId="14">
    <w:name w:val="Normal Indent"/>
    <w:basedOn w:val="1"/>
    <w:qFormat/>
    <w:locked/>
    <w:uiPriority w:val="0"/>
    <w:pPr>
      <w:ind w:firstLine="420" w:firstLineChars="200"/>
    </w:pPr>
  </w:style>
  <w:style w:type="paragraph" w:styleId="15">
    <w:name w:val="annotation text"/>
    <w:basedOn w:val="1"/>
    <w:link w:val="57"/>
    <w:qFormat/>
    <w:locked/>
    <w:uiPriority w:val="99"/>
    <w:pPr>
      <w:jc w:val="left"/>
    </w:pPr>
    <w:rPr>
      <w:rFonts w:ascii="Calibri" w:hAnsi="Calibri"/>
      <w:kern w:val="0"/>
      <w:sz w:val="20"/>
    </w:rPr>
  </w:style>
  <w:style w:type="paragraph" w:styleId="16">
    <w:name w:val="Body Text"/>
    <w:basedOn w:val="1"/>
    <w:next w:val="1"/>
    <w:link w:val="58"/>
    <w:semiHidden/>
    <w:qFormat/>
    <w:locked/>
    <w:uiPriority w:val="99"/>
    <w:pPr>
      <w:spacing w:after="120"/>
    </w:pPr>
    <w:rPr>
      <w:rFonts w:ascii="Calibri" w:hAnsi="Calibri"/>
      <w:sz w:val="24"/>
    </w:rPr>
  </w:style>
  <w:style w:type="paragraph" w:styleId="17">
    <w:name w:val="Body Text Indent"/>
    <w:basedOn w:val="1"/>
    <w:next w:val="1"/>
    <w:unhideWhenUsed/>
    <w:qFormat/>
    <w:locked/>
    <w:uiPriority w:val="99"/>
    <w:pPr>
      <w:spacing w:after="120"/>
      <w:ind w:left="420" w:leftChars="200"/>
    </w:pPr>
  </w:style>
  <w:style w:type="paragraph" w:styleId="18">
    <w:name w:val="Block Text"/>
    <w:basedOn w:val="1"/>
    <w:qFormat/>
    <w:locked/>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9">
    <w:name w:val="toc 5"/>
    <w:basedOn w:val="1"/>
    <w:next w:val="1"/>
    <w:qFormat/>
    <w:locked/>
    <w:uiPriority w:val="99"/>
    <w:pPr>
      <w:ind w:left="1680" w:leftChars="800"/>
    </w:pPr>
    <w:rPr>
      <w:sz w:val="24"/>
    </w:rPr>
  </w:style>
  <w:style w:type="paragraph" w:styleId="20">
    <w:name w:val="toc 3"/>
    <w:basedOn w:val="1"/>
    <w:next w:val="1"/>
    <w:qFormat/>
    <w:uiPriority w:val="99"/>
    <w:pPr>
      <w:ind w:left="840" w:leftChars="400"/>
    </w:pPr>
  </w:style>
  <w:style w:type="paragraph" w:styleId="21">
    <w:name w:val="Plain Text"/>
    <w:basedOn w:val="1"/>
    <w:link w:val="59"/>
    <w:qFormat/>
    <w:locked/>
    <w:uiPriority w:val="0"/>
    <w:rPr>
      <w:rFonts w:ascii="宋体" w:hAnsi="宋体"/>
      <w:color w:val="000000"/>
      <w:kern w:val="1"/>
      <w:szCs w:val="20"/>
    </w:rPr>
  </w:style>
  <w:style w:type="paragraph" w:styleId="22">
    <w:name w:val="toc 8"/>
    <w:basedOn w:val="1"/>
    <w:next w:val="1"/>
    <w:qFormat/>
    <w:locked/>
    <w:uiPriority w:val="99"/>
    <w:pPr>
      <w:ind w:left="2940" w:leftChars="1400"/>
    </w:pPr>
    <w:rPr>
      <w:sz w:val="24"/>
    </w:rPr>
  </w:style>
  <w:style w:type="paragraph" w:styleId="23">
    <w:name w:val="Body Text Indent 2"/>
    <w:basedOn w:val="1"/>
    <w:qFormat/>
    <w:locked/>
    <w:uiPriority w:val="0"/>
    <w:pPr>
      <w:spacing w:after="120" w:line="480" w:lineRule="auto"/>
      <w:ind w:left="420" w:leftChars="200"/>
    </w:pPr>
  </w:style>
  <w:style w:type="paragraph" w:styleId="24">
    <w:name w:val="Balloon Text"/>
    <w:basedOn w:val="1"/>
    <w:link w:val="60"/>
    <w:qFormat/>
    <w:uiPriority w:val="99"/>
    <w:rPr>
      <w:rFonts w:ascii="Calibri" w:hAnsi="Calibri"/>
      <w:sz w:val="18"/>
      <w:szCs w:val="18"/>
    </w:rPr>
  </w:style>
  <w:style w:type="paragraph" w:styleId="25">
    <w:name w:val="footer"/>
    <w:basedOn w:val="1"/>
    <w:link w:val="61"/>
    <w:qFormat/>
    <w:uiPriority w:val="0"/>
    <w:pPr>
      <w:tabs>
        <w:tab w:val="center" w:pos="4153"/>
        <w:tab w:val="right" w:pos="8306"/>
      </w:tabs>
      <w:snapToGrid w:val="0"/>
      <w:jc w:val="left"/>
    </w:pPr>
    <w:rPr>
      <w:rFonts w:ascii="Calibri" w:hAnsi="Calibri"/>
      <w:sz w:val="24"/>
    </w:rPr>
  </w:style>
  <w:style w:type="paragraph" w:styleId="26">
    <w:name w:val="header"/>
    <w:basedOn w:val="1"/>
    <w:link w:val="6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7">
    <w:name w:val="toc 1"/>
    <w:basedOn w:val="1"/>
    <w:next w:val="1"/>
    <w:qFormat/>
    <w:uiPriority w:val="99"/>
  </w:style>
  <w:style w:type="paragraph" w:styleId="28">
    <w:name w:val="toc 4"/>
    <w:basedOn w:val="1"/>
    <w:next w:val="1"/>
    <w:qFormat/>
    <w:locked/>
    <w:uiPriority w:val="99"/>
    <w:pPr>
      <w:ind w:left="1260" w:leftChars="600"/>
    </w:pPr>
    <w:rPr>
      <w:sz w:val="24"/>
    </w:rPr>
  </w:style>
  <w:style w:type="paragraph" w:styleId="29">
    <w:name w:val="toc 6"/>
    <w:basedOn w:val="1"/>
    <w:next w:val="1"/>
    <w:qFormat/>
    <w:locked/>
    <w:uiPriority w:val="99"/>
    <w:pPr>
      <w:ind w:left="2100" w:leftChars="1000"/>
    </w:pPr>
    <w:rPr>
      <w:sz w:val="24"/>
    </w:rPr>
  </w:style>
  <w:style w:type="paragraph" w:styleId="30">
    <w:name w:val="toc 2"/>
    <w:basedOn w:val="1"/>
    <w:next w:val="1"/>
    <w:qFormat/>
    <w:uiPriority w:val="99"/>
    <w:pPr>
      <w:widowControl/>
      <w:tabs>
        <w:tab w:val="right" w:leader="dot" w:pos="8296"/>
      </w:tabs>
      <w:spacing w:after="100" w:line="360" w:lineRule="auto"/>
      <w:ind w:left="221"/>
      <w:jc w:val="left"/>
    </w:pPr>
    <w:rPr>
      <w:kern w:val="0"/>
      <w:sz w:val="22"/>
      <w:szCs w:val="22"/>
    </w:rPr>
  </w:style>
  <w:style w:type="paragraph" w:styleId="31">
    <w:name w:val="toc 9"/>
    <w:basedOn w:val="1"/>
    <w:next w:val="1"/>
    <w:qFormat/>
    <w:locked/>
    <w:uiPriority w:val="99"/>
    <w:pPr>
      <w:ind w:left="3360" w:leftChars="1600"/>
    </w:pPr>
    <w:rPr>
      <w:sz w:val="24"/>
    </w:rPr>
  </w:style>
  <w:style w:type="paragraph" w:styleId="32">
    <w:name w:val="Body Text 2"/>
    <w:basedOn w:val="1"/>
    <w:link w:val="63"/>
    <w:unhideWhenUsed/>
    <w:qFormat/>
    <w:locked/>
    <w:uiPriority w:val="99"/>
    <w:pPr>
      <w:spacing w:after="120" w:line="480" w:lineRule="auto"/>
    </w:pPr>
    <w:rPr>
      <w:szCs w:val="22"/>
    </w:rPr>
  </w:style>
  <w:style w:type="paragraph" w:styleId="33">
    <w:name w:val="Normal (Web)"/>
    <w:basedOn w:val="1"/>
    <w:link w:val="64"/>
    <w:qFormat/>
    <w:uiPriority w:val="0"/>
    <w:pPr>
      <w:jc w:val="left"/>
    </w:pPr>
    <w:rPr>
      <w:rFonts w:ascii="Calibri" w:hAnsi="Calibri"/>
      <w:kern w:val="0"/>
      <w:sz w:val="24"/>
    </w:rPr>
  </w:style>
  <w:style w:type="paragraph" w:styleId="34">
    <w:name w:val="annotation subject"/>
    <w:basedOn w:val="15"/>
    <w:next w:val="15"/>
    <w:link w:val="65"/>
    <w:semiHidden/>
    <w:qFormat/>
    <w:locked/>
    <w:uiPriority w:val="99"/>
    <w:rPr>
      <w:b/>
      <w:bCs/>
    </w:rPr>
  </w:style>
  <w:style w:type="paragraph" w:styleId="35">
    <w:name w:val="Body Text First Indent"/>
    <w:basedOn w:val="16"/>
    <w:next w:val="2"/>
    <w:unhideWhenUsed/>
    <w:qFormat/>
    <w:locked/>
    <w:uiPriority w:val="99"/>
    <w:pPr>
      <w:tabs>
        <w:tab w:val="left" w:pos="1277"/>
      </w:tabs>
      <w:ind w:firstLine="420" w:firstLineChars="100"/>
    </w:pPr>
  </w:style>
  <w:style w:type="table" w:styleId="37">
    <w:name w:val="Table Grid"/>
    <w:basedOn w:val="3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cs="Times New Roman"/>
      <w:b/>
    </w:rPr>
  </w:style>
  <w:style w:type="character" w:styleId="40">
    <w:name w:val="page number"/>
    <w:qFormat/>
    <w:locked/>
    <w:uiPriority w:val="99"/>
    <w:rPr>
      <w:rFonts w:cs="Times New Roman"/>
    </w:rPr>
  </w:style>
  <w:style w:type="character" w:styleId="41">
    <w:name w:val="FollowedHyperlink"/>
    <w:qFormat/>
    <w:uiPriority w:val="99"/>
    <w:rPr>
      <w:rFonts w:cs="Times New Roman"/>
      <w:color w:val="551A8B"/>
      <w:u w:val="none"/>
    </w:rPr>
  </w:style>
  <w:style w:type="character" w:styleId="42">
    <w:name w:val="HTML Definition"/>
    <w:qFormat/>
    <w:uiPriority w:val="99"/>
    <w:rPr>
      <w:rFonts w:cs="Times New Roman"/>
      <w:i/>
    </w:rPr>
  </w:style>
  <w:style w:type="character" w:styleId="43">
    <w:name w:val="Hyperlink"/>
    <w:qFormat/>
    <w:uiPriority w:val="99"/>
    <w:rPr>
      <w:rFonts w:cs="Times New Roman"/>
      <w:color w:val="0000EE"/>
      <w:u w:val="none"/>
    </w:rPr>
  </w:style>
  <w:style w:type="character" w:styleId="44">
    <w:name w:val="HTML Code"/>
    <w:qFormat/>
    <w:uiPriority w:val="99"/>
    <w:rPr>
      <w:rFonts w:ascii="monospace" w:hAnsi="monospace" w:cs="monospace"/>
      <w:sz w:val="21"/>
      <w:szCs w:val="21"/>
    </w:rPr>
  </w:style>
  <w:style w:type="character" w:styleId="45">
    <w:name w:val="annotation reference"/>
    <w:qFormat/>
    <w:locked/>
    <w:uiPriority w:val="99"/>
    <w:rPr>
      <w:rFonts w:cs="Times New Roman"/>
      <w:sz w:val="21"/>
      <w:szCs w:val="21"/>
    </w:rPr>
  </w:style>
  <w:style w:type="character" w:styleId="46">
    <w:name w:val="HTML Keyboard"/>
    <w:qFormat/>
    <w:uiPriority w:val="99"/>
    <w:rPr>
      <w:rFonts w:ascii="monospace" w:hAnsi="monospace" w:cs="monospace"/>
      <w:sz w:val="21"/>
      <w:szCs w:val="21"/>
    </w:rPr>
  </w:style>
  <w:style w:type="character" w:styleId="47">
    <w:name w:val="HTML Sample"/>
    <w:qFormat/>
    <w:uiPriority w:val="99"/>
    <w:rPr>
      <w:rFonts w:ascii="monospace" w:hAnsi="monospace" w:cs="monospace"/>
      <w:sz w:val="21"/>
      <w:szCs w:val="21"/>
    </w:rPr>
  </w:style>
  <w:style w:type="paragraph" w:customStyle="1" w:styleId="4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9">
    <w:name w:val="标题 1 字符"/>
    <w:link w:val="4"/>
    <w:qFormat/>
    <w:locked/>
    <w:uiPriority w:val="99"/>
    <w:rPr>
      <w:rFonts w:ascii="Calibri" w:hAnsi="Calibri" w:eastAsia="微软雅黑" w:cs="Times New Roman"/>
      <w:b/>
      <w:bCs/>
      <w:kern w:val="44"/>
      <w:sz w:val="44"/>
      <w:szCs w:val="44"/>
    </w:rPr>
  </w:style>
  <w:style w:type="character" w:customStyle="1" w:styleId="50">
    <w:name w:val="标题 2 字符"/>
    <w:link w:val="5"/>
    <w:qFormat/>
    <w:locked/>
    <w:uiPriority w:val="99"/>
    <w:rPr>
      <w:rFonts w:ascii="Calibri Light" w:hAnsi="Calibri Light" w:eastAsia="宋体" w:cs="Times New Roman"/>
      <w:b/>
      <w:bCs/>
      <w:kern w:val="2"/>
      <w:sz w:val="32"/>
      <w:szCs w:val="32"/>
    </w:rPr>
  </w:style>
  <w:style w:type="character" w:customStyle="1" w:styleId="51">
    <w:name w:val="标题 3 字符"/>
    <w:link w:val="6"/>
    <w:qFormat/>
    <w:locked/>
    <w:uiPriority w:val="99"/>
    <w:rPr>
      <w:rFonts w:ascii="宋体" w:hAnsi="宋体" w:eastAsia="宋体" w:cs="Times New Roman"/>
      <w:b/>
      <w:sz w:val="27"/>
      <w:szCs w:val="27"/>
    </w:rPr>
  </w:style>
  <w:style w:type="character" w:customStyle="1" w:styleId="52">
    <w:name w:val="标题 5 字符"/>
    <w:link w:val="8"/>
    <w:semiHidden/>
    <w:qFormat/>
    <w:uiPriority w:val="0"/>
    <w:rPr>
      <w:rFonts w:ascii="Calibri" w:hAnsi="Calibri" w:eastAsia="FangSong_GB2312" w:cs="Times New Roman"/>
      <w:b/>
      <w:kern w:val="2"/>
      <w:sz w:val="28"/>
      <w:szCs w:val="24"/>
    </w:rPr>
  </w:style>
  <w:style w:type="character" w:customStyle="1" w:styleId="53">
    <w:name w:val="标题 6 字符"/>
    <w:link w:val="9"/>
    <w:semiHidden/>
    <w:qFormat/>
    <w:uiPriority w:val="0"/>
    <w:rPr>
      <w:rFonts w:ascii="Arial" w:hAnsi="Arial" w:eastAsia="黑体" w:cs="Times New Roman"/>
      <w:b/>
      <w:kern w:val="2"/>
      <w:sz w:val="24"/>
      <w:szCs w:val="24"/>
    </w:rPr>
  </w:style>
  <w:style w:type="character" w:customStyle="1" w:styleId="54">
    <w:name w:val="标题 7 字符"/>
    <w:link w:val="10"/>
    <w:semiHidden/>
    <w:qFormat/>
    <w:uiPriority w:val="0"/>
    <w:rPr>
      <w:rFonts w:ascii="Calibri" w:hAnsi="Calibri" w:eastAsia="FangSong_GB2312" w:cs="Times New Roman"/>
      <w:b/>
      <w:kern w:val="2"/>
      <w:sz w:val="24"/>
      <w:szCs w:val="24"/>
    </w:rPr>
  </w:style>
  <w:style w:type="character" w:customStyle="1" w:styleId="55">
    <w:name w:val="标题 8 字符"/>
    <w:link w:val="11"/>
    <w:semiHidden/>
    <w:qFormat/>
    <w:uiPriority w:val="0"/>
    <w:rPr>
      <w:rFonts w:ascii="Arial" w:hAnsi="Arial" w:eastAsia="黑体" w:cs="Times New Roman"/>
      <w:kern w:val="2"/>
      <w:sz w:val="24"/>
      <w:szCs w:val="24"/>
    </w:rPr>
  </w:style>
  <w:style w:type="character" w:customStyle="1" w:styleId="56">
    <w:name w:val="标题 9 字符"/>
    <w:link w:val="12"/>
    <w:semiHidden/>
    <w:qFormat/>
    <w:uiPriority w:val="0"/>
    <w:rPr>
      <w:rFonts w:ascii="Arial" w:hAnsi="Arial" w:eastAsia="黑体" w:cs="Times New Roman"/>
      <w:kern w:val="2"/>
      <w:sz w:val="21"/>
      <w:szCs w:val="24"/>
    </w:rPr>
  </w:style>
  <w:style w:type="character" w:customStyle="1" w:styleId="57">
    <w:name w:val="批注文字 字符"/>
    <w:link w:val="15"/>
    <w:qFormat/>
    <w:uiPriority w:val="99"/>
    <w:rPr>
      <w:rFonts w:ascii="Calibri" w:hAnsi="Calibri"/>
      <w:szCs w:val="24"/>
    </w:rPr>
  </w:style>
  <w:style w:type="character" w:customStyle="1" w:styleId="58">
    <w:name w:val="正文文本 字符"/>
    <w:link w:val="16"/>
    <w:semiHidden/>
    <w:qFormat/>
    <w:uiPriority w:val="99"/>
    <w:rPr>
      <w:rFonts w:ascii="Calibri" w:hAnsi="Calibri"/>
      <w:kern w:val="2"/>
      <w:sz w:val="24"/>
      <w:szCs w:val="24"/>
    </w:rPr>
  </w:style>
  <w:style w:type="character" w:customStyle="1" w:styleId="59">
    <w:name w:val="纯文本 字符"/>
    <w:link w:val="21"/>
    <w:qFormat/>
    <w:uiPriority w:val="0"/>
    <w:rPr>
      <w:rFonts w:ascii="宋体" w:hAnsi="宋体" w:cs="Courier New"/>
      <w:color w:val="000000"/>
      <w:kern w:val="1"/>
      <w:sz w:val="21"/>
    </w:rPr>
  </w:style>
  <w:style w:type="character" w:customStyle="1" w:styleId="60">
    <w:name w:val="批注框文本 字符"/>
    <w:link w:val="24"/>
    <w:qFormat/>
    <w:locked/>
    <w:uiPriority w:val="99"/>
    <w:rPr>
      <w:rFonts w:ascii="Calibri" w:hAnsi="Calibri" w:eastAsia="宋体" w:cs="Times New Roman"/>
      <w:kern w:val="2"/>
      <w:sz w:val="18"/>
      <w:szCs w:val="18"/>
    </w:rPr>
  </w:style>
  <w:style w:type="character" w:customStyle="1" w:styleId="61">
    <w:name w:val="页脚 字符"/>
    <w:link w:val="25"/>
    <w:qFormat/>
    <w:locked/>
    <w:uiPriority w:val="0"/>
    <w:rPr>
      <w:rFonts w:ascii="Calibri" w:hAnsi="Calibri" w:eastAsia="宋体" w:cs="Times New Roman"/>
      <w:kern w:val="2"/>
      <w:sz w:val="24"/>
      <w:szCs w:val="24"/>
    </w:rPr>
  </w:style>
  <w:style w:type="character" w:customStyle="1" w:styleId="62">
    <w:name w:val="页眉 字符"/>
    <w:link w:val="26"/>
    <w:qFormat/>
    <w:locked/>
    <w:uiPriority w:val="99"/>
    <w:rPr>
      <w:rFonts w:ascii="Calibri" w:hAnsi="Calibri" w:cs="Times New Roman"/>
      <w:sz w:val="18"/>
      <w:szCs w:val="18"/>
    </w:rPr>
  </w:style>
  <w:style w:type="character" w:customStyle="1" w:styleId="63">
    <w:name w:val="正文文本 2 字符"/>
    <w:link w:val="32"/>
    <w:semiHidden/>
    <w:qFormat/>
    <w:uiPriority w:val="99"/>
    <w:rPr>
      <w:kern w:val="2"/>
      <w:sz w:val="21"/>
      <w:szCs w:val="22"/>
    </w:rPr>
  </w:style>
  <w:style w:type="character" w:customStyle="1" w:styleId="64">
    <w:name w:val="普通(网站) 字符"/>
    <w:link w:val="33"/>
    <w:qFormat/>
    <w:locked/>
    <w:uiPriority w:val="0"/>
    <w:rPr>
      <w:rFonts w:ascii="Calibri" w:hAnsi="Calibri" w:eastAsia="宋体" w:cs="Times New Roman"/>
      <w:sz w:val="24"/>
      <w:szCs w:val="24"/>
    </w:rPr>
  </w:style>
  <w:style w:type="character" w:customStyle="1" w:styleId="65">
    <w:name w:val="批注主题 字符"/>
    <w:link w:val="34"/>
    <w:semiHidden/>
    <w:qFormat/>
    <w:uiPriority w:val="99"/>
    <w:rPr>
      <w:rFonts w:ascii="Calibri" w:hAnsi="Calibri"/>
      <w:b/>
      <w:bCs/>
      <w:szCs w:val="24"/>
    </w:rPr>
  </w:style>
  <w:style w:type="character" w:customStyle="1" w:styleId="66">
    <w:name w:val="editinput"/>
    <w:qFormat/>
    <w:uiPriority w:val="99"/>
    <w:rPr>
      <w:rFonts w:cs="Times New Roman"/>
    </w:rPr>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apple-converted-space"/>
    <w:qFormat/>
    <w:uiPriority w:val="0"/>
  </w:style>
  <w:style w:type="character" w:customStyle="1" w:styleId="69">
    <w:name w:val="列表段落 字符"/>
    <w:link w:val="70"/>
    <w:qFormat/>
    <w:locked/>
    <w:uiPriority w:val="0"/>
    <w:rPr>
      <w:rFonts w:ascii="Calibri" w:hAnsi="Calibri"/>
      <w:sz w:val="24"/>
      <w:szCs w:val="24"/>
    </w:rPr>
  </w:style>
  <w:style w:type="paragraph" w:styleId="70">
    <w:name w:val="List Paragraph"/>
    <w:basedOn w:val="1"/>
    <w:link w:val="69"/>
    <w:qFormat/>
    <w:uiPriority w:val="0"/>
    <w:pPr>
      <w:ind w:firstLine="420" w:firstLineChars="200"/>
    </w:pPr>
    <w:rPr>
      <w:rFonts w:ascii="Calibri" w:hAnsi="Calibri"/>
      <w:kern w:val="0"/>
      <w:sz w:val="24"/>
    </w:rPr>
  </w:style>
  <w:style w:type="character" w:customStyle="1" w:styleId="71">
    <w:name w:val="样式2 Char"/>
    <w:link w:val="72"/>
    <w:qFormat/>
    <w:locked/>
    <w:uiPriority w:val="99"/>
    <w:rPr>
      <w:rFonts w:ascii="微软雅黑" w:hAnsi="微软雅黑" w:eastAsia="微软雅黑" w:cs="宋体"/>
      <w:color w:val="222222"/>
      <w:sz w:val="31"/>
      <w:szCs w:val="31"/>
    </w:rPr>
  </w:style>
  <w:style w:type="paragraph" w:customStyle="1" w:styleId="72">
    <w:name w:val="样式2"/>
    <w:basedOn w:val="33"/>
    <w:link w:val="71"/>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3">
    <w:name w:val="样式3 Char"/>
    <w:link w:val="74"/>
    <w:qFormat/>
    <w:locked/>
    <w:uiPriority w:val="99"/>
    <w:rPr>
      <w:rFonts w:ascii="微软雅黑" w:hAnsi="微软雅黑" w:eastAsia="微软雅黑" w:cs="宋体"/>
      <w:color w:val="222222"/>
      <w:sz w:val="36"/>
      <w:szCs w:val="36"/>
    </w:rPr>
  </w:style>
  <w:style w:type="paragraph" w:customStyle="1" w:styleId="74">
    <w:name w:val="样式3"/>
    <w:basedOn w:val="72"/>
    <w:link w:val="73"/>
    <w:qFormat/>
    <w:uiPriority w:val="99"/>
    <w:rPr>
      <w:sz w:val="36"/>
      <w:szCs w:val="36"/>
    </w:rPr>
  </w:style>
  <w:style w:type="character" w:customStyle="1" w:styleId="75">
    <w:name w:val="font21"/>
    <w:basedOn w:val="38"/>
    <w:qFormat/>
    <w:uiPriority w:val="0"/>
    <w:rPr>
      <w:rFonts w:hint="eastAsia" w:ascii="宋体" w:hAnsi="宋体" w:eastAsia="宋体" w:cs="宋体"/>
      <w:color w:val="000000"/>
      <w:sz w:val="22"/>
      <w:szCs w:val="22"/>
      <w:u w:val="none"/>
    </w:rPr>
  </w:style>
  <w:style w:type="character" w:customStyle="1" w:styleId="76">
    <w:name w:val="font121"/>
    <w:qFormat/>
    <w:uiPriority w:val="0"/>
    <w:rPr>
      <w:rFonts w:hint="default" w:ascii="微软雅黑 Light" w:hAnsi="微软雅黑 Light" w:eastAsia="微软雅黑 Light" w:cs="微软雅黑 Light"/>
      <w:b/>
      <w:bCs/>
      <w:color w:val="000000"/>
      <w:sz w:val="24"/>
      <w:szCs w:val="24"/>
      <w:u w:val="none"/>
    </w:rPr>
  </w:style>
  <w:style w:type="character" w:customStyle="1" w:styleId="77">
    <w:name w:val="纯文本 Char"/>
    <w:semiHidden/>
    <w:qFormat/>
    <w:uiPriority w:val="99"/>
    <w:rPr>
      <w:rFonts w:ascii="宋体" w:hAnsi="Courier New" w:cs="Courier New"/>
      <w:kern w:val="2"/>
      <w:sz w:val="21"/>
      <w:szCs w:val="21"/>
    </w:rPr>
  </w:style>
  <w:style w:type="character" w:customStyle="1" w:styleId="78">
    <w:name w:val="样式1 Char"/>
    <w:link w:val="79"/>
    <w:qFormat/>
    <w:locked/>
    <w:uiPriority w:val="99"/>
    <w:rPr>
      <w:rFonts w:ascii="微软雅黑" w:hAnsi="微软雅黑" w:eastAsia="微软雅黑" w:cs="宋体"/>
      <w:color w:val="222222"/>
      <w:sz w:val="43"/>
      <w:szCs w:val="43"/>
    </w:rPr>
  </w:style>
  <w:style w:type="paragraph" w:customStyle="1" w:styleId="79">
    <w:name w:val="样式1"/>
    <w:basedOn w:val="33"/>
    <w:link w:val="78"/>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80">
    <w:name w:val="xl64"/>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1">
    <w:name w:val="xl65"/>
    <w:basedOn w:val="1"/>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2">
    <w:name w:val="列出段落1"/>
    <w:basedOn w:val="1"/>
    <w:qFormat/>
    <w:uiPriority w:val="99"/>
    <w:pPr>
      <w:ind w:firstLine="420" w:firstLineChars="200"/>
    </w:pPr>
    <w:rPr>
      <w:szCs w:val="20"/>
    </w:rPr>
  </w:style>
  <w:style w:type="paragraph" w:customStyle="1" w:styleId="83">
    <w:name w:val="首行缩进"/>
    <w:basedOn w:val="1"/>
    <w:qFormat/>
    <w:uiPriority w:val="0"/>
    <w:pPr>
      <w:spacing w:line="360" w:lineRule="auto"/>
      <w:ind w:left="210" w:leftChars="100" w:firstLine="420" w:firstLineChars="200"/>
    </w:pPr>
    <w:rPr>
      <w:rFonts w:ascii="宋体" w:hAnsi="宋体"/>
    </w:rPr>
  </w:style>
  <w:style w:type="paragraph" w:customStyle="1" w:styleId="84">
    <w:name w:val="xl68"/>
    <w:basedOn w:val="1"/>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5">
    <w:name w:val="_Style 19"/>
    <w:basedOn w:val="1"/>
    <w:next w:val="1"/>
    <w:qFormat/>
    <w:uiPriority w:val="99"/>
    <w:pPr>
      <w:pBdr>
        <w:bottom w:val="single" w:color="auto" w:sz="6" w:space="1"/>
      </w:pBdr>
      <w:jc w:val="center"/>
    </w:pPr>
    <w:rPr>
      <w:rFonts w:ascii="Arial"/>
      <w:vanish/>
      <w:sz w:val="16"/>
    </w:rPr>
  </w:style>
  <w:style w:type="paragraph" w:customStyle="1" w:styleId="86">
    <w:name w:val="inx_text23"/>
    <w:basedOn w:val="1"/>
    <w:qFormat/>
    <w:uiPriority w:val="99"/>
    <w:pPr>
      <w:spacing w:before="135" w:line="345" w:lineRule="atLeast"/>
      <w:jc w:val="center"/>
    </w:pPr>
    <w:rPr>
      <w:color w:val="FFFFFF"/>
      <w:kern w:val="0"/>
      <w:sz w:val="24"/>
    </w:rPr>
  </w:style>
  <w:style w:type="paragraph" w:customStyle="1" w:styleId="87">
    <w:name w:val="inx_text11"/>
    <w:basedOn w:val="1"/>
    <w:qFormat/>
    <w:uiPriority w:val="99"/>
    <w:pPr>
      <w:spacing w:before="45" w:line="375" w:lineRule="atLeast"/>
      <w:jc w:val="right"/>
    </w:pPr>
    <w:rPr>
      <w:color w:val="666666"/>
      <w:kern w:val="0"/>
      <w:szCs w:val="21"/>
    </w:rPr>
  </w:style>
  <w:style w:type="paragraph" w:customStyle="1" w:styleId="8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9">
    <w:name w:val="_Style 20"/>
    <w:basedOn w:val="1"/>
    <w:next w:val="1"/>
    <w:qFormat/>
    <w:uiPriority w:val="99"/>
    <w:pPr>
      <w:pBdr>
        <w:top w:val="single" w:color="auto" w:sz="6" w:space="1"/>
      </w:pBdr>
      <w:jc w:val="center"/>
    </w:pPr>
    <w:rPr>
      <w:rFonts w:ascii="Arial"/>
      <w:vanish/>
      <w:sz w:val="16"/>
    </w:rPr>
  </w:style>
  <w:style w:type="paragraph" w:customStyle="1" w:styleId="90">
    <w:name w:val="pag_text2"/>
    <w:basedOn w:val="1"/>
    <w:qFormat/>
    <w:uiPriority w:val="99"/>
    <w:pPr>
      <w:spacing w:line="570" w:lineRule="atLeast"/>
      <w:ind w:left="150"/>
      <w:jc w:val="left"/>
    </w:pPr>
    <w:rPr>
      <w:color w:val="444444"/>
      <w:kern w:val="0"/>
      <w:sz w:val="22"/>
      <w:szCs w:val="22"/>
    </w:rPr>
  </w:style>
  <w:style w:type="paragraph" w:customStyle="1" w:styleId="91">
    <w:name w:val="TOC Heading1"/>
    <w:basedOn w:val="4"/>
    <w:next w:val="1"/>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2">
    <w:name w:val="xl63"/>
    <w:basedOn w:val="1"/>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3">
    <w:name w:val="inx_text24"/>
    <w:basedOn w:val="1"/>
    <w:qFormat/>
    <w:uiPriority w:val="99"/>
    <w:pPr>
      <w:spacing w:line="300" w:lineRule="atLeast"/>
      <w:jc w:val="center"/>
    </w:pPr>
    <w:rPr>
      <w:color w:val="444444"/>
      <w:kern w:val="0"/>
      <w:sz w:val="19"/>
      <w:szCs w:val="19"/>
    </w:rPr>
  </w:style>
  <w:style w:type="paragraph" w:customStyle="1" w:styleId="94">
    <w:name w:val="规划正文"/>
    <w:basedOn w:val="1"/>
    <w:qFormat/>
    <w:uiPriority w:val="99"/>
    <w:pPr>
      <w:spacing w:beforeLines="100" w:line="360" w:lineRule="auto"/>
      <w:ind w:firstLine="200" w:firstLineChars="200"/>
      <w:jc w:val="left"/>
    </w:pPr>
    <w:rPr>
      <w:rFonts w:ascii="Arial" w:hAnsi="Arial" w:eastAsia="FangSong_GB2312"/>
      <w:bCs/>
      <w:sz w:val="28"/>
    </w:rPr>
  </w:style>
  <w:style w:type="paragraph" w:customStyle="1" w:styleId="95">
    <w:name w:val="xl66"/>
    <w:basedOn w:val="1"/>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6">
    <w:name w:val="Fließtext"/>
    <w:basedOn w:val="1"/>
    <w:qFormat/>
    <w:uiPriority w:val="99"/>
    <w:pPr>
      <w:overflowPunct w:val="0"/>
      <w:autoSpaceDE w:val="0"/>
      <w:autoSpaceDN w:val="0"/>
      <w:adjustRightInd w:val="0"/>
      <w:textAlignment w:val="baseline"/>
    </w:pPr>
    <w:rPr>
      <w:kern w:val="28"/>
      <w:szCs w:val="20"/>
    </w:rPr>
  </w:style>
  <w:style w:type="paragraph" w:customStyle="1" w:styleId="97">
    <w:name w:val="Table Paragraph"/>
    <w:basedOn w:val="1"/>
    <w:qFormat/>
    <w:uiPriority w:val="1"/>
    <w:rPr>
      <w:rFonts w:ascii="宋体" w:hAnsi="宋体" w:cs="宋体"/>
    </w:rPr>
  </w:style>
  <w:style w:type="paragraph" w:customStyle="1" w:styleId="98">
    <w:name w:val="pag_text"/>
    <w:basedOn w:val="1"/>
    <w:qFormat/>
    <w:uiPriority w:val="99"/>
    <w:pPr>
      <w:spacing w:line="570" w:lineRule="atLeast"/>
      <w:ind w:left="90"/>
      <w:jc w:val="left"/>
    </w:pPr>
    <w:rPr>
      <w:color w:val="444444"/>
      <w:kern w:val="0"/>
      <w:sz w:val="22"/>
      <w:szCs w:val="22"/>
    </w:rPr>
  </w:style>
  <w:style w:type="paragraph" w:customStyle="1" w:styleId="99">
    <w:name w:val="inx_text"/>
    <w:basedOn w:val="1"/>
    <w:qFormat/>
    <w:uiPriority w:val="99"/>
    <w:pPr>
      <w:spacing w:line="450" w:lineRule="atLeast"/>
      <w:jc w:val="left"/>
    </w:pPr>
    <w:rPr>
      <w:color w:val="AAAAAA"/>
      <w:kern w:val="0"/>
      <w:szCs w:val="21"/>
    </w:rPr>
  </w:style>
  <w:style w:type="paragraph" w:customStyle="1" w:styleId="100">
    <w:name w:val="xl69"/>
    <w:basedOn w:val="1"/>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1">
    <w:name w:val="普通(网站)1"/>
    <w:basedOn w:val="1"/>
    <w:qFormat/>
    <w:uiPriority w:val="0"/>
    <w:pPr>
      <w:spacing w:beforeAutospacing="1" w:afterAutospacing="1" w:line="400" w:lineRule="exact"/>
      <w:ind w:firstLine="880" w:firstLineChars="200"/>
      <w:jc w:val="left"/>
    </w:pPr>
    <w:rPr>
      <w:rFonts w:ascii="Calibri" w:hAnsi="Calibri" w:eastAsia="FangSong_GB2312"/>
      <w:kern w:val="0"/>
      <w:sz w:val="24"/>
    </w:rPr>
  </w:style>
  <w:style w:type="paragraph" w:customStyle="1" w:styleId="102">
    <w:name w:val="xl67"/>
    <w:basedOn w:val="1"/>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3">
    <w:name w:val="pag_text11"/>
    <w:basedOn w:val="1"/>
    <w:qFormat/>
    <w:uiPriority w:val="99"/>
    <w:pPr>
      <w:spacing w:line="570" w:lineRule="atLeast"/>
      <w:ind w:left="150"/>
      <w:jc w:val="left"/>
    </w:pPr>
    <w:rPr>
      <w:color w:val="444444"/>
      <w:kern w:val="0"/>
      <w:sz w:val="22"/>
      <w:szCs w:val="22"/>
    </w:rPr>
  </w:style>
  <w:style w:type="paragraph" w:customStyle="1" w:styleId="104">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5">
    <w:name w:val="p0"/>
    <w:basedOn w:val="1"/>
    <w:qFormat/>
    <w:uiPriority w:val="0"/>
    <w:pPr>
      <w:widowControl/>
    </w:pPr>
    <w:rPr>
      <w:kern w:val="0"/>
      <w:szCs w:val="21"/>
    </w:rPr>
  </w:style>
  <w:style w:type="character" w:customStyle="1" w:styleId="106">
    <w:name w:val="font31"/>
    <w:basedOn w:val="38"/>
    <w:qFormat/>
    <w:uiPriority w:val="0"/>
    <w:rPr>
      <w:rFonts w:hint="eastAsia" w:ascii="宋体" w:hAnsi="宋体" w:eastAsia="宋体" w:cs="宋体"/>
      <w:color w:val="000000"/>
      <w:sz w:val="20"/>
      <w:szCs w:val="20"/>
      <w:u w:val="none"/>
    </w:rPr>
  </w:style>
  <w:style w:type="character" w:customStyle="1" w:styleId="107">
    <w:name w:val="NormalCharacter"/>
    <w:qFormat/>
    <w:uiPriority w:val="0"/>
    <w:rPr>
      <w:rFonts w:ascii="Times New Roman" w:hAnsi="Times New Roman" w:eastAsia="宋体" w:cs="Times New Roman"/>
      <w:kern w:val="2"/>
      <w:sz w:val="21"/>
      <w:szCs w:val="24"/>
      <w:lang w:val="en-US" w:eastAsia="zh-CN" w:bidi="ar-SA"/>
    </w:rPr>
  </w:style>
  <w:style w:type="paragraph" w:customStyle="1" w:styleId="10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09">
    <w:name w:val="font91"/>
    <w:basedOn w:val="38"/>
    <w:qFormat/>
    <w:uiPriority w:val="0"/>
    <w:rPr>
      <w:rFonts w:hint="eastAsia" w:ascii="宋体" w:hAnsi="宋体" w:eastAsia="宋体" w:cs="宋体"/>
      <w:color w:val="000000"/>
      <w:sz w:val="24"/>
      <w:szCs w:val="24"/>
      <w:u w:val="none"/>
    </w:rPr>
  </w:style>
  <w:style w:type="character" w:customStyle="1" w:styleId="110">
    <w:name w:val="font11"/>
    <w:basedOn w:val="38"/>
    <w:qFormat/>
    <w:uiPriority w:val="0"/>
    <w:rPr>
      <w:rFonts w:hint="eastAsia" w:ascii="宋体" w:hAnsi="宋体" w:eastAsia="宋体" w:cs="宋体"/>
      <w:color w:val="000000"/>
      <w:sz w:val="22"/>
      <w:szCs w:val="22"/>
      <w:u w:val="none"/>
    </w:rPr>
  </w:style>
  <w:style w:type="character" w:customStyle="1" w:styleId="111">
    <w:name w:val="font41"/>
    <w:basedOn w:val="3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68</Pages>
  <Words>34990</Words>
  <Characters>36452</Characters>
  <Lines>283</Lines>
  <Paragraphs>79</Paragraphs>
  <TotalTime>4</TotalTime>
  <ScaleCrop>false</ScaleCrop>
  <LinksUpToDate>false</LinksUpToDate>
  <CharactersWithSpaces>39493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2021-09-12T07:42:00Z</dcterms:created>
  <dc:creator>Administrator</dc:creator>
  <cp:lastModifiedBy>Israel</cp:lastModifiedBy>
  <cp:lastPrinted>2022-07-26T07:49:00Z</cp:lastPrinted>
  <dcterms:modified xsi:type="dcterms:W3CDTF">2022-12-02T03:45:01Z</dcterms:modified>
  <dc:title>福建省政府采购项目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1728EA1E504946118F7E3473DC14A7C9</vt:lpwstr>
  </property>
</Properties>
</file>