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widowControl/>
        <w:spacing w:before="75" w:beforeAutospacing="0" w:after="75" w:afterAutospacing="0"/>
        <w:jc w:val="center"/>
        <w:rPr>
          <w:rStyle w:val="16"/>
          <w:rFonts w:ascii="宋体" w:hAnsi="宋体" w:eastAsia="宋体" w:cs="宋体"/>
          <w:color w:val="auto"/>
          <w:highlight w:val="none"/>
        </w:rPr>
      </w:pPr>
    </w:p>
    <w:p>
      <w:pPr>
        <w:pStyle w:val="12"/>
        <w:widowControl/>
        <w:spacing w:before="75" w:beforeAutospacing="0" w:after="75" w:afterAutospacing="0"/>
        <w:jc w:val="center"/>
        <w:rPr>
          <w:rStyle w:val="16"/>
          <w:rFonts w:ascii="宋体" w:hAnsi="宋体" w:eastAsia="宋体" w:cs="宋体"/>
          <w:color w:val="auto"/>
          <w:highlight w:val="none"/>
        </w:rPr>
      </w:pPr>
    </w:p>
    <w:p>
      <w:pPr>
        <w:pStyle w:val="12"/>
        <w:widowControl/>
        <w:spacing w:before="75" w:beforeAutospacing="0" w:after="75" w:afterAutospacing="0"/>
        <w:jc w:val="center"/>
        <w:rPr>
          <w:rStyle w:val="16"/>
          <w:rFonts w:ascii="宋体" w:hAnsi="宋体" w:eastAsia="宋体" w:cs="宋体"/>
          <w:color w:val="auto"/>
          <w:sz w:val="15"/>
          <w:szCs w:val="15"/>
          <w:highlight w:val="none"/>
        </w:rPr>
      </w:pPr>
    </w:p>
    <w:p>
      <w:pPr>
        <w:pStyle w:val="12"/>
        <w:widowControl/>
        <w:spacing w:before="75" w:beforeAutospacing="0" w:after="75" w:afterAutospacing="0" w:line="720" w:lineRule="auto"/>
        <w:jc w:val="center"/>
        <w:outlineLvl w:val="0"/>
        <w:rPr>
          <w:rStyle w:val="16"/>
          <w:rFonts w:ascii="宋体" w:hAnsi="宋体" w:eastAsia="宋体" w:cs="宋体"/>
          <w:color w:val="auto"/>
          <w:sz w:val="72"/>
          <w:szCs w:val="72"/>
          <w:highlight w:val="none"/>
        </w:rPr>
      </w:pPr>
      <w:r>
        <w:rPr>
          <w:rStyle w:val="16"/>
          <w:rFonts w:hint="eastAsia" w:ascii="宋体" w:hAnsi="宋体" w:eastAsia="宋体" w:cs="宋体"/>
          <w:color w:val="auto"/>
          <w:sz w:val="72"/>
          <w:szCs w:val="72"/>
          <w:highlight w:val="none"/>
        </w:rPr>
        <w:t>招标文件</w:t>
      </w:r>
    </w:p>
    <w:p>
      <w:pPr>
        <w:pStyle w:val="12"/>
        <w:widowControl/>
        <w:spacing w:before="75" w:beforeAutospacing="0" w:after="75" w:afterAutospacing="0"/>
        <w:jc w:val="center"/>
        <w:rPr>
          <w:rStyle w:val="16"/>
          <w:rFonts w:ascii="宋体" w:hAnsi="宋体" w:eastAsia="宋体" w:cs="宋体"/>
          <w:color w:val="auto"/>
          <w:sz w:val="18"/>
          <w:szCs w:val="18"/>
          <w:highlight w:val="none"/>
        </w:rPr>
      </w:pPr>
    </w:p>
    <w:p>
      <w:pPr>
        <w:pStyle w:val="12"/>
        <w:widowControl/>
        <w:spacing w:before="75" w:beforeAutospacing="0" w:after="75" w:afterAutospacing="0"/>
        <w:jc w:val="center"/>
        <w:rPr>
          <w:rStyle w:val="16"/>
          <w:rFonts w:ascii="宋体" w:hAnsi="宋体" w:eastAsia="宋体" w:cs="宋体"/>
          <w:color w:val="auto"/>
          <w:sz w:val="40"/>
          <w:szCs w:val="40"/>
          <w:highlight w:val="none"/>
        </w:rPr>
      </w:pPr>
      <w:r>
        <w:rPr>
          <w:rStyle w:val="16"/>
          <w:rFonts w:hint="eastAsia" w:ascii="宋体" w:hAnsi="宋体" w:cs="宋体"/>
          <w:color w:val="auto"/>
          <w:sz w:val="40"/>
          <w:szCs w:val="40"/>
          <w:highlight w:val="none"/>
        </w:rPr>
        <w:t>（</w:t>
      </w:r>
      <w:r>
        <w:rPr>
          <w:rStyle w:val="16"/>
          <w:rFonts w:hint="eastAsia" w:ascii="宋体" w:hAnsi="宋体" w:cs="宋体"/>
          <w:color w:val="auto"/>
          <w:sz w:val="40"/>
          <w:szCs w:val="40"/>
          <w:highlight w:val="none"/>
          <w:lang w:val="en-US" w:eastAsia="zh-CN"/>
        </w:rPr>
        <w:t>定</w:t>
      </w:r>
      <w:r>
        <w:rPr>
          <w:rStyle w:val="16"/>
          <w:rFonts w:hint="eastAsia" w:ascii="宋体" w:hAnsi="宋体" w:cs="宋体"/>
          <w:color w:val="auto"/>
          <w:sz w:val="40"/>
          <w:szCs w:val="40"/>
          <w:highlight w:val="none"/>
        </w:rPr>
        <w:t>稿）</w:t>
      </w:r>
    </w:p>
    <w:p>
      <w:pPr>
        <w:pStyle w:val="12"/>
        <w:widowControl/>
        <w:spacing w:before="75" w:beforeAutospacing="0" w:after="75" w:afterAutospacing="0"/>
        <w:rPr>
          <w:rStyle w:val="16"/>
          <w:rFonts w:ascii="宋体" w:hAnsi="宋体" w:eastAsia="宋体" w:cs="宋体"/>
          <w:color w:val="auto"/>
          <w:sz w:val="72"/>
          <w:szCs w:val="72"/>
          <w:highlight w:val="none"/>
        </w:rPr>
      </w:pPr>
      <w:r>
        <w:rPr>
          <w:rStyle w:val="16"/>
          <w:rFonts w:hint="eastAsia" w:ascii="宋体" w:hAnsi="宋体" w:eastAsia="宋体" w:cs="宋体"/>
          <w:color w:val="auto"/>
          <w:sz w:val="72"/>
          <w:szCs w:val="72"/>
          <w:highlight w:val="none"/>
        </w:rPr>
        <w:t>   </w:t>
      </w:r>
    </w:p>
    <w:p>
      <w:pPr>
        <w:pStyle w:val="12"/>
        <w:widowControl/>
        <w:spacing w:before="75" w:beforeAutospacing="0" w:after="75" w:afterAutospacing="0"/>
        <w:rPr>
          <w:rStyle w:val="16"/>
          <w:rFonts w:ascii="宋体" w:hAnsi="宋体" w:eastAsia="宋体" w:cs="宋体"/>
          <w:color w:val="auto"/>
          <w:sz w:val="72"/>
          <w:szCs w:val="72"/>
          <w:highlight w:val="none"/>
        </w:rPr>
      </w:pPr>
    </w:p>
    <w:p>
      <w:pPr>
        <w:pStyle w:val="12"/>
        <w:widowControl/>
        <w:spacing w:before="75" w:beforeAutospacing="0" w:after="75" w:afterAutospacing="0"/>
        <w:jc w:val="center"/>
        <w:rPr>
          <w:color w:val="auto"/>
          <w:highlight w:val="none"/>
        </w:rPr>
      </w:pPr>
      <w:r>
        <w:rPr>
          <w:color w:val="auto"/>
          <w:highlight w:val="none"/>
        </w:rPr>
        <w:t> </w:t>
      </w:r>
    </w:p>
    <w:p>
      <w:pPr>
        <w:pStyle w:val="12"/>
        <w:widowControl/>
        <w:spacing w:before="75" w:beforeAutospacing="0" w:after="75" w:afterAutospacing="0"/>
        <w:jc w:val="center"/>
        <w:rPr>
          <w:rFonts w:ascii="宋体" w:hAnsi="宋体" w:eastAsia="宋体" w:cs="宋体"/>
          <w:color w:val="auto"/>
          <w:sz w:val="30"/>
          <w:szCs w:val="30"/>
          <w:highlight w:val="none"/>
        </w:rPr>
      </w:pPr>
      <w:r>
        <w:rPr>
          <w:rStyle w:val="16"/>
          <w:rFonts w:hint="eastAsia" w:ascii="宋体" w:hAnsi="宋体" w:eastAsia="宋体" w:cs="宋体"/>
          <w:color w:val="auto"/>
          <w:sz w:val="36"/>
          <w:szCs w:val="36"/>
          <w:highlight w:val="none"/>
        </w:rPr>
        <w:t> </w:t>
      </w:r>
      <w:r>
        <w:rPr>
          <w:rStyle w:val="16"/>
          <w:rFonts w:hint="eastAsia" w:ascii="宋体" w:hAnsi="宋体" w:eastAsia="宋体" w:cs="宋体"/>
          <w:color w:val="auto"/>
          <w:sz w:val="30"/>
          <w:szCs w:val="30"/>
          <w:highlight w:val="none"/>
        </w:rPr>
        <w:t>项目编号：</w:t>
      </w:r>
      <w:r>
        <w:rPr>
          <w:rStyle w:val="16"/>
          <w:rFonts w:hint="eastAsia" w:ascii="宋体" w:hAnsi="宋体" w:eastAsia="宋体" w:cs="宋体"/>
          <w:color w:val="auto"/>
          <w:sz w:val="30"/>
          <w:szCs w:val="30"/>
          <w:highlight w:val="none"/>
          <w:lang w:eastAsia="zh-CN"/>
        </w:rPr>
        <w:t>FJFS202103</w:t>
      </w:r>
      <w:r>
        <w:rPr>
          <w:rStyle w:val="16"/>
          <w:rFonts w:hint="default" w:ascii="宋体" w:hAnsi="宋体" w:eastAsia="宋体" w:cs="宋体"/>
          <w:color w:val="auto"/>
          <w:sz w:val="30"/>
          <w:szCs w:val="30"/>
          <w:highlight w:val="none"/>
          <w:lang w:val="en-US" w:eastAsia="zh-CN"/>
        </w:rPr>
        <w:t>8</w:t>
      </w:r>
      <w:r>
        <w:rPr>
          <w:rFonts w:ascii="宋体" w:hAnsi="宋体" w:eastAsia="宋体" w:cs="宋体"/>
          <w:color w:val="auto"/>
          <w:sz w:val="30"/>
          <w:szCs w:val="30"/>
          <w:highlight w:val="none"/>
        </w:rPr>
        <w:t xml:space="preserve"> </w:t>
      </w:r>
    </w:p>
    <w:p>
      <w:pPr>
        <w:pStyle w:val="12"/>
        <w:widowControl/>
        <w:spacing w:before="75" w:beforeAutospacing="0" w:after="75" w:afterAutospacing="0"/>
        <w:jc w:val="center"/>
        <w:rPr>
          <w:color w:val="auto"/>
          <w:highlight w:val="none"/>
        </w:rPr>
      </w:pPr>
    </w:p>
    <w:p>
      <w:pPr>
        <w:pStyle w:val="12"/>
        <w:widowControl/>
        <w:spacing w:before="75" w:beforeAutospacing="0" w:after="75" w:afterAutospacing="0"/>
        <w:jc w:val="center"/>
        <w:rPr>
          <w:rFonts w:hint="eastAsia" w:eastAsia="宋体"/>
          <w:color w:val="auto"/>
          <w:highlight w:val="none"/>
          <w:lang w:eastAsia="zh-CN"/>
        </w:rPr>
      </w:pPr>
      <w:r>
        <w:rPr>
          <w:rStyle w:val="16"/>
          <w:rFonts w:hint="eastAsia" w:ascii="宋体" w:hAnsi="宋体" w:eastAsia="宋体" w:cs="宋体"/>
          <w:color w:val="auto"/>
          <w:sz w:val="30"/>
          <w:szCs w:val="30"/>
          <w:highlight w:val="none"/>
        </w:rPr>
        <w:t>项目名称：</w:t>
      </w:r>
      <w:r>
        <w:rPr>
          <w:rStyle w:val="16"/>
          <w:rFonts w:hint="eastAsia" w:ascii="宋体" w:hAnsi="宋体" w:eastAsia="宋体" w:cs="宋体"/>
          <w:color w:val="auto"/>
          <w:sz w:val="30"/>
          <w:szCs w:val="30"/>
          <w:highlight w:val="none"/>
          <w:lang w:eastAsia="zh-CN"/>
        </w:rPr>
        <w:t>泉州师范学院第五餐厅经营权承包项目</w:t>
      </w:r>
    </w:p>
    <w:p>
      <w:pPr>
        <w:pStyle w:val="12"/>
        <w:widowControl/>
        <w:spacing w:before="75" w:beforeAutospacing="0" w:after="75" w:afterAutospacing="0"/>
        <w:jc w:val="both"/>
        <w:rPr>
          <w:color w:val="auto"/>
          <w:highlight w:val="none"/>
        </w:rPr>
      </w:pPr>
    </w:p>
    <w:p>
      <w:pPr>
        <w:pStyle w:val="12"/>
        <w:widowControl/>
        <w:spacing w:before="75" w:beforeAutospacing="0" w:after="75" w:afterAutospacing="0"/>
        <w:jc w:val="both"/>
        <w:rPr>
          <w:color w:val="auto"/>
          <w:highlight w:val="none"/>
        </w:rPr>
      </w:pPr>
    </w:p>
    <w:p>
      <w:pPr>
        <w:pStyle w:val="12"/>
        <w:widowControl/>
        <w:spacing w:before="75" w:beforeAutospacing="0" w:after="75" w:afterAutospacing="0"/>
        <w:jc w:val="both"/>
        <w:rPr>
          <w:color w:val="auto"/>
          <w:highlight w:val="none"/>
        </w:rPr>
      </w:pPr>
    </w:p>
    <w:p>
      <w:pPr>
        <w:pStyle w:val="12"/>
        <w:widowControl/>
        <w:spacing w:before="75" w:beforeAutospacing="0" w:after="75" w:afterAutospacing="0"/>
        <w:jc w:val="both"/>
        <w:rPr>
          <w:color w:val="auto"/>
          <w:highlight w:val="none"/>
        </w:rPr>
      </w:pPr>
    </w:p>
    <w:p>
      <w:pPr>
        <w:pStyle w:val="12"/>
        <w:widowControl/>
        <w:spacing w:before="75" w:beforeAutospacing="0" w:after="75" w:afterAutospacing="0"/>
        <w:jc w:val="center"/>
        <w:rPr>
          <w:color w:val="auto"/>
          <w:highlight w:val="none"/>
        </w:rPr>
      </w:pPr>
    </w:p>
    <w:p>
      <w:pPr>
        <w:widowControl/>
        <w:jc w:val="center"/>
        <w:rPr>
          <w:color w:val="auto"/>
          <w:highlight w:val="none"/>
        </w:rPr>
      </w:pPr>
    </w:p>
    <w:p>
      <w:pPr>
        <w:pStyle w:val="12"/>
        <w:widowControl/>
        <w:spacing w:before="75" w:beforeAutospacing="0" w:after="75" w:afterAutospacing="0"/>
        <w:jc w:val="center"/>
        <w:rPr>
          <w:rFonts w:hint="default" w:eastAsia="宋体"/>
          <w:b/>
          <w:color w:val="auto"/>
          <w:highlight w:val="none"/>
          <w:lang w:val="en-US" w:eastAsia="zh-CN"/>
        </w:rPr>
      </w:pPr>
      <w:r>
        <w:rPr>
          <w:rStyle w:val="16"/>
          <w:rFonts w:hint="eastAsia" w:ascii="宋体" w:hAnsi="宋体" w:eastAsia="宋体" w:cs="宋体"/>
          <w:color w:val="auto"/>
          <w:sz w:val="27"/>
          <w:szCs w:val="27"/>
          <w:highlight w:val="none"/>
          <w:lang w:eastAsia="zh-CN"/>
        </w:rPr>
        <w:t>招标</w:t>
      </w:r>
      <w:r>
        <w:rPr>
          <w:rStyle w:val="16"/>
          <w:rFonts w:hint="eastAsia" w:ascii="宋体" w:hAnsi="宋体" w:eastAsia="宋体" w:cs="宋体"/>
          <w:color w:val="auto"/>
          <w:sz w:val="27"/>
          <w:szCs w:val="27"/>
          <w:highlight w:val="none"/>
        </w:rPr>
        <w:t>人：</w:t>
      </w:r>
      <w:r>
        <w:rPr>
          <w:rFonts w:hint="default" w:ascii="宋体" w:hAnsi="宋体" w:eastAsia="宋体" w:cs="宋体"/>
          <w:b/>
          <w:color w:val="auto"/>
          <w:sz w:val="28"/>
          <w:szCs w:val="28"/>
          <w:highlight w:val="none"/>
          <w:lang w:val="en-US" w:eastAsia="zh-CN"/>
        </w:rPr>
        <w:t>泉州师范学院</w:t>
      </w:r>
    </w:p>
    <w:p>
      <w:pPr>
        <w:pStyle w:val="12"/>
        <w:widowControl/>
        <w:spacing w:before="75" w:beforeAutospacing="0" w:after="75" w:afterAutospacing="0"/>
        <w:jc w:val="center"/>
        <w:rPr>
          <w:rFonts w:ascii="宋体" w:hAnsi="宋体" w:eastAsia="宋体" w:cs="宋体"/>
          <w:b/>
          <w:color w:val="auto"/>
          <w:sz w:val="28"/>
          <w:szCs w:val="28"/>
          <w:highlight w:val="none"/>
        </w:rPr>
      </w:pPr>
      <w:r>
        <w:rPr>
          <w:rStyle w:val="16"/>
          <w:rFonts w:hint="eastAsia" w:ascii="宋体" w:hAnsi="宋体" w:eastAsia="宋体" w:cs="宋体"/>
          <w:color w:val="auto"/>
          <w:sz w:val="28"/>
          <w:szCs w:val="28"/>
          <w:highlight w:val="none"/>
        </w:rPr>
        <w:t>代理机构：</w:t>
      </w:r>
      <w:r>
        <w:rPr>
          <w:rFonts w:hint="eastAsia" w:ascii="宋体" w:hAnsi="宋体" w:eastAsia="宋体" w:cs="宋体"/>
          <w:b/>
          <w:color w:val="auto"/>
          <w:sz w:val="28"/>
          <w:szCs w:val="28"/>
          <w:highlight w:val="none"/>
        </w:rPr>
        <w:t>福建丰盛项目管理有限公司</w:t>
      </w:r>
    </w:p>
    <w:p>
      <w:pPr>
        <w:pStyle w:val="12"/>
        <w:widowControl/>
        <w:spacing w:before="75" w:beforeAutospacing="0" w:after="75" w:afterAutospacing="0"/>
        <w:jc w:val="both"/>
        <w:rPr>
          <w:rFonts w:ascii="宋体" w:hAnsi="宋体" w:eastAsia="宋体" w:cs="宋体"/>
          <w:color w:val="auto"/>
          <w:sz w:val="28"/>
          <w:szCs w:val="28"/>
          <w:highlight w:val="none"/>
        </w:rPr>
      </w:pPr>
    </w:p>
    <w:p>
      <w:pPr>
        <w:pStyle w:val="12"/>
        <w:widowControl/>
        <w:spacing w:before="75" w:beforeAutospacing="0" w:after="75" w:afterAutospacing="0"/>
        <w:jc w:val="center"/>
        <w:rPr>
          <w:rStyle w:val="16"/>
          <w:rFonts w:ascii="宋体" w:hAnsi="宋体" w:eastAsia="宋体" w:cs="宋体"/>
          <w:color w:val="auto"/>
          <w:sz w:val="31"/>
          <w:szCs w:val="31"/>
          <w:highlight w:val="none"/>
        </w:rPr>
      </w:pPr>
      <w:r>
        <w:rPr>
          <w:color w:val="auto"/>
          <w:sz w:val="27"/>
          <w:szCs w:val="27"/>
          <w:highlight w:val="none"/>
        </w:rPr>
        <w:t> </w:t>
      </w:r>
      <w:r>
        <w:rPr>
          <w:rStyle w:val="16"/>
          <w:rFonts w:hint="eastAsia" w:ascii="宋体" w:hAnsi="宋体" w:eastAsia="宋体" w:cs="宋体"/>
          <w:color w:val="auto"/>
          <w:sz w:val="28"/>
          <w:szCs w:val="28"/>
          <w:highlight w:val="none"/>
        </w:rPr>
        <w:t>2021年</w:t>
      </w:r>
      <w:r>
        <w:rPr>
          <w:rStyle w:val="16"/>
          <w:rFonts w:hint="eastAsia" w:ascii="宋体" w:hAnsi="宋体" w:eastAsia="宋体" w:cs="宋体"/>
          <w:color w:val="auto"/>
          <w:sz w:val="28"/>
          <w:szCs w:val="28"/>
          <w:highlight w:val="none"/>
          <w:lang w:val="en-US" w:eastAsia="zh-CN"/>
        </w:rPr>
        <w:t>11</w:t>
      </w:r>
      <w:r>
        <w:rPr>
          <w:rStyle w:val="16"/>
          <w:rFonts w:hint="eastAsia" w:ascii="宋体" w:hAnsi="宋体" w:eastAsia="宋体" w:cs="宋体"/>
          <w:color w:val="auto"/>
          <w:sz w:val="28"/>
          <w:szCs w:val="28"/>
          <w:highlight w:val="none"/>
        </w:rPr>
        <w:t>月</w:t>
      </w:r>
    </w:p>
    <w:p>
      <w:pPr>
        <w:pStyle w:val="12"/>
        <w:widowControl/>
        <w:spacing w:before="75" w:beforeAutospacing="0" w:after="75" w:afterAutospacing="0"/>
        <w:jc w:val="center"/>
        <w:outlineLvl w:val="0"/>
        <w:rPr>
          <w:rStyle w:val="16"/>
          <w:rFonts w:ascii="宋体" w:hAnsi="宋体" w:cs="宋体"/>
          <w:color w:val="auto"/>
          <w:sz w:val="31"/>
          <w:szCs w:val="31"/>
          <w:highlight w:val="none"/>
        </w:rPr>
        <w:sectPr>
          <w:headerReference r:id="rId3" w:type="default"/>
          <w:pgSz w:w="11906" w:h="16838"/>
          <w:pgMar w:top="1440" w:right="1800" w:bottom="1440" w:left="1800" w:header="851" w:footer="992" w:gutter="0"/>
          <w:pgNumType w:fmt="decimal"/>
          <w:cols w:space="425" w:num="1"/>
          <w:docGrid w:type="lines" w:linePitch="312" w:charSpace="0"/>
        </w:sectPr>
      </w:pPr>
    </w:p>
    <w:p>
      <w:pPr>
        <w:pStyle w:val="12"/>
        <w:widowControl/>
        <w:spacing w:before="75" w:beforeAutospacing="0" w:after="75" w:afterAutospacing="0"/>
        <w:jc w:val="center"/>
        <w:outlineLvl w:val="0"/>
        <w:rPr>
          <w:color w:val="auto"/>
          <w:highlight w:val="none"/>
        </w:rPr>
      </w:pPr>
      <w:r>
        <w:rPr>
          <w:rStyle w:val="16"/>
          <w:rFonts w:hint="eastAsia" w:ascii="宋体" w:hAnsi="宋体" w:cs="宋体"/>
          <w:color w:val="auto"/>
          <w:sz w:val="31"/>
          <w:szCs w:val="31"/>
          <w:highlight w:val="none"/>
        </w:rPr>
        <w:t>第一章</w:t>
      </w:r>
      <w:r>
        <w:rPr>
          <w:rStyle w:val="16"/>
          <w:color w:val="auto"/>
          <w:sz w:val="31"/>
          <w:szCs w:val="31"/>
          <w:highlight w:val="none"/>
        </w:rPr>
        <w:t>   </w:t>
      </w:r>
      <w:r>
        <w:rPr>
          <w:rStyle w:val="16"/>
          <w:rFonts w:hint="eastAsia" w:ascii="宋体" w:hAnsi="宋体" w:cs="宋体"/>
          <w:color w:val="auto"/>
          <w:sz w:val="31"/>
          <w:szCs w:val="31"/>
          <w:highlight w:val="none"/>
        </w:rPr>
        <w:t>投标邀请</w:t>
      </w:r>
    </w:p>
    <w:p>
      <w:pPr>
        <w:pStyle w:val="12"/>
        <w:widowControl/>
        <w:spacing w:before="75" w:beforeAutospacing="0" w:after="75" w:afterAutospacing="0"/>
        <w:rPr>
          <w:color w:val="auto"/>
          <w:highlight w:val="none"/>
        </w:rPr>
      </w:pPr>
      <w:r>
        <w:rPr>
          <w:color w:val="auto"/>
          <w:highlight w:val="none"/>
        </w:rPr>
        <w:t> </w:t>
      </w:r>
    </w:p>
    <w:p>
      <w:pPr>
        <w:pStyle w:val="12"/>
        <w:widowControl/>
        <w:spacing w:before="75" w:beforeAutospacing="0" w:after="75" w:afterAutospacing="0" w:line="360" w:lineRule="auto"/>
        <w:ind w:firstLine="480"/>
        <w:rPr>
          <w:color w:val="auto"/>
          <w:highlight w:val="none"/>
        </w:rPr>
      </w:pPr>
      <w:r>
        <w:rPr>
          <w:rFonts w:hint="eastAsia" w:ascii="宋体" w:hAnsi="宋体" w:cs="宋体"/>
          <w:color w:val="auto"/>
          <w:highlight w:val="none"/>
          <w:u w:val="single"/>
        </w:rPr>
        <w:t>福建丰盛项目管理有限公司</w:t>
      </w:r>
      <w:r>
        <w:rPr>
          <w:rFonts w:hint="eastAsia" w:ascii="宋体" w:hAnsi="宋体" w:cs="宋体"/>
          <w:color w:val="auto"/>
          <w:highlight w:val="none"/>
        </w:rPr>
        <w:t>采用</w:t>
      </w:r>
      <w:r>
        <w:rPr>
          <w:rFonts w:hint="eastAsia" w:ascii="宋体" w:hAnsi="宋体" w:cs="宋体"/>
          <w:b/>
          <w:bCs/>
          <w:color w:val="auto"/>
          <w:highlight w:val="none"/>
          <w:u w:val="single"/>
        </w:rPr>
        <w:t>公开招标</w:t>
      </w:r>
      <w:r>
        <w:rPr>
          <w:rFonts w:hint="eastAsia" w:ascii="宋体" w:hAnsi="宋体" w:cs="宋体"/>
          <w:color w:val="auto"/>
          <w:highlight w:val="none"/>
        </w:rPr>
        <w:t>方式组织</w:t>
      </w:r>
      <w:r>
        <w:rPr>
          <w:rFonts w:hint="eastAsia" w:ascii="宋体" w:hAnsi="宋体" w:cs="宋体"/>
          <w:color w:val="auto"/>
          <w:highlight w:val="none"/>
          <w:u w:val="single"/>
          <w:lang w:eastAsia="zh-CN"/>
        </w:rPr>
        <w:t>泉州师范学院第五餐厅经营权承包项目</w:t>
      </w:r>
      <w:r>
        <w:rPr>
          <w:rFonts w:hint="eastAsia" w:ascii="宋体" w:hAnsi="宋体" w:cs="宋体"/>
          <w:color w:val="auto"/>
          <w:highlight w:val="none"/>
        </w:rPr>
        <w:t>（以下简称：“本项目”）的</w:t>
      </w:r>
      <w:r>
        <w:rPr>
          <w:rFonts w:hint="eastAsia" w:ascii="宋体" w:hAnsi="宋体" w:cs="宋体"/>
          <w:color w:val="auto"/>
          <w:highlight w:val="none"/>
          <w:lang w:eastAsia="zh-CN"/>
        </w:rPr>
        <w:t>招标</w:t>
      </w:r>
      <w:r>
        <w:rPr>
          <w:rFonts w:hint="eastAsia" w:ascii="宋体" w:hAnsi="宋体" w:cs="宋体"/>
          <w:color w:val="auto"/>
          <w:highlight w:val="none"/>
        </w:rPr>
        <w:t>活动，现邀请供应商参加投标。</w:t>
      </w:r>
    </w:p>
    <w:p>
      <w:pPr>
        <w:pStyle w:val="12"/>
        <w:widowControl/>
        <w:spacing w:before="75" w:beforeAutospacing="0" w:after="75" w:afterAutospacing="0" w:line="360" w:lineRule="auto"/>
        <w:ind w:firstLine="480" w:firstLineChars="200"/>
        <w:rPr>
          <w:rFonts w:hint="eastAsia" w:ascii="宋体" w:hAnsi="宋体" w:cs="宋体" w:eastAsiaTheme="minorEastAsia"/>
          <w:color w:val="auto"/>
          <w:highlight w:val="none"/>
          <w:lang w:eastAsia="zh-CN"/>
        </w:rPr>
      </w:pPr>
      <w:r>
        <w:rPr>
          <w:rFonts w:hint="eastAsia" w:ascii="宋体" w:hAnsi="宋体" w:cs="宋体"/>
          <w:color w:val="auto"/>
          <w:highlight w:val="none"/>
        </w:rPr>
        <w:t>1、项目编号：</w:t>
      </w:r>
      <w:r>
        <w:rPr>
          <w:rFonts w:hint="eastAsia" w:ascii="宋体" w:hAnsi="宋体" w:cs="宋体"/>
          <w:color w:val="auto"/>
          <w:highlight w:val="none"/>
          <w:lang w:eastAsia="zh-CN"/>
        </w:rPr>
        <w:t>FJFS202103</w:t>
      </w:r>
      <w:r>
        <w:rPr>
          <w:rFonts w:hint="default" w:ascii="宋体" w:hAnsi="宋体" w:cs="宋体"/>
          <w:color w:val="auto"/>
          <w:highlight w:val="none"/>
          <w:lang w:val="en-US" w:eastAsia="zh-CN"/>
        </w:rPr>
        <w:t>8</w:t>
      </w:r>
    </w:p>
    <w:p>
      <w:pPr>
        <w:pStyle w:val="12"/>
        <w:widowControl/>
        <w:spacing w:before="75" w:beforeAutospacing="0" w:after="75" w:afterAutospacing="0" w:line="360" w:lineRule="auto"/>
        <w:ind w:firstLine="480" w:firstLineChars="200"/>
        <w:rPr>
          <w:rFonts w:ascii="宋体" w:hAnsi="宋体" w:cs="宋体"/>
          <w:color w:val="auto"/>
          <w:highlight w:val="none"/>
        </w:rPr>
      </w:pPr>
      <w:r>
        <w:rPr>
          <w:rFonts w:hint="eastAsia" w:ascii="宋体" w:hAnsi="宋体" w:cs="宋体"/>
          <w:color w:val="auto"/>
          <w:highlight w:val="none"/>
        </w:rPr>
        <w:t>2、预算金额、最高限价：详见《</w:t>
      </w:r>
      <w:r>
        <w:rPr>
          <w:rFonts w:hint="eastAsia" w:ascii="宋体" w:hAnsi="宋体" w:cs="宋体"/>
          <w:color w:val="auto"/>
          <w:highlight w:val="none"/>
          <w:lang w:eastAsia="zh-CN"/>
        </w:rPr>
        <w:t>招标标的一览表</w:t>
      </w:r>
      <w:r>
        <w:rPr>
          <w:rFonts w:hint="eastAsia" w:ascii="宋体" w:hAnsi="宋体" w:cs="宋体"/>
          <w:color w:val="auto"/>
          <w:highlight w:val="none"/>
        </w:rPr>
        <w:t>》。</w:t>
      </w:r>
      <w:r>
        <w:rPr>
          <w:rFonts w:hint="eastAsia" w:ascii="宋体" w:hAnsi="宋体" w:cs="宋体"/>
          <w:color w:val="auto"/>
          <w:highlight w:val="none"/>
        </w:rPr>
        <w:br w:type="textWrapping"/>
      </w:r>
      <w:r>
        <w:rPr>
          <w:rFonts w:hint="eastAsia" w:ascii="宋体" w:hAnsi="宋体" w:cs="宋体"/>
          <w:color w:val="auto"/>
          <w:highlight w:val="none"/>
        </w:rPr>
        <w:t>   3、招标内容及要求：详见《</w:t>
      </w:r>
      <w:r>
        <w:rPr>
          <w:rFonts w:hint="eastAsia" w:ascii="宋体" w:hAnsi="宋体" w:cs="宋体"/>
          <w:color w:val="auto"/>
          <w:highlight w:val="none"/>
          <w:lang w:eastAsia="zh-CN"/>
        </w:rPr>
        <w:t>招标标的一览表</w:t>
      </w:r>
      <w:r>
        <w:rPr>
          <w:rFonts w:hint="eastAsia" w:ascii="宋体" w:hAnsi="宋体" w:cs="宋体"/>
          <w:color w:val="auto"/>
          <w:highlight w:val="none"/>
        </w:rPr>
        <w:t>》及招标文件第五章。</w:t>
      </w:r>
    </w:p>
    <w:p>
      <w:pPr>
        <w:pStyle w:val="12"/>
        <w:widowControl/>
        <w:spacing w:before="75" w:beforeAutospacing="0" w:after="75" w:afterAutospacing="0" w:line="360" w:lineRule="auto"/>
        <w:ind w:firstLine="480" w:firstLineChars="200"/>
        <w:rPr>
          <w:rFonts w:ascii="宋体" w:hAnsi="宋体" w:cs="宋体"/>
          <w:color w:val="auto"/>
          <w:highlight w:val="none"/>
        </w:rPr>
      </w:pPr>
      <w:r>
        <w:rPr>
          <w:rFonts w:hint="eastAsia" w:ascii="宋体" w:hAnsi="宋体" w:cs="宋体"/>
          <w:color w:val="auto"/>
          <w:highlight w:val="none"/>
        </w:rPr>
        <w:t>4、</w:t>
      </w:r>
      <w:r>
        <w:rPr>
          <w:rFonts w:hint="eastAsia" w:ascii="宋体" w:hAnsi="宋体" w:cs="宋体"/>
          <w:color w:val="auto"/>
          <w:highlight w:val="none"/>
          <w:lang w:eastAsia="zh-CN"/>
        </w:rPr>
        <w:t>招标</w:t>
      </w:r>
      <w:r>
        <w:rPr>
          <w:rFonts w:hint="eastAsia" w:ascii="宋体" w:hAnsi="宋体" w:cs="宋体"/>
          <w:color w:val="auto"/>
          <w:highlight w:val="none"/>
        </w:rPr>
        <w:t>项目需要落实的政策：信用记录，适用于（合同包1），按照下列规定执行：（1）投标人应在（填写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w:t>
      </w:r>
      <w:r>
        <w:rPr>
          <w:rFonts w:hint="eastAsia" w:ascii="宋体" w:hAnsi="宋体" w:cs="宋体"/>
          <w:color w:val="auto"/>
          <w:highlight w:val="none"/>
          <w:lang w:eastAsia="zh-CN"/>
        </w:rPr>
        <w:t>招标</w:t>
      </w:r>
      <w:r>
        <w:rPr>
          <w:rFonts w:hint="eastAsia" w:ascii="宋体" w:hAnsi="宋体" w:cs="宋体"/>
          <w:color w:val="auto"/>
          <w:highlight w:val="none"/>
        </w:rPr>
        <w:t>文件一并存档），以投标人提供的查询结果为准。④查询结果存在投标人应被拒绝参与政府采购活动相关信息的，其资格审查不合格。</w:t>
      </w:r>
    </w:p>
    <w:p>
      <w:pPr>
        <w:pStyle w:val="12"/>
        <w:widowControl/>
        <w:spacing w:before="75" w:beforeAutospacing="0" w:after="75" w:afterAutospacing="0" w:line="360" w:lineRule="auto"/>
        <w:ind w:firstLine="480" w:firstLineChars="200"/>
        <w:rPr>
          <w:color w:val="auto"/>
          <w:highlight w:val="none"/>
        </w:rPr>
      </w:pPr>
      <w:r>
        <w:rPr>
          <w:rFonts w:hint="eastAsia" w:ascii="宋体" w:hAnsi="宋体" w:cs="宋体"/>
          <w:color w:val="auto"/>
          <w:highlight w:val="none"/>
        </w:rPr>
        <w:t>5</w:t>
      </w:r>
      <w:r>
        <w:rPr>
          <w:rFonts w:ascii="宋体" w:hAnsi="宋体" w:cs="宋体"/>
          <w:color w:val="auto"/>
          <w:highlight w:val="none"/>
        </w:rPr>
        <w:t>.</w:t>
      </w:r>
      <w:r>
        <w:rPr>
          <w:rFonts w:hint="eastAsia" w:ascii="宋体" w:hAnsi="宋体" w:cs="宋体"/>
          <w:color w:val="auto"/>
          <w:highlight w:val="none"/>
        </w:rPr>
        <w:t>投标人的资格要求</w:t>
      </w:r>
      <w:r>
        <w:rPr>
          <w:rFonts w:hint="eastAsia"/>
          <w:color w:val="auto"/>
          <w:highlight w:val="none"/>
        </w:rPr>
        <w:t xml:space="preserve">  </w:t>
      </w:r>
    </w:p>
    <w:p>
      <w:pPr>
        <w:pStyle w:val="12"/>
        <w:widowControl/>
        <w:spacing w:before="75" w:beforeAutospacing="0" w:after="75" w:afterAutospacing="0" w:line="360" w:lineRule="auto"/>
        <w:ind w:firstLine="480" w:firstLineChars="20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5.1法定条件：符合《中华人民共和国政府采购法》第二十二条第一款规定的条件。</w:t>
      </w:r>
    </w:p>
    <w:p>
      <w:pPr>
        <w:pStyle w:val="12"/>
        <w:widowControl/>
        <w:spacing w:before="75" w:beforeAutospacing="0" w:after="75" w:afterAutospacing="0" w:line="360" w:lineRule="auto"/>
        <w:ind w:firstLine="480" w:firstLineChars="200"/>
        <w:rPr>
          <w:rFonts w:ascii="宋体" w:hAnsi="宋体" w:cs="宋体"/>
          <w:color w:val="auto"/>
          <w:highlight w:val="none"/>
        </w:rPr>
      </w:pPr>
      <w:r>
        <w:rPr>
          <w:rFonts w:hint="eastAsia" w:ascii="宋体" w:hAnsi="宋体" w:cs="宋体"/>
          <w:color w:val="auto"/>
          <w:highlight w:val="none"/>
          <w:shd w:val="clear" w:color="auto" w:fill="FFFFFF"/>
        </w:rPr>
        <w:t>5.2</w:t>
      </w:r>
      <w:r>
        <w:rPr>
          <w:rFonts w:hint="eastAsia" w:ascii="宋体" w:hAnsi="宋体" w:cs="宋体"/>
          <w:color w:val="auto"/>
          <w:highlight w:val="none"/>
        </w:rPr>
        <w:t>特定条件：</w:t>
      </w:r>
    </w:p>
    <w:p>
      <w:pPr>
        <w:pStyle w:val="12"/>
        <w:widowControl/>
        <w:spacing w:before="75" w:beforeAutospacing="0" w:after="75" w:afterAutospacing="0" w:line="360" w:lineRule="auto"/>
        <w:ind w:firstLine="482" w:firstLineChars="200"/>
        <w:rPr>
          <w:rFonts w:ascii="宋体" w:hAnsi="宋体" w:cs="宋体"/>
          <w:color w:val="auto"/>
          <w:highlight w:val="none"/>
        </w:rPr>
      </w:pPr>
      <w:r>
        <w:rPr>
          <w:rStyle w:val="16"/>
          <w:rFonts w:hint="eastAsia" w:ascii="宋体" w:hAnsi="宋体" w:cs="宋体"/>
          <w:color w:val="auto"/>
          <w:highlight w:val="none"/>
        </w:rPr>
        <w:t>包：1</w:t>
      </w:r>
      <w:r>
        <w:rPr>
          <w:rFonts w:hint="eastAsia" w:ascii="宋体" w:hAnsi="宋体" w:cs="宋体"/>
          <w:color w:val="auto"/>
          <w:highlight w:val="none"/>
        </w:rPr>
        <w:t xml:space="preserve"> </w:t>
      </w:r>
    </w:p>
    <w:p>
      <w:pPr>
        <w:pStyle w:val="12"/>
        <w:widowControl/>
        <w:spacing w:before="75" w:beforeAutospacing="0" w:after="75" w:afterAutospacing="0" w:line="360" w:lineRule="auto"/>
        <w:ind w:firstLine="482" w:firstLineChars="200"/>
        <w:rPr>
          <w:rFonts w:hint="eastAsia" w:ascii="宋体" w:hAnsi="宋体" w:cs="宋体" w:eastAsiaTheme="minorEastAsia"/>
          <w:b/>
          <w:bCs/>
          <w:color w:val="auto"/>
          <w:highlight w:val="none"/>
          <w:lang w:eastAsia="zh-CN"/>
        </w:rPr>
      </w:pPr>
      <w:r>
        <w:rPr>
          <w:rFonts w:hint="eastAsia" w:ascii="宋体" w:hAnsi="宋体" w:cs="宋体"/>
          <w:b/>
          <w:bCs/>
          <w:color w:val="auto"/>
          <w:highlight w:val="none"/>
          <w:lang w:eastAsia="zh-CN"/>
        </w:rPr>
        <w:t>无</w:t>
      </w:r>
    </w:p>
    <w:p>
      <w:pPr>
        <w:pStyle w:val="12"/>
        <w:widowControl/>
        <w:spacing w:before="75" w:beforeAutospacing="0" w:after="75" w:afterAutospacing="0" w:line="360" w:lineRule="auto"/>
        <w:ind w:firstLine="480" w:firstLineChars="200"/>
        <w:rPr>
          <w:color w:val="auto"/>
          <w:highlight w:val="none"/>
        </w:rPr>
      </w:pPr>
      <w:r>
        <w:rPr>
          <w:rFonts w:hint="eastAsia" w:ascii="宋体" w:hAnsi="宋体" w:cs="宋体"/>
          <w:color w:val="auto"/>
          <w:highlight w:val="none"/>
        </w:rPr>
        <w:t>5.10是否接受联合体投标：不接受。</w:t>
      </w:r>
    </w:p>
    <w:p>
      <w:pPr>
        <w:pStyle w:val="12"/>
        <w:widowControl/>
        <w:spacing w:before="75" w:beforeAutospacing="0" w:after="75" w:afterAutospacing="0" w:line="360" w:lineRule="auto"/>
        <w:ind w:firstLine="480"/>
        <w:rPr>
          <w:rStyle w:val="16"/>
          <w:rFonts w:ascii="宋体" w:hAnsi="宋体" w:cs="宋体"/>
          <w:color w:val="auto"/>
          <w:highlight w:val="none"/>
        </w:rPr>
      </w:pPr>
      <w:r>
        <w:rPr>
          <w:rStyle w:val="16"/>
          <w:rFonts w:hint="eastAsia" w:ascii="宋体" w:hAnsi="宋体" w:cs="宋体"/>
          <w:color w:val="auto"/>
          <w:highlight w:val="none"/>
        </w:rPr>
        <w:t>※根据上述资格要求，投标文件中应提交的“投标人的资格及资信证明文件”详见招标文件第四章。</w:t>
      </w:r>
    </w:p>
    <w:p>
      <w:pPr>
        <w:pStyle w:val="12"/>
        <w:widowControl/>
        <w:spacing w:before="75" w:beforeAutospacing="0" w:after="75" w:afterAutospacing="0" w:line="360" w:lineRule="auto"/>
        <w:ind w:firstLine="480"/>
        <w:rPr>
          <w:rStyle w:val="16"/>
          <w:rFonts w:ascii="宋体" w:hAnsi="宋体" w:cs="宋体"/>
          <w:b w:val="0"/>
          <w:bCs/>
          <w:color w:val="auto"/>
          <w:highlight w:val="none"/>
        </w:rPr>
      </w:pPr>
      <w:r>
        <w:rPr>
          <w:rStyle w:val="16"/>
          <w:rFonts w:hint="eastAsia" w:ascii="宋体" w:hAnsi="宋体" w:cs="宋体"/>
          <w:b w:val="0"/>
          <w:bCs/>
          <w:color w:val="auto"/>
          <w:highlight w:val="none"/>
        </w:rPr>
        <w:t>6、报名</w:t>
      </w:r>
    </w:p>
    <w:p>
      <w:pPr>
        <w:pStyle w:val="12"/>
        <w:widowControl/>
        <w:spacing w:before="75" w:beforeAutospacing="0" w:after="75" w:afterAutospacing="0" w:line="360" w:lineRule="auto"/>
        <w:ind w:firstLine="480"/>
        <w:rPr>
          <w:rStyle w:val="16"/>
          <w:rFonts w:ascii="宋体" w:hAnsi="宋体" w:cs="宋体"/>
          <w:b w:val="0"/>
          <w:bCs/>
          <w:color w:val="auto"/>
          <w:highlight w:val="none"/>
        </w:rPr>
      </w:pPr>
      <w:r>
        <w:rPr>
          <w:rStyle w:val="16"/>
          <w:rFonts w:hint="eastAsia" w:ascii="宋体" w:hAnsi="宋体" w:cs="宋体"/>
          <w:b w:val="0"/>
          <w:bCs/>
          <w:color w:val="auto"/>
          <w:highlight w:val="none"/>
        </w:rPr>
        <w:t>6.1报名期限：详见招标公告或更正公告（若有），若不一致，以更正公告（若有）为准。</w:t>
      </w:r>
    </w:p>
    <w:p>
      <w:pPr>
        <w:pStyle w:val="12"/>
        <w:widowControl/>
        <w:spacing w:before="75" w:beforeAutospacing="0" w:after="75" w:afterAutospacing="0" w:line="360" w:lineRule="auto"/>
        <w:ind w:firstLine="480"/>
        <w:rPr>
          <w:rStyle w:val="16"/>
          <w:rFonts w:ascii="宋体" w:hAnsi="宋体" w:cs="宋体"/>
          <w:b w:val="0"/>
          <w:bCs/>
          <w:color w:val="auto"/>
          <w:highlight w:val="none"/>
        </w:rPr>
      </w:pPr>
      <w:r>
        <w:rPr>
          <w:rStyle w:val="16"/>
          <w:rFonts w:hint="eastAsia" w:ascii="宋体" w:hAnsi="宋体" w:cs="宋体"/>
          <w:b w:val="0"/>
          <w:bCs/>
          <w:color w:val="auto"/>
          <w:highlight w:val="none"/>
        </w:rPr>
        <w:t>6.2报名期限内，供应商应按下述地址到福建丰盛项目管理有限公司（福建省泉州市丰泽区坪山路255号泉州理工职业学院思恩楼6楼601）对本项目进行报名，否则投标将被拒绝。</w:t>
      </w:r>
    </w:p>
    <w:p>
      <w:pPr>
        <w:pStyle w:val="12"/>
        <w:widowControl/>
        <w:spacing w:before="75" w:beforeAutospacing="0" w:after="75" w:afterAutospacing="0" w:line="360" w:lineRule="auto"/>
        <w:ind w:firstLine="480"/>
        <w:rPr>
          <w:rStyle w:val="16"/>
          <w:rFonts w:ascii="宋体" w:hAnsi="宋体" w:cs="宋体"/>
          <w:b w:val="0"/>
          <w:bCs/>
          <w:color w:val="auto"/>
          <w:highlight w:val="none"/>
        </w:rPr>
      </w:pPr>
      <w:r>
        <w:rPr>
          <w:rStyle w:val="16"/>
          <w:rFonts w:hint="eastAsia" w:ascii="宋体" w:hAnsi="宋体" w:cs="宋体"/>
          <w:b w:val="0"/>
          <w:bCs/>
          <w:color w:val="auto"/>
          <w:highlight w:val="none"/>
        </w:rPr>
        <w:t>7、招标文件的获取</w:t>
      </w:r>
    </w:p>
    <w:p>
      <w:pPr>
        <w:pStyle w:val="12"/>
        <w:widowControl/>
        <w:spacing w:before="75" w:beforeAutospacing="0" w:after="75" w:afterAutospacing="0" w:line="360" w:lineRule="auto"/>
        <w:ind w:firstLine="480"/>
        <w:rPr>
          <w:rStyle w:val="16"/>
          <w:rFonts w:ascii="宋体" w:hAnsi="宋体" w:cs="宋体"/>
          <w:b w:val="0"/>
          <w:bCs/>
          <w:color w:val="auto"/>
          <w:highlight w:val="none"/>
        </w:rPr>
      </w:pPr>
      <w:r>
        <w:rPr>
          <w:rStyle w:val="16"/>
          <w:rFonts w:hint="eastAsia" w:ascii="宋体" w:hAnsi="宋体" w:cs="宋体"/>
          <w:b w:val="0"/>
          <w:bCs/>
          <w:color w:val="auto"/>
          <w:highlight w:val="none"/>
        </w:rPr>
        <w:t>7.1招标文件提供期限：详见招标公告或更正公告（若有），若不一致，以更正公告（若有）为准。</w:t>
      </w:r>
    </w:p>
    <w:p>
      <w:pPr>
        <w:pStyle w:val="12"/>
        <w:widowControl/>
        <w:spacing w:before="75" w:beforeAutospacing="0" w:after="75" w:afterAutospacing="0" w:line="360" w:lineRule="auto"/>
        <w:ind w:firstLine="480"/>
        <w:rPr>
          <w:rStyle w:val="16"/>
          <w:rFonts w:ascii="宋体" w:hAnsi="宋体" w:cs="宋体"/>
          <w:b w:val="0"/>
          <w:bCs/>
          <w:color w:val="auto"/>
          <w:highlight w:val="none"/>
        </w:rPr>
      </w:pPr>
      <w:r>
        <w:rPr>
          <w:rStyle w:val="16"/>
          <w:rFonts w:hint="eastAsia" w:ascii="宋体" w:hAnsi="宋体" w:cs="宋体"/>
          <w:b w:val="0"/>
          <w:bCs/>
          <w:color w:val="auto"/>
          <w:highlight w:val="none"/>
        </w:rPr>
        <w:t>7.2获取地点及方式：供应商可按下述地址到福建丰盛项目管理有限公司（福建省泉州市丰泽区坪山路255号泉州理工职业学院思恩楼6楼601）购买公开招标文件。</w:t>
      </w:r>
    </w:p>
    <w:p>
      <w:pPr>
        <w:pStyle w:val="12"/>
        <w:widowControl/>
        <w:spacing w:before="75" w:beforeAutospacing="0" w:after="75" w:afterAutospacing="0" w:line="360" w:lineRule="auto"/>
        <w:ind w:firstLine="480"/>
        <w:rPr>
          <w:rStyle w:val="16"/>
          <w:rFonts w:ascii="宋体" w:hAnsi="宋体" w:cs="宋体"/>
          <w:b w:val="0"/>
          <w:bCs/>
          <w:color w:val="auto"/>
          <w:highlight w:val="none"/>
        </w:rPr>
      </w:pPr>
      <w:r>
        <w:rPr>
          <w:rStyle w:val="16"/>
          <w:rFonts w:hint="eastAsia" w:ascii="宋体" w:hAnsi="宋体" w:cs="宋体"/>
          <w:b w:val="0"/>
          <w:bCs/>
          <w:color w:val="auto"/>
          <w:highlight w:val="none"/>
        </w:rPr>
        <w:t>7.3、招标文件售价：300元。</w:t>
      </w:r>
    </w:p>
    <w:p>
      <w:pPr>
        <w:pStyle w:val="12"/>
        <w:widowControl/>
        <w:spacing w:before="75" w:beforeAutospacing="0" w:after="75" w:afterAutospacing="0" w:line="360" w:lineRule="auto"/>
        <w:ind w:firstLine="480"/>
        <w:rPr>
          <w:rStyle w:val="16"/>
          <w:rFonts w:ascii="宋体" w:hAnsi="宋体" w:cs="宋体"/>
          <w:b w:val="0"/>
          <w:bCs/>
          <w:color w:val="auto"/>
          <w:highlight w:val="none"/>
        </w:rPr>
      </w:pPr>
      <w:r>
        <w:rPr>
          <w:rStyle w:val="16"/>
          <w:rFonts w:hint="eastAsia" w:ascii="宋体" w:hAnsi="宋体" w:cs="宋体"/>
          <w:b w:val="0"/>
          <w:bCs/>
          <w:color w:val="auto"/>
          <w:highlight w:val="none"/>
        </w:rPr>
        <w:t>8、投标截止</w:t>
      </w:r>
    </w:p>
    <w:p>
      <w:pPr>
        <w:pStyle w:val="12"/>
        <w:widowControl/>
        <w:spacing w:before="75" w:beforeAutospacing="0" w:after="75" w:afterAutospacing="0" w:line="360" w:lineRule="auto"/>
        <w:ind w:firstLine="480"/>
        <w:rPr>
          <w:rStyle w:val="16"/>
          <w:rFonts w:ascii="宋体" w:hAnsi="宋体" w:cs="宋体"/>
          <w:b w:val="0"/>
          <w:bCs/>
          <w:color w:val="auto"/>
          <w:highlight w:val="none"/>
        </w:rPr>
      </w:pPr>
      <w:r>
        <w:rPr>
          <w:rStyle w:val="16"/>
          <w:rFonts w:hint="eastAsia" w:ascii="宋体" w:hAnsi="宋体" w:cs="宋体"/>
          <w:b w:val="0"/>
          <w:bCs/>
          <w:color w:val="auto"/>
          <w:highlight w:val="none"/>
        </w:rPr>
        <w:t>8.1投标截止时间：详见招标公告或更正公告（若有），若不一致，以更正公告（若有）为准。</w:t>
      </w:r>
    </w:p>
    <w:p>
      <w:pPr>
        <w:pStyle w:val="12"/>
        <w:widowControl/>
        <w:spacing w:before="75" w:beforeAutospacing="0" w:after="75" w:afterAutospacing="0" w:line="360" w:lineRule="auto"/>
        <w:ind w:firstLine="480"/>
        <w:rPr>
          <w:rStyle w:val="16"/>
          <w:rFonts w:ascii="宋体" w:hAnsi="宋体" w:cs="宋体"/>
          <w:b w:val="0"/>
          <w:bCs/>
          <w:color w:val="auto"/>
          <w:highlight w:val="none"/>
        </w:rPr>
      </w:pPr>
      <w:r>
        <w:rPr>
          <w:rStyle w:val="16"/>
          <w:rFonts w:hint="eastAsia" w:ascii="宋体" w:hAnsi="宋体" w:cs="宋体"/>
          <w:b w:val="0"/>
          <w:bCs/>
          <w:color w:val="auto"/>
          <w:highlight w:val="none"/>
        </w:rPr>
        <w:t>8.2投标人应在投标截止时间前</w:t>
      </w:r>
      <w:r>
        <w:rPr>
          <w:rStyle w:val="16"/>
          <w:rFonts w:hint="eastAsia" w:ascii="宋体" w:hAnsi="宋体" w:cs="宋体"/>
          <w:color w:val="auto"/>
          <w:highlight w:val="none"/>
        </w:rPr>
        <w:t>密封的纸质投标文件</w:t>
      </w:r>
      <w:r>
        <w:rPr>
          <w:rStyle w:val="16"/>
          <w:rFonts w:hint="eastAsia" w:ascii="宋体" w:hAnsi="宋体" w:cs="宋体"/>
          <w:b w:val="0"/>
          <w:bCs/>
          <w:color w:val="auto"/>
          <w:highlight w:val="none"/>
        </w:rPr>
        <w:t>送达招标文件第一章第9条载明的地点，否则投标将被拒绝。</w:t>
      </w:r>
    </w:p>
    <w:p>
      <w:pPr>
        <w:pStyle w:val="12"/>
        <w:widowControl/>
        <w:spacing w:before="75" w:beforeAutospacing="0" w:after="75" w:afterAutospacing="0" w:line="360" w:lineRule="auto"/>
        <w:ind w:firstLine="480"/>
        <w:rPr>
          <w:rStyle w:val="16"/>
          <w:rFonts w:ascii="宋体" w:hAnsi="宋体" w:cs="宋体"/>
          <w:b w:val="0"/>
          <w:bCs/>
          <w:color w:val="auto"/>
          <w:highlight w:val="none"/>
        </w:rPr>
      </w:pPr>
      <w:r>
        <w:rPr>
          <w:rStyle w:val="16"/>
          <w:rFonts w:hint="eastAsia" w:ascii="宋体" w:hAnsi="宋体" w:cs="宋体"/>
          <w:b w:val="0"/>
          <w:bCs/>
          <w:color w:val="auto"/>
          <w:highlight w:val="none"/>
        </w:rPr>
        <w:t>9、开标时间及地点：详见招标公告或更正公告（若有），若不一致，以更正公告（若有）为准。 </w:t>
      </w:r>
    </w:p>
    <w:p>
      <w:pPr>
        <w:pStyle w:val="12"/>
        <w:widowControl/>
        <w:spacing w:before="75" w:beforeAutospacing="0" w:after="75" w:afterAutospacing="0" w:line="360" w:lineRule="auto"/>
        <w:ind w:firstLine="480"/>
        <w:rPr>
          <w:rStyle w:val="16"/>
          <w:rFonts w:ascii="宋体" w:hAnsi="宋体" w:cs="宋体"/>
          <w:b w:val="0"/>
          <w:bCs/>
          <w:color w:val="auto"/>
          <w:highlight w:val="none"/>
        </w:rPr>
      </w:pPr>
      <w:r>
        <w:rPr>
          <w:rStyle w:val="16"/>
          <w:rFonts w:hint="eastAsia" w:ascii="宋体" w:hAnsi="宋体" w:cs="宋体"/>
          <w:b w:val="0"/>
          <w:bCs/>
          <w:color w:val="auto"/>
          <w:highlight w:val="none"/>
        </w:rPr>
        <w:t>10、公告期限</w:t>
      </w:r>
    </w:p>
    <w:p>
      <w:pPr>
        <w:pStyle w:val="12"/>
        <w:widowControl/>
        <w:spacing w:before="75" w:beforeAutospacing="0" w:after="75" w:afterAutospacing="0" w:line="360" w:lineRule="auto"/>
        <w:ind w:firstLine="480"/>
        <w:rPr>
          <w:rStyle w:val="16"/>
          <w:rFonts w:ascii="宋体" w:hAnsi="宋体" w:cs="宋体"/>
          <w:b w:val="0"/>
          <w:bCs/>
          <w:color w:val="auto"/>
          <w:highlight w:val="none"/>
        </w:rPr>
      </w:pPr>
      <w:r>
        <w:rPr>
          <w:rStyle w:val="16"/>
          <w:rFonts w:hint="eastAsia" w:ascii="宋体" w:hAnsi="宋体" w:cs="宋体"/>
          <w:b w:val="0"/>
          <w:bCs/>
          <w:color w:val="auto"/>
          <w:highlight w:val="none"/>
        </w:rPr>
        <w:t>10.1招标公告的公告期限：自指定的</w:t>
      </w:r>
      <w:r>
        <w:rPr>
          <w:rStyle w:val="16"/>
          <w:rFonts w:hint="eastAsia" w:ascii="宋体" w:hAnsi="宋体" w:cs="宋体"/>
          <w:b w:val="0"/>
          <w:bCs/>
          <w:color w:val="auto"/>
          <w:highlight w:val="none"/>
          <w:lang w:eastAsia="zh-CN"/>
        </w:rPr>
        <w:t>招标</w:t>
      </w:r>
      <w:r>
        <w:rPr>
          <w:rStyle w:val="16"/>
          <w:rFonts w:hint="eastAsia" w:ascii="宋体" w:hAnsi="宋体" w:cs="宋体"/>
          <w:b w:val="0"/>
          <w:bCs/>
          <w:color w:val="auto"/>
          <w:highlight w:val="none"/>
        </w:rPr>
        <w:t>信息发布媒体最先发布公告之日起5个工作日。</w:t>
      </w:r>
    </w:p>
    <w:p>
      <w:pPr>
        <w:pStyle w:val="12"/>
        <w:widowControl/>
        <w:spacing w:before="75" w:beforeAutospacing="0" w:after="75" w:afterAutospacing="0" w:line="360" w:lineRule="auto"/>
        <w:ind w:firstLine="480"/>
        <w:rPr>
          <w:rStyle w:val="16"/>
          <w:rFonts w:ascii="宋体" w:hAnsi="宋体" w:cs="宋体"/>
          <w:b w:val="0"/>
          <w:bCs/>
          <w:color w:val="auto"/>
          <w:highlight w:val="none"/>
        </w:rPr>
      </w:pPr>
      <w:r>
        <w:rPr>
          <w:rStyle w:val="16"/>
          <w:rFonts w:hint="eastAsia" w:ascii="宋体" w:hAnsi="宋体" w:cs="宋体"/>
          <w:b w:val="0"/>
          <w:bCs/>
          <w:color w:val="auto"/>
          <w:highlight w:val="none"/>
        </w:rPr>
        <w:t>10.2招标文件公告期限：招标文件随同招标公告一并发售，其公告期限与本章第10.1条载明的期限保持一致。</w:t>
      </w:r>
    </w:p>
    <w:p>
      <w:pPr>
        <w:pStyle w:val="12"/>
        <w:widowControl/>
        <w:spacing w:before="75" w:beforeAutospacing="0" w:after="75" w:afterAutospacing="0" w:line="360" w:lineRule="auto"/>
        <w:ind w:firstLine="480"/>
        <w:rPr>
          <w:rStyle w:val="16"/>
          <w:rFonts w:hint="default" w:ascii="宋体" w:hAnsi="宋体" w:cs="宋体" w:eastAsiaTheme="minorEastAsia"/>
          <w:b w:val="0"/>
          <w:bCs/>
          <w:color w:val="auto"/>
          <w:highlight w:val="none"/>
          <w:lang w:val="en-US" w:eastAsia="zh-CN"/>
        </w:rPr>
      </w:pPr>
      <w:r>
        <w:rPr>
          <w:rStyle w:val="16"/>
          <w:rFonts w:hint="eastAsia" w:ascii="宋体" w:hAnsi="宋体" w:cs="宋体"/>
          <w:b w:val="0"/>
          <w:bCs/>
          <w:color w:val="auto"/>
          <w:highlight w:val="none"/>
        </w:rPr>
        <w:t>11、</w:t>
      </w:r>
      <w:r>
        <w:rPr>
          <w:rStyle w:val="16"/>
          <w:rFonts w:hint="eastAsia" w:ascii="宋体" w:hAnsi="宋体" w:cs="宋体"/>
          <w:b w:val="0"/>
          <w:bCs/>
          <w:color w:val="auto"/>
          <w:highlight w:val="none"/>
          <w:lang w:eastAsia="zh-CN"/>
        </w:rPr>
        <w:t>招标人</w:t>
      </w:r>
      <w:r>
        <w:rPr>
          <w:rStyle w:val="16"/>
          <w:rFonts w:hint="eastAsia" w:ascii="宋体" w:hAnsi="宋体" w:cs="宋体"/>
          <w:b w:val="0"/>
          <w:bCs/>
          <w:color w:val="auto"/>
          <w:highlight w:val="none"/>
        </w:rPr>
        <w:t>：</w:t>
      </w:r>
      <w:r>
        <w:rPr>
          <w:rStyle w:val="16"/>
          <w:rFonts w:hint="default" w:ascii="宋体" w:hAnsi="宋体" w:cs="宋体"/>
          <w:b w:val="0"/>
          <w:bCs/>
          <w:color w:val="auto"/>
          <w:highlight w:val="none"/>
          <w:lang w:val="en-US" w:eastAsia="zh-CN"/>
        </w:rPr>
        <w:t>泉州师范学院</w:t>
      </w:r>
    </w:p>
    <w:p>
      <w:pPr>
        <w:pStyle w:val="12"/>
        <w:widowControl/>
        <w:spacing w:before="75" w:beforeAutospacing="0" w:after="75" w:afterAutospacing="0" w:line="360" w:lineRule="auto"/>
        <w:ind w:firstLine="480"/>
        <w:rPr>
          <w:rStyle w:val="16"/>
          <w:rFonts w:ascii="宋体" w:hAnsi="宋体" w:cs="宋体"/>
          <w:b w:val="0"/>
          <w:bCs/>
          <w:color w:val="auto"/>
          <w:highlight w:val="none"/>
        </w:rPr>
      </w:pPr>
      <w:r>
        <w:rPr>
          <w:rStyle w:val="16"/>
          <w:rFonts w:hint="eastAsia" w:ascii="宋体" w:hAnsi="宋体" w:cs="宋体"/>
          <w:b w:val="0"/>
          <w:bCs/>
          <w:color w:val="auto"/>
          <w:highlight w:val="none"/>
        </w:rPr>
        <w:t xml:space="preserve">地址：福建省泉州市丰泽区东海大街398号 </w:t>
      </w:r>
    </w:p>
    <w:p>
      <w:pPr>
        <w:pStyle w:val="12"/>
        <w:widowControl/>
        <w:spacing w:before="75" w:beforeAutospacing="0" w:after="75" w:afterAutospacing="0" w:line="360" w:lineRule="auto"/>
        <w:ind w:firstLine="480"/>
        <w:rPr>
          <w:rStyle w:val="16"/>
          <w:rFonts w:ascii="宋体" w:hAnsi="宋体" w:cs="宋体"/>
          <w:b w:val="0"/>
          <w:bCs/>
          <w:color w:val="auto"/>
          <w:highlight w:val="none"/>
        </w:rPr>
      </w:pPr>
      <w:r>
        <w:rPr>
          <w:rStyle w:val="16"/>
          <w:rFonts w:hint="eastAsia" w:ascii="宋体" w:hAnsi="宋体" w:cs="宋体"/>
          <w:b w:val="0"/>
          <w:bCs/>
          <w:color w:val="auto"/>
          <w:highlight w:val="none"/>
          <w:lang w:val="en-US" w:eastAsia="zh-CN"/>
        </w:rPr>
        <w:t xml:space="preserve"> </w:t>
      </w:r>
      <w:r>
        <w:rPr>
          <w:rStyle w:val="16"/>
          <w:rFonts w:hint="eastAsia" w:ascii="宋体" w:hAnsi="宋体" w:cs="宋体"/>
          <w:b w:val="0"/>
          <w:bCs/>
          <w:color w:val="auto"/>
          <w:highlight w:val="none"/>
        </w:rPr>
        <w:t>联系方法：</w:t>
      </w:r>
      <w:r>
        <w:rPr>
          <w:rStyle w:val="16"/>
          <w:rFonts w:hint="eastAsia" w:ascii="宋体" w:hAnsi="宋体" w:cs="宋体"/>
          <w:b w:val="0"/>
          <w:bCs/>
          <w:color w:val="auto"/>
          <w:highlight w:val="none"/>
          <w:lang w:val="en-US" w:eastAsia="zh-CN"/>
        </w:rPr>
        <w:t>陈老师 13636915959</w:t>
      </w:r>
    </w:p>
    <w:p>
      <w:pPr>
        <w:pStyle w:val="12"/>
        <w:widowControl/>
        <w:spacing w:before="75" w:beforeAutospacing="0" w:after="75" w:afterAutospacing="0" w:line="360" w:lineRule="auto"/>
        <w:ind w:firstLine="480"/>
        <w:rPr>
          <w:rStyle w:val="16"/>
          <w:rFonts w:ascii="宋体" w:hAnsi="宋体" w:cs="宋体"/>
          <w:b w:val="0"/>
          <w:bCs/>
          <w:color w:val="auto"/>
          <w:highlight w:val="none"/>
        </w:rPr>
      </w:pPr>
      <w:r>
        <w:rPr>
          <w:rStyle w:val="16"/>
          <w:rFonts w:hint="eastAsia" w:ascii="宋体" w:hAnsi="宋体" w:cs="宋体"/>
          <w:b w:val="0"/>
          <w:bCs/>
          <w:color w:val="auto"/>
          <w:highlight w:val="none"/>
        </w:rPr>
        <w:t>12、代理机构：福建丰盛项目管理有限公司</w:t>
      </w:r>
    </w:p>
    <w:p>
      <w:pPr>
        <w:pStyle w:val="12"/>
        <w:widowControl/>
        <w:spacing w:before="75" w:beforeAutospacing="0" w:after="75" w:afterAutospacing="0" w:line="360" w:lineRule="auto"/>
        <w:ind w:firstLine="480"/>
        <w:rPr>
          <w:rStyle w:val="16"/>
          <w:rFonts w:ascii="宋体" w:hAnsi="宋体" w:cs="宋体"/>
          <w:b w:val="0"/>
          <w:bCs/>
          <w:color w:val="auto"/>
          <w:highlight w:val="none"/>
        </w:rPr>
      </w:pPr>
      <w:r>
        <w:rPr>
          <w:rStyle w:val="16"/>
          <w:rFonts w:hint="eastAsia" w:ascii="宋体" w:hAnsi="宋体" w:cs="宋体"/>
          <w:b w:val="0"/>
          <w:bCs/>
          <w:color w:val="auto"/>
          <w:highlight w:val="none"/>
        </w:rPr>
        <w:t>地址：泉州市丰泽区坪山路255号泉州理工职业学院思恩楼6楼601</w:t>
      </w:r>
    </w:p>
    <w:p>
      <w:pPr>
        <w:pStyle w:val="12"/>
        <w:widowControl/>
        <w:spacing w:before="75" w:beforeAutospacing="0" w:after="75" w:afterAutospacing="0" w:line="360" w:lineRule="auto"/>
        <w:ind w:firstLine="480"/>
        <w:rPr>
          <w:rStyle w:val="16"/>
          <w:rFonts w:ascii="宋体" w:hAnsi="宋体" w:cs="宋体"/>
          <w:b w:val="0"/>
          <w:bCs/>
          <w:color w:val="auto"/>
          <w:highlight w:val="none"/>
        </w:rPr>
      </w:pPr>
      <w:r>
        <w:rPr>
          <w:rStyle w:val="16"/>
          <w:rFonts w:hint="eastAsia" w:ascii="宋体" w:hAnsi="宋体" w:cs="宋体"/>
          <w:b w:val="0"/>
          <w:bCs/>
          <w:color w:val="auto"/>
          <w:highlight w:val="none"/>
        </w:rPr>
        <w:t>联系方法：</w:t>
      </w:r>
      <w:r>
        <w:rPr>
          <w:rStyle w:val="16"/>
          <w:rFonts w:hint="eastAsia" w:ascii="宋体" w:hAnsi="宋体" w:cs="宋体"/>
          <w:b w:val="0"/>
          <w:bCs/>
          <w:color w:val="auto"/>
          <w:highlight w:val="none"/>
          <w:lang w:eastAsia="zh-CN"/>
        </w:rPr>
        <w:t>林先生</w:t>
      </w:r>
      <w:r>
        <w:rPr>
          <w:rStyle w:val="16"/>
          <w:rFonts w:hint="eastAsia" w:ascii="宋体" w:hAnsi="宋体" w:cs="宋体"/>
          <w:b w:val="0"/>
          <w:bCs/>
          <w:color w:val="auto"/>
          <w:highlight w:val="none"/>
          <w:lang w:val="en-US" w:eastAsia="zh-CN"/>
        </w:rPr>
        <w:t xml:space="preserve"> </w:t>
      </w:r>
      <w:r>
        <w:rPr>
          <w:rStyle w:val="16"/>
          <w:rFonts w:hint="eastAsia" w:ascii="宋体" w:hAnsi="宋体" w:cs="宋体"/>
          <w:b w:val="0"/>
          <w:bCs/>
          <w:color w:val="auto"/>
          <w:highlight w:val="none"/>
        </w:rPr>
        <w:t>0595-22896657、18159238005</w:t>
      </w:r>
    </w:p>
    <w:p>
      <w:pPr>
        <w:pStyle w:val="12"/>
        <w:widowControl/>
        <w:spacing w:before="75" w:beforeAutospacing="0" w:after="75" w:afterAutospacing="0" w:line="360" w:lineRule="auto"/>
        <w:ind w:firstLine="480"/>
        <w:rPr>
          <w:rStyle w:val="16"/>
          <w:rFonts w:ascii="宋体" w:hAnsi="宋体" w:cs="宋体"/>
          <w:b w:val="0"/>
          <w:bCs/>
          <w:color w:val="auto"/>
          <w:highlight w:val="none"/>
        </w:rPr>
      </w:pPr>
    </w:p>
    <w:p>
      <w:pPr>
        <w:pStyle w:val="12"/>
        <w:widowControl/>
        <w:spacing w:before="75" w:beforeAutospacing="0" w:after="75" w:afterAutospacing="0"/>
        <w:rPr>
          <w:rFonts w:ascii="宋体" w:hAnsi="宋体" w:cs="宋体"/>
          <w:color w:val="auto"/>
          <w:highlight w:val="none"/>
        </w:rPr>
      </w:pPr>
    </w:p>
    <w:p>
      <w:pPr>
        <w:rPr>
          <w:rFonts w:ascii="宋体" w:hAnsi="宋体" w:cs="宋体"/>
          <w:color w:val="auto"/>
          <w:highlight w:val="none"/>
        </w:rPr>
      </w:pPr>
      <w:r>
        <w:rPr>
          <w:rFonts w:hint="eastAsia" w:ascii="宋体" w:hAnsi="宋体" w:cs="宋体"/>
          <w:color w:val="auto"/>
          <w:highlight w:val="none"/>
        </w:rPr>
        <w:br w:type="page"/>
      </w:r>
    </w:p>
    <w:p>
      <w:pPr>
        <w:pStyle w:val="12"/>
        <w:widowControl/>
        <w:spacing w:before="75" w:beforeAutospacing="0" w:after="75" w:afterAutospacing="0"/>
        <w:outlineLvl w:val="1"/>
        <w:rPr>
          <w:b/>
          <w:bCs/>
          <w:color w:val="auto"/>
          <w:highlight w:val="none"/>
        </w:rPr>
      </w:pPr>
      <w:r>
        <w:rPr>
          <w:rFonts w:hint="eastAsia" w:ascii="宋体" w:hAnsi="宋体" w:cs="宋体"/>
          <w:b/>
          <w:bCs/>
          <w:color w:val="auto"/>
          <w:highlight w:val="none"/>
        </w:rPr>
        <w:t>附1：账户信息</w:t>
      </w:r>
    </w:p>
    <w:tbl>
      <w:tblPr>
        <w:tblStyle w:val="13"/>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trPr>
        <w:tc>
          <w:tcPr>
            <w:tcW w:w="8460" w:type="dxa"/>
            <w:tcMar>
              <w:top w:w="0" w:type="dxa"/>
              <w:left w:w="105" w:type="dxa"/>
              <w:bottom w:w="0" w:type="dxa"/>
              <w:right w:w="105" w:type="dxa"/>
            </w:tcMar>
            <w:vAlign w:val="center"/>
          </w:tcPr>
          <w:p>
            <w:pPr>
              <w:widowControl/>
              <w:spacing w:line="435" w:lineRule="atLeast"/>
              <w:jc w:val="center"/>
              <w:rPr>
                <w:rFonts w:ascii="宋体" w:hAnsi="宋体" w:cs="宋体"/>
                <w:color w:val="auto"/>
                <w:kern w:val="0"/>
                <w:sz w:val="24"/>
                <w:highlight w:val="none"/>
              </w:rPr>
            </w:pPr>
            <w:r>
              <w:rPr>
                <w:rFonts w:ascii="宋体" w:hAnsi="宋体" w:cs="宋体"/>
                <w:b/>
                <w:bCs/>
                <w:color w:val="auto"/>
                <w:kern w:val="0"/>
                <w:sz w:val="24"/>
                <w:highlight w:val="none"/>
              </w:rPr>
              <w:t>银行账户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60" w:type="dxa"/>
            <w:tcMar>
              <w:top w:w="0" w:type="dxa"/>
              <w:left w:w="105" w:type="dxa"/>
              <w:bottom w:w="0" w:type="dxa"/>
              <w:right w:w="105" w:type="dxa"/>
            </w:tcMar>
          </w:tcPr>
          <w:p>
            <w:pPr>
              <w:widowControl/>
              <w:jc w:val="left"/>
              <w:rPr>
                <w:rFonts w:ascii="宋体" w:hAnsi="宋体" w:cs="宋体"/>
                <w:color w:val="auto"/>
                <w:kern w:val="0"/>
                <w:sz w:val="24"/>
                <w:highlight w:val="none"/>
              </w:rPr>
            </w:pPr>
            <w:r>
              <w:rPr>
                <w:rFonts w:ascii="宋体" w:hAnsi="宋体" w:cs="宋体"/>
                <w:color w:val="auto"/>
                <w:kern w:val="0"/>
                <w:sz w:val="24"/>
                <w:highlight w:val="none"/>
              </w:rPr>
              <w:t>开户名称：福建</w:t>
            </w:r>
            <w:r>
              <w:rPr>
                <w:rFonts w:hint="eastAsia" w:ascii="宋体" w:hAnsi="宋体" w:cs="宋体"/>
                <w:color w:val="auto"/>
                <w:kern w:val="0"/>
                <w:sz w:val="24"/>
                <w:highlight w:val="none"/>
              </w:rPr>
              <w:t>丰盛项目管理有限公司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60" w:type="dxa"/>
            <w:tcMar>
              <w:top w:w="0" w:type="dxa"/>
              <w:left w:w="105" w:type="dxa"/>
              <w:bottom w:w="0" w:type="dxa"/>
              <w:right w:w="105" w:type="dxa"/>
            </w:tcMar>
          </w:tcPr>
          <w:p>
            <w:pPr>
              <w:widowControl/>
              <w:jc w:val="left"/>
              <w:rPr>
                <w:rFonts w:ascii="宋体" w:hAnsi="宋体" w:cs="宋体"/>
                <w:color w:val="auto"/>
                <w:kern w:val="0"/>
                <w:sz w:val="24"/>
                <w:highlight w:val="none"/>
              </w:rPr>
            </w:pPr>
            <w:r>
              <w:rPr>
                <w:rFonts w:ascii="宋体" w:hAnsi="宋体" w:cs="宋体"/>
                <w:color w:val="auto"/>
                <w:kern w:val="0"/>
                <w:sz w:val="24"/>
                <w:highlight w:val="none"/>
              </w:rPr>
              <w:t>开户银行：</w:t>
            </w:r>
            <w:r>
              <w:rPr>
                <w:rFonts w:hint="eastAsia" w:ascii="宋体" w:hAnsi="宋体" w:cs="宋体"/>
                <w:color w:val="auto"/>
                <w:kern w:val="0"/>
                <w:sz w:val="24"/>
                <w:highlight w:val="none"/>
              </w:rPr>
              <w:t>中国建设银行股份有限公司泉州丰泽支行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60" w:type="dxa"/>
            <w:tcMar>
              <w:top w:w="0" w:type="dxa"/>
              <w:left w:w="105" w:type="dxa"/>
              <w:bottom w:w="0" w:type="dxa"/>
              <w:right w:w="105" w:type="dxa"/>
            </w:tcMar>
          </w:tcPr>
          <w:p>
            <w:pPr>
              <w:widowControl/>
              <w:jc w:val="left"/>
              <w:rPr>
                <w:rFonts w:ascii="宋体" w:hAnsi="宋体" w:cs="宋体"/>
                <w:color w:val="auto"/>
                <w:kern w:val="0"/>
                <w:sz w:val="24"/>
                <w:highlight w:val="none"/>
              </w:rPr>
            </w:pPr>
            <w:r>
              <w:rPr>
                <w:rFonts w:ascii="宋体" w:hAnsi="宋体" w:cs="宋体"/>
                <w:color w:val="auto"/>
                <w:kern w:val="0"/>
                <w:sz w:val="24"/>
                <w:highlight w:val="none"/>
              </w:rPr>
              <w:t>银行账号：</w:t>
            </w:r>
            <w:r>
              <w:rPr>
                <w:rFonts w:hint="eastAsia" w:ascii="宋体" w:hAnsi="宋体" w:cs="宋体"/>
                <w:color w:val="auto"/>
                <w:kern w:val="0"/>
                <w:sz w:val="24"/>
                <w:highlight w:val="none"/>
              </w:rPr>
              <w:t xml:space="preserve"> 35050165600700001403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60" w:type="dxa"/>
            <w:tcMar>
              <w:top w:w="0" w:type="dxa"/>
              <w:left w:w="105" w:type="dxa"/>
              <w:bottom w:w="0" w:type="dxa"/>
              <w:right w:w="105" w:type="dxa"/>
            </w:tcMa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投标保证金须</w:t>
            </w:r>
            <w:r>
              <w:rPr>
                <w:rFonts w:hint="eastAsia" w:ascii="宋体" w:hAnsi="宋体" w:cs="宋体"/>
                <w:bCs/>
                <w:color w:val="auto"/>
                <w:kern w:val="0"/>
                <w:sz w:val="24"/>
                <w:highlight w:val="none"/>
              </w:rPr>
              <w:t>于开标截止时间前公对公转至以上账号。投标保证金</w:t>
            </w:r>
            <w:r>
              <w:rPr>
                <w:rFonts w:ascii="宋体" w:hAnsi="宋体" w:cs="宋体"/>
                <w:color w:val="auto"/>
                <w:kern w:val="0"/>
                <w:sz w:val="24"/>
                <w:highlight w:val="none"/>
              </w:rPr>
              <w:t>是否到达以实际到账</w:t>
            </w:r>
            <w:r>
              <w:rPr>
                <w:rFonts w:hint="eastAsia" w:ascii="宋体" w:hAnsi="宋体" w:cs="宋体"/>
                <w:color w:val="auto"/>
                <w:kern w:val="0"/>
                <w:sz w:val="24"/>
                <w:highlight w:val="none"/>
              </w:rPr>
              <w:t>时间</w:t>
            </w:r>
            <w:r>
              <w:rPr>
                <w:rFonts w:ascii="宋体" w:hAnsi="宋体" w:cs="宋体"/>
                <w:color w:val="auto"/>
                <w:kern w:val="0"/>
                <w:sz w:val="24"/>
                <w:highlight w:val="none"/>
              </w:rPr>
              <w:t>为准</w:t>
            </w:r>
            <w:r>
              <w:rPr>
                <w:rFonts w:hint="eastAsia" w:ascii="宋体" w:hAnsi="宋体" w:cs="宋体"/>
                <w:color w:val="auto"/>
                <w:kern w:val="0"/>
                <w:sz w:val="24"/>
                <w:highlight w:val="none"/>
              </w:rPr>
              <w:t>，</w:t>
            </w:r>
            <w:r>
              <w:rPr>
                <w:rFonts w:hint="eastAsia" w:ascii="宋体" w:hAnsi="宋体" w:cs="宋体"/>
                <w:bCs/>
                <w:color w:val="auto"/>
                <w:kern w:val="0"/>
                <w:sz w:val="24"/>
                <w:highlight w:val="none"/>
              </w:rPr>
              <w:t>未按规定时间到账的其投标将被拒绝。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trPr>
        <w:tc>
          <w:tcPr>
            <w:tcW w:w="8460" w:type="dxa"/>
            <w:tcMar>
              <w:top w:w="0" w:type="dxa"/>
              <w:left w:w="105" w:type="dxa"/>
              <w:bottom w:w="0" w:type="dxa"/>
              <w:right w:w="105" w:type="dxa"/>
            </w:tcMar>
            <w:vAlign w:val="center"/>
          </w:tcPr>
          <w:p>
            <w:pPr>
              <w:widowControl/>
              <w:spacing w:line="435" w:lineRule="atLeast"/>
              <w:jc w:val="center"/>
              <w:rPr>
                <w:rFonts w:ascii="宋体" w:hAnsi="宋体" w:cs="宋体"/>
                <w:color w:val="auto"/>
                <w:kern w:val="0"/>
                <w:sz w:val="24"/>
                <w:highlight w:val="none"/>
              </w:rPr>
            </w:pPr>
            <w:r>
              <w:rPr>
                <w:rFonts w:ascii="宋体" w:hAnsi="宋体" w:cs="宋体"/>
                <w:b/>
                <w:bCs/>
                <w:color w:val="auto"/>
                <w:kern w:val="0"/>
                <w:sz w:val="24"/>
                <w:highlight w:val="none"/>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60" w:type="dxa"/>
            <w:tcMar>
              <w:top w:w="0" w:type="dxa"/>
              <w:left w:w="105" w:type="dxa"/>
              <w:bottom w:w="0" w:type="dxa"/>
              <w:right w:w="105" w:type="dxa"/>
            </w:tcMar>
          </w:tcPr>
          <w:p>
            <w:pPr>
              <w:widowControl/>
              <w:spacing w:line="435" w:lineRule="atLeast"/>
              <w:jc w:val="left"/>
              <w:rPr>
                <w:rFonts w:ascii="宋体" w:hAnsi="宋体" w:cs="宋体"/>
                <w:color w:val="auto"/>
                <w:kern w:val="0"/>
                <w:sz w:val="24"/>
                <w:highlight w:val="none"/>
              </w:rPr>
            </w:pPr>
            <w:r>
              <w:rPr>
                <w:rFonts w:ascii="宋体" w:hAnsi="宋体" w:cs="宋体"/>
                <w:color w:val="auto"/>
                <w:kern w:val="0"/>
                <w:sz w:val="24"/>
                <w:highlight w:val="none"/>
              </w:rPr>
              <w:t>1、请</w:t>
            </w:r>
            <w:r>
              <w:rPr>
                <w:rFonts w:hint="eastAsia" w:ascii="宋体" w:hAnsi="宋体" w:cs="宋体"/>
                <w:color w:val="auto"/>
                <w:kern w:val="0"/>
                <w:sz w:val="24"/>
                <w:highlight w:val="none"/>
              </w:rPr>
              <w:t>投标</w:t>
            </w:r>
            <w:r>
              <w:rPr>
                <w:rFonts w:ascii="宋体" w:hAnsi="宋体" w:cs="宋体"/>
                <w:color w:val="auto"/>
                <w:kern w:val="0"/>
                <w:sz w:val="24"/>
                <w:highlight w:val="none"/>
              </w:rPr>
              <w:t>供</w:t>
            </w:r>
            <w:r>
              <w:rPr>
                <w:rFonts w:hint="eastAsia" w:ascii="宋体" w:hAnsi="宋体" w:cs="宋体"/>
                <w:color w:val="auto"/>
                <w:kern w:val="0"/>
                <w:sz w:val="24"/>
                <w:highlight w:val="none"/>
              </w:rPr>
              <w:t>人</w:t>
            </w:r>
            <w:r>
              <w:rPr>
                <w:rFonts w:ascii="宋体" w:hAnsi="宋体" w:cs="宋体"/>
                <w:color w:val="auto"/>
                <w:kern w:val="0"/>
                <w:sz w:val="24"/>
                <w:highlight w:val="none"/>
              </w:rPr>
              <w:t>务必认真核对账户信息，将</w:t>
            </w:r>
            <w:r>
              <w:rPr>
                <w:rFonts w:hint="eastAsia" w:ascii="宋体" w:hAnsi="宋体" w:cs="宋体"/>
                <w:color w:val="auto"/>
                <w:kern w:val="0"/>
                <w:sz w:val="24"/>
                <w:highlight w:val="none"/>
              </w:rPr>
              <w:t>投标</w:t>
            </w:r>
            <w:r>
              <w:rPr>
                <w:rFonts w:ascii="宋体" w:hAnsi="宋体" w:cs="宋体"/>
                <w:color w:val="auto"/>
                <w:kern w:val="0"/>
                <w:sz w:val="24"/>
                <w:highlight w:val="none"/>
              </w:rPr>
              <w:t>保证金款项汇入对应账户，并自行承担因款项汇错而产生的一切后果。</w:t>
            </w:r>
          </w:p>
          <w:p>
            <w:pPr>
              <w:widowControl/>
              <w:spacing w:line="435" w:lineRule="atLeast"/>
              <w:jc w:val="left"/>
              <w:rPr>
                <w:rFonts w:ascii="宋体" w:hAnsi="宋体" w:cs="宋体"/>
                <w:color w:val="auto"/>
                <w:kern w:val="0"/>
                <w:sz w:val="24"/>
                <w:highlight w:val="none"/>
              </w:rPr>
            </w:pPr>
            <w:r>
              <w:rPr>
                <w:rFonts w:ascii="宋体" w:hAnsi="宋体" w:cs="宋体"/>
                <w:color w:val="auto"/>
                <w:kern w:val="0"/>
                <w:sz w:val="24"/>
                <w:highlight w:val="none"/>
              </w:rPr>
              <w:t>2、请</w:t>
            </w:r>
            <w:r>
              <w:rPr>
                <w:rFonts w:hint="eastAsia" w:ascii="宋体" w:hAnsi="宋体" w:cs="宋体"/>
                <w:color w:val="auto"/>
                <w:kern w:val="0"/>
                <w:sz w:val="24"/>
                <w:highlight w:val="none"/>
              </w:rPr>
              <w:t>投标人</w:t>
            </w:r>
            <w:r>
              <w:rPr>
                <w:rFonts w:ascii="宋体" w:hAnsi="宋体" w:cs="宋体"/>
                <w:color w:val="auto"/>
                <w:kern w:val="0"/>
                <w:sz w:val="24"/>
                <w:highlight w:val="none"/>
              </w:rPr>
              <w:t>在转账或电汇的凭证上务必按照以下格式注明，以便核对：“（项目编号：***、合同包：***）的</w:t>
            </w:r>
            <w:r>
              <w:rPr>
                <w:rFonts w:hint="eastAsia" w:ascii="宋体" w:hAnsi="宋体" w:cs="宋体"/>
                <w:color w:val="auto"/>
                <w:kern w:val="0"/>
                <w:sz w:val="24"/>
                <w:highlight w:val="none"/>
              </w:rPr>
              <w:t>投标保证金</w:t>
            </w:r>
            <w:r>
              <w:rPr>
                <w:rFonts w:ascii="宋体" w:hAnsi="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trPr>
        <w:tc>
          <w:tcPr>
            <w:tcW w:w="8460" w:type="dxa"/>
            <w:tcMar>
              <w:top w:w="0" w:type="dxa"/>
              <w:left w:w="105" w:type="dxa"/>
              <w:bottom w:w="0" w:type="dxa"/>
              <w:right w:w="105" w:type="dxa"/>
            </w:tcMar>
          </w:tcPr>
          <w:p>
            <w:pPr>
              <w:widowControl/>
              <w:spacing w:line="435" w:lineRule="atLeast"/>
              <w:jc w:val="left"/>
              <w:rPr>
                <w:rFonts w:ascii="宋体" w:hAnsi="宋体" w:cs="宋体"/>
                <w:color w:val="auto"/>
                <w:kern w:val="0"/>
                <w:sz w:val="24"/>
                <w:highlight w:val="none"/>
              </w:rPr>
            </w:pPr>
          </w:p>
        </w:tc>
      </w:tr>
    </w:tbl>
    <w:p>
      <w:pPr>
        <w:pStyle w:val="12"/>
        <w:widowControl/>
        <w:spacing w:before="75" w:beforeAutospacing="0" w:after="75" w:afterAutospacing="0"/>
        <w:rPr>
          <w:color w:val="auto"/>
          <w:highlight w:val="none"/>
        </w:rPr>
      </w:pPr>
    </w:p>
    <w:p>
      <w:pPr>
        <w:pStyle w:val="12"/>
        <w:widowControl/>
        <w:spacing w:before="75" w:beforeAutospacing="0" w:after="75" w:afterAutospacing="0"/>
        <w:ind w:firstLine="480"/>
        <w:rPr>
          <w:color w:val="auto"/>
          <w:highlight w:val="none"/>
        </w:rPr>
      </w:pPr>
      <w:r>
        <w:rPr>
          <w:color w:val="auto"/>
          <w:highlight w:val="none"/>
        </w:rPr>
        <w:t> </w:t>
      </w:r>
    </w:p>
    <w:p>
      <w:pPr>
        <w:pStyle w:val="12"/>
        <w:widowControl/>
        <w:spacing w:before="75" w:beforeAutospacing="0" w:after="75" w:afterAutospacing="0"/>
        <w:outlineLvl w:val="1"/>
        <w:rPr>
          <w:rFonts w:hint="eastAsia" w:eastAsiaTheme="minorEastAsia"/>
          <w:b/>
          <w:bCs/>
          <w:color w:val="auto"/>
          <w:highlight w:val="none"/>
          <w:lang w:eastAsia="zh-CN"/>
        </w:rPr>
      </w:pPr>
      <w:r>
        <w:rPr>
          <w:rFonts w:hint="eastAsia" w:ascii="宋体" w:hAnsi="宋体" w:cs="宋体"/>
          <w:b/>
          <w:bCs/>
          <w:color w:val="auto"/>
          <w:highlight w:val="none"/>
        </w:rPr>
        <w:t>附</w:t>
      </w:r>
      <w:r>
        <w:rPr>
          <w:b/>
          <w:bCs/>
          <w:color w:val="auto"/>
          <w:highlight w:val="none"/>
        </w:rPr>
        <w:t>2</w:t>
      </w:r>
      <w:r>
        <w:rPr>
          <w:rFonts w:hint="eastAsia" w:ascii="宋体" w:hAnsi="宋体" w:cs="宋体"/>
          <w:b/>
          <w:bCs/>
          <w:color w:val="auto"/>
          <w:highlight w:val="none"/>
        </w:rPr>
        <w:t>：</w:t>
      </w:r>
      <w:r>
        <w:rPr>
          <w:rFonts w:hint="eastAsia" w:ascii="宋体" w:hAnsi="宋体" w:cs="宋体"/>
          <w:b/>
          <w:bCs/>
          <w:color w:val="auto"/>
          <w:highlight w:val="none"/>
          <w:lang w:eastAsia="zh-CN"/>
        </w:rPr>
        <w:t>招标标的一览表</w:t>
      </w:r>
    </w:p>
    <w:p>
      <w:pPr>
        <w:pStyle w:val="12"/>
        <w:widowControl/>
        <w:spacing w:before="75" w:beforeAutospacing="0" w:after="75" w:afterAutospacing="0"/>
        <w:rPr>
          <w:color w:val="auto"/>
          <w:highlight w:val="none"/>
        </w:rPr>
      </w:pPr>
      <w:r>
        <w:rPr>
          <w:color w:val="auto"/>
          <w:highlight w:val="none"/>
        </w:rPr>
        <w:t> </w:t>
      </w:r>
    </w:p>
    <w:p>
      <w:pPr>
        <w:widowControl/>
        <w:spacing w:before="100" w:beforeAutospacing="1" w:after="100" w:afterAutospacing="1"/>
        <w:jc w:val="right"/>
        <w:rPr>
          <w:rFonts w:ascii="宋体" w:hAnsi="宋体" w:cs="宋体"/>
          <w:color w:val="auto"/>
          <w:kern w:val="0"/>
          <w:sz w:val="24"/>
          <w:highlight w:val="none"/>
        </w:rPr>
      </w:pPr>
      <w:r>
        <w:rPr>
          <w:rFonts w:ascii="宋体" w:hAnsi="宋体" w:cs="宋体"/>
          <w:color w:val="auto"/>
          <w:kern w:val="0"/>
          <w:sz w:val="24"/>
          <w:highlight w:val="none"/>
        </w:rPr>
        <w:t>金额单位：人民币元</w:t>
      </w:r>
      <w:r>
        <w:rPr>
          <w:rFonts w:hint="eastAsia" w:ascii="宋体" w:hAnsi="宋体" w:cs="宋体"/>
          <w:color w:val="auto"/>
          <w:kern w:val="0"/>
          <w:sz w:val="24"/>
          <w:highlight w:val="none"/>
        </w:rPr>
        <w:t xml:space="preserve"> </w:t>
      </w:r>
      <w:r>
        <w:rPr>
          <w:rFonts w:ascii="宋体" w:hAnsi="宋体" w:cs="宋体"/>
          <w:color w:val="auto"/>
          <w:kern w:val="0"/>
          <w:sz w:val="24"/>
          <w:highlight w:val="none"/>
        </w:rPr>
        <w:t xml:space="preserve"> </w:t>
      </w:r>
    </w:p>
    <w:tbl>
      <w:tblPr>
        <w:tblStyle w:val="14"/>
        <w:tblW w:w="0" w:type="auto"/>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autofit"/>
        <w:tblCellMar>
          <w:top w:w="0" w:type="dxa"/>
          <w:left w:w="108" w:type="dxa"/>
          <w:bottom w:w="0" w:type="dxa"/>
          <w:right w:w="108" w:type="dxa"/>
        </w:tblCellMar>
      </w:tblPr>
      <w:tblGrid>
        <w:gridCol w:w="662"/>
        <w:gridCol w:w="846"/>
        <w:gridCol w:w="1043"/>
        <w:gridCol w:w="868"/>
        <w:gridCol w:w="975"/>
        <w:gridCol w:w="1416"/>
        <w:gridCol w:w="1416"/>
        <w:gridCol w:w="129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662" w:type="dxa"/>
            <w:tcBorders>
              <w:tl2br w:val="nil"/>
              <w:tr2bl w:val="nil"/>
            </w:tcBorders>
            <w:vAlign w:val="center"/>
          </w:tcPr>
          <w:p>
            <w:pPr>
              <w:spacing w:line="500" w:lineRule="exact"/>
              <w:jc w:val="center"/>
              <w:rPr>
                <w:rFonts w:ascii="宋体" w:hAnsi="宋体" w:eastAsia="宋体" w:cs="宋体"/>
                <w:color w:val="auto"/>
                <w:sz w:val="24"/>
                <w:highlight w:val="none"/>
              </w:rPr>
            </w:pPr>
            <w:r>
              <w:rPr>
                <w:rFonts w:hint="eastAsia" w:ascii="宋体" w:hAnsi="宋体" w:eastAsia="宋体" w:cs="宋体"/>
                <w:b/>
                <w:bCs/>
                <w:color w:val="auto"/>
                <w:sz w:val="24"/>
                <w:highlight w:val="none"/>
              </w:rPr>
              <w:t>合同包</w:t>
            </w:r>
          </w:p>
        </w:tc>
        <w:tc>
          <w:tcPr>
            <w:tcW w:w="846" w:type="dxa"/>
            <w:tcBorders>
              <w:tl2br w:val="nil"/>
              <w:tr2bl w:val="nil"/>
            </w:tcBorders>
            <w:vAlign w:val="center"/>
          </w:tcPr>
          <w:p>
            <w:pPr>
              <w:spacing w:line="500" w:lineRule="exact"/>
              <w:jc w:val="center"/>
              <w:rPr>
                <w:rFonts w:ascii="宋体" w:hAnsi="宋体" w:eastAsia="宋体" w:cs="宋体"/>
                <w:color w:val="auto"/>
                <w:sz w:val="24"/>
                <w:highlight w:val="none"/>
              </w:rPr>
            </w:pPr>
            <w:r>
              <w:rPr>
                <w:rFonts w:hint="eastAsia" w:ascii="宋体" w:hAnsi="宋体" w:eastAsia="宋体" w:cs="宋体"/>
                <w:b/>
                <w:bCs/>
                <w:color w:val="auto"/>
                <w:sz w:val="24"/>
                <w:highlight w:val="none"/>
              </w:rPr>
              <w:t>品目号</w:t>
            </w:r>
          </w:p>
        </w:tc>
        <w:tc>
          <w:tcPr>
            <w:tcW w:w="1043" w:type="dxa"/>
            <w:tcBorders>
              <w:tl2br w:val="nil"/>
              <w:tr2bl w:val="nil"/>
            </w:tcBorders>
            <w:vAlign w:val="center"/>
          </w:tcPr>
          <w:p>
            <w:pPr>
              <w:spacing w:line="500" w:lineRule="exact"/>
              <w:jc w:val="center"/>
              <w:rPr>
                <w:rFonts w:ascii="宋体" w:hAnsi="宋体" w:eastAsia="宋体" w:cs="宋体"/>
                <w:color w:val="auto"/>
                <w:sz w:val="24"/>
                <w:highlight w:val="none"/>
              </w:rPr>
            </w:pPr>
            <w:r>
              <w:rPr>
                <w:rFonts w:hint="eastAsia" w:ascii="宋体" w:hAnsi="宋体" w:eastAsia="宋体" w:cs="宋体"/>
                <w:b/>
                <w:bCs/>
                <w:color w:val="auto"/>
                <w:sz w:val="24"/>
                <w:highlight w:val="none"/>
                <w:lang w:eastAsia="zh-CN"/>
              </w:rPr>
              <w:t>招标</w:t>
            </w:r>
            <w:r>
              <w:rPr>
                <w:rFonts w:hint="eastAsia" w:ascii="宋体" w:hAnsi="宋体" w:eastAsia="宋体" w:cs="宋体"/>
                <w:b/>
                <w:bCs/>
                <w:color w:val="auto"/>
                <w:sz w:val="24"/>
                <w:highlight w:val="none"/>
              </w:rPr>
              <w:t>标的</w:t>
            </w:r>
          </w:p>
        </w:tc>
        <w:tc>
          <w:tcPr>
            <w:tcW w:w="868" w:type="dxa"/>
            <w:tcBorders>
              <w:tl2br w:val="nil"/>
              <w:tr2bl w:val="nil"/>
            </w:tcBorders>
            <w:vAlign w:val="center"/>
          </w:tcPr>
          <w:p>
            <w:pPr>
              <w:spacing w:line="500" w:lineRule="exact"/>
              <w:jc w:val="center"/>
              <w:rPr>
                <w:rFonts w:ascii="宋体" w:hAnsi="宋体" w:eastAsia="宋体" w:cs="宋体"/>
                <w:color w:val="auto"/>
                <w:sz w:val="24"/>
                <w:highlight w:val="none"/>
              </w:rPr>
            </w:pPr>
            <w:r>
              <w:rPr>
                <w:rFonts w:hint="eastAsia" w:ascii="宋体" w:hAnsi="宋体" w:eastAsia="宋体" w:cs="宋体"/>
                <w:b/>
                <w:bCs/>
                <w:color w:val="auto"/>
                <w:sz w:val="24"/>
                <w:highlight w:val="none"/>
              </w:rPr>
              <w:t>允许进口</w:t>
            </w:r>
          </w:p>
        </w:tc>
        <w:tc>
          <w:tcPr>
            <w:tcW w:w="975" w:type="dxa"/>
            <w:tcBorders>
              <w:tl2br w:val="nil"/>
              <w:tr2bl w:val="nil"/>
            </w:tcBorders>
            <w:vAlign w:val="center"/>
          </w:tcPr>
          <w:p>
            <w:pPr>
              <w:spacing w:line="500" w:lineRule="exact"/>
              <w:jc w:val="center"/>
              <w:rPr>
                <w:rFonts w:ascii="宋体" w:hAnsi="宋体" w:eastAsia="宋体" w:cs="宋体"/>
                <w:color w:val="auto"/>
                <w:sz w:val="24"/>
                <w:highlight w:val="none"/>
              </w:rPr>
            </w:pPr>
            <w:r>
              <w:rPr>
                <w:rFonts w:hint="eastAsia" w:ascii="宋体" w:hAnsi="宋体" w:eastAsia="宋体" w:cs="宋体"/>
                <w:b/>
                <w:bCs/>
                <w:color w:val="auto"/>
                <w:sz w:val="24"/>
                <w:highlight w:val="none"/>
              </w:rPr>
              <w:t>数量</w:t>
            </w:r>
          </w:p>
        </w:tc>
        <w:tc>
          <w:tcPr>
            <w:tcW w:w="1416" w:type="dxa"/>
            <w:tcBorders>
              <w:tl2br w:val="nil"/>
              <w:tr2bl w:val="nil"/>
            </w:tcBorders>
            <w:vAlign w:val="center"/>
          </w:tcPr>
          <w:p>
            <w:pPr>
              <w:spacing w:line="500" w:lineRule="exact"/>
              <w:jc w:val="center"/>
              <w:rPr>
                <w:rFonts w:ascii="宋体" w:hAnsi="宋体" w:eastAsia="宋体" w:cs="宋体"/>
                <w:color w:val="auto"/>
                <w:sz w:val="24"/>
                <w:highlight w:val="none"/>
              </w:rPr>
            </w:pPr>
            <w:r>
              <w:rPr>
                <w:rFonts w:hint="eastAsia" w:ascii="宋体" w:hAnsi="宋体" w:eastAsia="宋体" w:cs="宋体"/>
                <w:b/>
                <w:bCs/>
                <w:color w:val="auto"/>
                <w:sz w:val="24"/>
                <w:highlight w:val="none"/>
              </w:rPr>
              <w:t>品目号预算</w:t>
            </w:r>
          </w:p>
        </w:tc>
        <w:tc>
          <w:tcPr>
            <w:tcW w:w="1416" w:type="dxa"/>
            <w:tcBorders>
              <w:tl2br w:val="nil"/>
              <w:tr2bl w:val="nil"/>
            </w:tcBorders>
            <w:vAlign w:val="center"/>
          </w:tcPr>
          <w:p>
            <w:pPr>
              <w:spacing w:line="500" w:lineRule="exact"/>
              <w:jc w:val="center"/>
              <w:rPr>
                <w:rFonts w:ascii="宋体" w:hAnsi="宋体" w:eastAsia="宋体" w:cs="宋体"/>
                <w:color w:val="auto"/>
                <w:sz w:val="24"/>
                <w:highlight w:val="none"/>
              </w:rPr>
            </w:pPr>
            <w:r>
              <w:rPr>
                <w:rFonts w:hint="eastAsia" w:ascii="宋体" w:hAnsi="宋体" w:eastAsia="宋体" w:cs="宋体"/>
                <w:b/>
                <w:bCs/>
                <w:color w:val="auto"/>
                <w:sz w:val="24"/>
                <w:highlight w:val="none"/>
              </w:rPr>
              <w:t>合同包预算</w:t>
            </w:r>
          </w:p>
        </w:tc>
        <w:tc>
          <w:tcPr>
            <w:tcW w:w="1296" w:type="dxa"/>
            <w:tcBorders>
              <w:tl2br w:val="nil"/>
              <w:tr2bl w:val="nil"/>
            </w:tcBorders>
            <w:vAlign w:val="center"/>
          </w:tcPr>
          <w:p>
            <w:pPr>
              <w:spacing w:line="500" w:lineRule="exact"/>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投标</w:t>
            </w:r>
          </w:p>
          <w:p>
            <w:pPr>
              <w:spacing w:line="500" w:lineRule="exact"/>
              <w:jc w:val="center"/>
              <w:rPr>
                <w:rFonts w:ascii="宋体" w:hAnsi="宋体" w:eastAsia="宋体" w:cs="宋体"/>
                <w:color w:val="auto"/>
                <w:sz w:val="24"/>
                <w:highlight w:val="none"/>
              </w:rPr>
            </w:pPr>
            <w:r>
              <w:rPr>
                <w:rFonts w:hint="eastAsia" w:ascii="宋体" w:hAnsi="宋体" w:eastAsia="宋体" w:cs="宋体"/>
                <w:b/>
                <w:bCs/>
                <w:color w:val="auto"/>
                <w:sz w:val="24"/>
                <w:highlight w:val="none"/>
              </w:rPr>
              <w:t>保证金</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662" w:type="dxa"/>
            <w:tcBorders>
              <w:tl2br w:val="nil"/>
              <w:tr2bl w:val="nil"/>
            </w:tcBorders>
            <w:vAlign w:val="center"/>
          </w:tcPr>
          <w:p>
            <w:pPr>
              <w:spacing w:line="5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846" w:type="dxa"/>
            <w:tcBorders>
              <w:tl2br w:val="nil"/>
              <w:tr2bl w:val="nil"/>
            </w:tcBorders>
            <w:vAlign w:val="center"/>
          </w:tcPr>
          <w:p>
            <w:pPr>
              <w:spacing w:line="5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1-1</w:t>
            </w:r>
          </w:p>
        </w:tc>
        <w:tc>
          <w:tcPr>
            <w:tcW w:w="1043" w:type="dxa"/>
            <w:tcBorders>
              <w:tl2br w:val="nil"/>
              <w:tr2bl w:val="nil"/>
            </w:tcBorders>
            <w:vAlign w:val="center"/>
          </w:tcPr>
          <w:p>
            <w:pPr>
              <w:widowControl/>
              <w:rPr>
                <w:rFonts w:ascii="宋体" w:hAnsi="宋体" w:eastAsia="宋体" w:cs="宋体"/>
                <w:color w:val="auto"/>
                <w:sz w:val="24"/>
                <w:highlight w:val="none"/>
              </w:rPr>
            </w:pPr>
            <w:r>
              <w:rPr>
                <w:rFonts w:hint="eastAsia" w:ascii="宋体" w:hAnsi="宋体" w:eastAsia="宋体" w:cs="宋体"/>
                <w:color w:val="auto"/>
                <w:kern w:val="0"/>
                <w:sz w:val="24"/>
                <w:highlight w:val="none"/>
              </w:rPr>
              <w:t>餐厅经营权承包</w:t>
            </w:r>
          </w:p>
        </w:tc>
        <w:tc>
          <w:tcPr>
            <w:tcW w:w="868" w:type="dxa"/>
            <w:tcBorders>
              <w:tl2br w:val="nil"/>
              <w:tr2bl w:val="nil"/>
            </w:tcBorders>
            <w:vAlign w:val="center"/>
          </w:tcPr>
          <w:p>
            <w:pPr>
              <w:widowControl/>
              <w:jc w:val="center"/>
              <w:rPr>
                <w:rFonts w:ascii="宋体" w:hAnsi="宋体" w:eastAsia="宋体" w:cs="宋体"/>
                <w:color w:val="auto"/>
                <w:sz w:val="24"/>
                <w:highlight w:val="none"/>
              </w:rPr>
            </w:pPr>
            <w:r>
              <w:rPr>
                <w:rFonts w:hint="eastAsia" w:ascii="宋体" w:hAnsi="宋体" w:eastAsia="宋体" w:cs="宋体"/>
                <w:color w:val="auto"/>
                <w:kern w:val="0"/>
                <w:sz w:val="24"/>
                <w:highlight w:val="none"/>
              </w:rPr>
              <w:t>否</w:t>
            </w:r>
          </w:p>
        </w:tc>
        <w:tc>
          <w:tcPr>
            <w:tcW w:w="975" w:type="dxa"/>
            <w:tcBorders>
              <w:tl2br w:val="nil"/>
              <w:tr2bl w:val="nil"/>
            </w:tcBorders>
            <w:vAlign w:val="center"/>
          </w:tcPr>
          <w:p>
            <w:pPr>
              <w:widowControl/>
              <w:jc w:val="center"/>
              <w:rPr>
                <w:rFonts w:ascii="宋体" w:hAnsi="宋体" w:eastAsia="宋体" w:cs="宋体"/>
                <w:color w:val="auto"/>
                <w:sz w:val="24"/>
                <w:highlight w:val="none"/>
              </w:rPr>
            </w:pPr>
            <w:r>
              <w:rPr>
                <w:rFonts w:ascii="宋体" w:hAnsi="宋体" w:eastAsia="宋体" w:cs="宋体"/>
                <w:color w:val="auto"/>
                <w:kern w:val="0"/>
                <w:sz w:val="24"/>
                <w:highlight w:val="none"/>
              </w:rPr>
              <w:t>1(项)</w:t>
            </w:r>
          </w:p>
        </w:tc>
        <w:tc>
          <w:tcPr>
            <w:tcW w:w="1416" w:type="dxa"/>
            <w:tcBorders>
              <w:tl2br w:val="nil"/>
              <w:tr2bl w:val="nil"/>
            </w:tcBorders>
            <w:vAlign w:val="center"/>
          </w:tcPr>
          <w:p>
            <w:pPr>
              <w:spacing w:line="50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8000000.00</w:t>
            </w:r>
          </w:p>
        </w:tc>
        <w:tc>
          <w:tcPr>
            <w:tcW w:w="1416" w:type="dxa"/>
            <w:tcBorders>
              <w:tl2br w:val="nil"/>
              <w:tr2bl w:val="nil"/>
            </w:tcBorders>
            <w:vAlign w:val="center"/>
          </w:tcPr>
          <w:p>
            <w:pPr>
              <w:spacing w:line="5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8000000</w:t>
            </w:r>
            <w:r>
              <w:rPr>
                <w:rFonts w:hint="eastAsia" w:ascii="宋体" w:hAnsi="宋体" w:eastAsia="宋体" w:cs="宋体"/>
                <w:color w:val="auto"/>
                <w:sz w:val="24"/>
                <w:highlight w:val="none"/>
              </w:rPr>
              <w:t>.00</w:t>
            </w:r>
          </w:p>
        </w:tc>
        <w:tc>
          <w:tcPr>
            <w:tcW w:w="1296" w:type="dxa"/>
            <w:tcBorders>
              <w:tl2br w:val="nil"/>
              <w:tr2bl w:val="nil"/>
            </w:tcBorders>
            <w:vAlign w:val="center"/>
          </w:tcPr>
          <w:p>
            <w:pPr>
              <w:spacing w:line="50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100000.00</w:t>
            </w:r>
          </w:p>
        </w:tc>
      </w:tr>
    </w:tbl>
    <w:p>
      <w:pPr>
        <w:rPr>
          <w:rStyle w:val="16"/>
          <w:rFonts w:ascii="宋体" w:hAnsi="宋体" w:eastAsia="宋体" w:cs="宋体"/>
          <w:color w:val="auto"/>
          <w:sz w:val="31"/>
          <w:szCs w:val="31"/>
          <w:highlight w:val="none"/>
        </w:rPr>
      </w:pPr>
    </w:p>
    <w:p>
      <w:pPr>
        <w:rPr>
          <w:rStyle w:val="16"/>
          <w:rFonts w:ascii="宋体" w:hAnsi="宋体" w:eastAsia="宋体" w:cs="宋体"/>
          <w:color w:val="auto"/>
          <w:sz w:val="31"/>
          <w:szCs w:val="31"/>
          <w:highlight w:val="none"/>
        </w:rPr>
      </w:pPr>
    </w:p>
    <w:p>
      <w:pPr>
        <w:rPr>
          <w:rStyle w:val="16"/>
          <w:rFonts w:ascii="宋体" w:hAnsi="宋体" w:eastAsia="宋体" w:cs="宋体"/>
          <w:color w:val="auto"/>
          <w:sz w:val="31"/>
          <w:szCs w:val="31"/>
          <w:highlight w:val="none"/>
        </w:rPr>
      </w:pPr>
      <w:r>
        <w:rPr>
          <w:rStyle w:val="16"/>
          <w:rFonts w:hint="eastAsia" w:ascii="宋体" w:hAnsi="宋体" w:eastAsia="宋体" w:cs="宋体"/>
          <w:color w:val="auto"/>
          <w:sz w:val="31"/>
          <w:szCs w:val="31"/>
          <w:highlight w:val="none"/>
        </w:rPr>
        <w:br w:type="page"/>
      </w:r>
    </w:p>
    <w:p>
      <w:pPr>
        <w:pStyle w:val="12"/>
        <w:widowControl/>
        <w:spacing w:before="75" w:beforeAutospacing="0" w:after="75" w:afterAutospacing="0"/>
        <w:jc w:val="center"/>
        <w:outlineLvl w:val="0"/>
        <w:rPr>
          <w:color w:val="auto"/>
          <w:highlight w:val="none"/>
        </w:rPr>
      </w:pPr>
      <w:r>
        <w:rPr>
          <w:rStyle w:val="16"/>
          <w:rFonts w:hint="eastAsia" w:ascii="宋体" w:hAnsi="宋体" w:eastAsia="宋体" w:cs="宋体"/>
          <w:color w:val="auto"/>
          <w:sz w:val="31"/>
          <w:szCs w:val="31"/>
          <w:highlight w:val="none"/>
        </w:rPr>
        <w:t>第二章</w:t>
      </w:r>
      <w:r>
        <w:rPr>
          <w:rStyle w:val="16"/>
          <w:color w:val="auto"/>
          <w:sz w:val="31"/>
          <w:szCs w:val="31"/>
          <w:highlight w:val="none"/>
        </w:rPr>
        <w:t>   </w:t>
      </w:r>
      <w:r>
        <w:rPr>
          <w:rStyle w:val="16"/>
          <w:rFonts w:hint="eastAsia" w:ascii="宋体" w:hAnsi="宋体" w:eastAsia="宋体" w:cs="宋体"/>
          <w:color w:val="auto"/>
          <w:sz w:val="31"/>
          <w:szCs w:val="31"/>
          <w:highlight w:val="none"/>
        </w:rPr>
        <w:t>投标人须知前附表</w:t>
      </w:r>
    </w:p>
    <w:p>
      <w:pPr>
        <w:pStyle w:val="12"/>
        <w:widowControl/>
        <w:spacing w:before="75" w:beforeAutospacing="0" w:after="75" w:afterAutospacing="0"/>
        <w:rPr>
          <w:color w:val="auto"/>
          <w:highlight w:val="none"/>
        </w:rPr>
      </w:pPr>
      <w:r>
        <w:rPr>
          <w:color w:val="auto"/>
          <w:highlight w:val="none"/>
        </w:rPr>
        <w:t> </w:t>
      </w:r>
    </w:p>
    <w:tbl>
      <w:tblPr>
        <w:tblStyle w:val="13"/>
        <w:tblW w:w="0" w:type="auto"/>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661"/>
        <w:gridCol w:w="1534"/>
        <w:gridCol w:w="6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0710" w:type="dxa"/>
            <w:gridSpan w:val="3"/>
            <w:shd w:val="clear" w:color="auto" w:fill="auto"/>
            <w:tcMar>
              <w:top w:w="0" w:type="dxa"/>
              <w:left w:w="105" w:type="dxa"/>
              <w:bottom w:w="0" w:type="dxa"/>
              <w:right w:w="105" w:type="dxa"/>
            </w:tcMar>
            <w:vAlign w:val="center"/>
          </w:tcPr>
          <w:p>
            <w:pPr>
              <w:pStyle w:val="12"/>
              <w:widowControl/>
              <w:spacing w:beforeAutospacing="0" w:afterAutospacing="0"/>
              <w:jc w:val="center"/>
              <w:rPr>
                <w:color w:val="auto"/>
                <w:highlight w:val="none"/>
              </w:rPr>
            </w:pPr>
            <w:r>
              <w:rPr>
                <w:rStyle w:val="16"/>
                <w:rFonts w:hint="eastAsia" w:ascii="宋体" w:hAnsi="宋体" w:eastAsia="宋体" w:cs="宋体"/>
                <w:color w:val="auto"/>
                <w:highlight w:val="none"/>
              </w:rPr>
              <w:t>特别提示：本表与招标文件对应章节的内容若不一致，以本表为准。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12"/>
              <w:widowControl/>
              <w:spacing w:beforeAutospacing="0" w:afterAutospacing="0"/>
              <w:jc w:val="center"/>
              <w:rPr>
                <w:color w:val="auto"/>
                <w:highlight w:val="none"/>
              </w:rPr>
            </w:pPr>
            <w:r>
              <w:rPr>
                <w:rFonts w:hint="eastAsia" w:ascii="宋体" w:hAnsi="宋体" w:eastAsia="宋体" w:cs="宋体"/>
                <w:color w:val="auto"/>
                <w:highlight w:val="none"/>
              </w:rPr>
              <w:t>项号</w:t>
            </w:r>
          </w:p>
        </w:tc>
        <w:tc>
          <w:tcPr>
            <w:tcW w:w="1590" w:type="dxa"/>
            <w:shd w:val="clear" w:color="auto" w:fill="auto"/>
            <w:tcMar>
              <w:top w:w="0" w:type="dxa"/>
              <w:left w:w="105" w:type="dxa"/>
              <w:bottom w:w="0" w:type="dxa"/>
              <w:right w:w="105" w:type="dxa"/>
            </w:tcMar>
            <w:vAlign w:val="center"/>
          </w:tcPr>
          <w:p>
            <w:pPr>
              <w:pStyle w:val="12"/>
              <w:widowControl/>
              <w:spacing w:beforeAutospacing="0" w:afterAutospacing="0"/>
              <w:jc w:val="center"/>
              <w:rPr>
                <w:color w:val="auto"/>
                <w:highlight w:val="none"/>
              </w:rPr>
            </w:pPr>
            <w:r>
              <w:rPr>
                <w:rFonts w:hint="eastAsia" w:ascii="宋体" w:hAnsi="宋体" w:eastAsia="宋体" w:cs="宋体"/>
                <w:color w:val="auto"/>
                <w:highlight w:val="none"/>
              </w:rPr>
              <w:t>招标文件</w:t>
            </w:r>
          </w:p>
          <w:p>
            <w:pPr>
              <w:pStyle w:val="12"/>
              <w:widowControl/>
              <w:spacing w:beforeAutospacing="0" w:afterAutospacing="0"/>
              <w:jc w:val="center"/>
              <w:rPr>
                <w:color w:val="auto"/>
                <w:highlight w:val="none"/>
              </w:rPr>
            </w:pPr>
            <w:r>
              <w:rPr>
                <w:rFonts w:hint="eastAsia" w:ascii="宋体" w:hAnsi="宋体" w:eastAsia="宋体" w:cs="宋体"/>
                <w:color w:val="auto"/>
                <w:highlight w:val="none"/>
              </w:rPr>
              <w:t>（第三章）</w:t>
            </w:r>
          </w:p>
        </w:tc>
        <w:tc>
          <w:tcPr>
            <w:tcW w:w="8640" w:type="dxa"/>
            <w:shd w:val="clear" w:color="auto" w:fill="auto"/>
            <w:tcMar>
              <w:top w:w="0" w:type="dxa"/>
              <w:left w:w="105" w:type="dxa"/>
              <w:bottom w:w="0" w:type="dxa"/>
              <w:right w:w="105" w:type="dxa"/>
            </w:tcMar>
            <w:vAlign w:val="center"/>
          </w:tcPr>
          <w:p>
            <w:pPr>
              <w:pStyle w:val="12"/>
              <w:widowControl/>
              <w:spacing w:beforeAutospacing="0" w:afterAutospacing="0"/>
              <w:jc w:val="center"/>
              <w:rPr>
                <w:color w:val="auto"/>
                <w:highlight w:val="none"/>
              </w:rPr>
            </w:pPr>
            <w:r>
              <w:rPr>
                <w:rFonts w:hint="eastAsia" w:ascii="宋体" w:hAnsi="宋体" w:eastAsia="宋体" w:cs="宋体"/>
                <w:color w:val="auto"/>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12"/>
              <w:widowControl/>
              <w:spacing w:beforeAutospacing="0" w:afterAutospacing="0"/>
              <w:jc w:val="center"/>
              <w:rPr>
                <w:color w:val="auto"/>
                <w:highlight w:val="none"/>
              </w:rPr>
            </w:pPr>
            <w:r>
              <w:rPr>
                <w:rFonts w:hint="eastAsia" w:ascii="宋体" w:hAnsi="宋体" w:eastAsia="宋体" w:cs="宋体"/>
                <w:color w:val="auto"/>
                <w:highlight w:val="none"/>
              </w:rPr>
              <w:t>1</w:t>
            </w:r>
          </w:p>
        </w:tc>
        <w:tc>
          <w:tcPr>
            <w:tcW w:w="1590" w:type="dxa"/>
            <w:shd w:val="clear" w:color="auto" w:fill="auto"/>
            <w:tcMar>
              <w:top w:w="0" w:type="dxa"/>
              <w:left w:w="105" w:type="dxa"/>
              <w:bottom w:w="0" w:type="dxa"/>
              <w:right w:w="105" w:type="dxa"/>
            </w:tcMar>
            <w:vAlign w:val="center"/>
          </w:tcPr>
          <w:p>
            <w:pPr>
              <w:pStyle w:val="12"/>
              <w:widowControl/>
              <w:spacing w:beforeAutospacing="0" w:afterAutospacing="0"/>
              <w:jc w:val="center"/>
              <w:rPr>
                <w:color w:val="auto"/>
                <w:highlight w:val="none"/>
              </w:rPr>
            </w:pPr>
            <w:r>
              <w:rPr>
                <w:rFonts w:hint="eastAsia" w:ascii="宋体" w:hAnsi="宋体" w:eastAsia="宋体" w:cs="宋体"/>
                <w:color w:val="auto"/>
                <w:highlight w:val="none"/>
              </w:rPr>
              <w:t>6.1</w:t>
            </w:r>
          </w:p>
        </w:tc>
        <w:tc>
          <w:tcPr>
            <w:tcW w:w="8640" w:type="dxa"/>
            <w:shd w:val="clear" w:color="auto" w:fill="auto"/>
            <w:tcMar>
              <w:top w:w="0" w:type="dxa"/>
              <w:left w:w="105" w:type="dxa"/>
              <w:bottom w:w="0" w:type="dxa"/>
              <w:right w:w="105" w:type="dxa"/>
            </w:tcMar>
            <w:vAlign w:val="center"/>
          </w:tcPr>
          <w:p>
            <w:pPr>
              <w:pStyle w:val="12"/>
              <w:widowControl/>
              <w:spacing w:beforeAutospacing="0" w:afterAutospacing="0"/>
              <w:rPr>
                <w:color w:val="auto"/>
                <w:highlight w:val="none"/>
              </w:rPr>
            </w:pPr>
            <w:r>
              <w:rPr>
                <w:rStyle w:val="16"/>
                <w:rFonts w:hint="eastAsia" w:ascii="宋体" w:hAnsi="宋体" w:eastAsia="宋体" w:cs="宋体"/>
                <w:color w:val="auto"/>
                <w:highlight w:val="none"/>
              </w:rPr>
              <w:t>是否组织现场考察或召开开标前答疑会：</w:t>
            </w:r>
            <w:r>
              <w:rPr>
                <w:rFonts w:hint="eastAsia" w:ascii="宋体" w:hAnsi="宋体" w:eastAsia="宋体" w:cs="宋体"/>
                <w:color w:val="auto"/>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12"/>
              <w:widowControl/>
              <w:spacing w:beforeAutospacing="0" w:afterAutospacing="0"/>
              <w:jc w:val="center"/>
              <w:rPr>
                <w:color w:val="auto"/>
                <w:highlight w:val="none"/>
              </w:rPr>
            </w:pPr>
            <w:r>
              <w:rPr>
                <w:rFonts w:hint="eastAsia" w:ascii="宋体" w:hAnsi="宋体" w:eastAsia="宋体" w:cs="宋体"/>
                <w:color w:val="auto"/>
                <w:highlight w:val="none"/>
              </w:rPr>
              <w:t>2</w:t>
            </w:r>
          </w:p>
        </w:tc>
        <w:tc>
          <w:tcPr>
            <w:tcW w:w="1590" w:type="dxa"/>
            <w:shd w:val="clear" w:color="auto" w:fill="auto"/>
            <w:tcMar>
              <w:top w:w="0" w:type="dxa"/>
              <w:left w:w="105" w:type="dxa"/>
              <w:bottom w:w="0" w:type="dxa"/>
              <w:right w:w="105" w:type="dxa"/>
            </w:tcMar>
            <w:vAlign w:val="center"/>
          </w:tcPr>
          <w:p>
            <w:pPr>
              <w:pStyle w:val="12"/>
              <w:widowControl/>
              <w:spacing w:beforeAutospacing="0" w:afterAutospacing="0"/>
              <w:jc w:val="center"/>
              <w:rPr>
                <w:color w:val="auto"/>
                <w:highlight w:val="none"/>
              </w:rPr>
            </w:pPr>
            <w:r>
              <w:rPr>
                <w:rFonts w:hint="eastAsia" w:ascii="宋体" w:hAnsi="宋体" w:eastAsia="宋体" w:cs="宋体"/>
                <w:color w:val="auto"/>
                <w:highlight w:val="none"/>
              </w:rPr>
              <w:t>10.4</w:t>
            </w:r>
          </w:p>
        </w:tc>
        <w:tc>
          <w:tcPr>
            <w:tcW w:w="8640" w:type="dxa"/>
            <w:shd w:val="clear" w:color="auto" w:fill="auto"/>
            <w:tcMar>
              <w:top w:w="0" w:type="dxa"/>
              <w:left w:w="105" w:type="dxa"/>
              <w:bottom w:w="0" w:type="dxa"/>
              <w:right w:w="105" w:type="dxa"/>
            </w:tcMar>
            <w:vAlign w:val="center"/>
          </w:tcPr>
          <w:p>
            <w:pPr>
              <w:pStyle w:val="12"/>
              <w:widowControl/>
              <w:spacing w:beforeAutospacing="0" w:afterAutospacing="0"/>
              <w:rPr>
                <w:color w:val="auto"/>
                <w:highlight w:val="none"/>
              </w:rPr>
            </w:pPr>
            <w:r>
              <w:rPr>
                <w:rStyle w:val="16"/>
                <w:rFonts w:hint="eastAsia" w:ascii="宋体" w:hAnsi="宋体" w:eastAsia="宋体" w:cs="宋体"/>
                <w:color w:val="auto"/>
                <w:highlight w:val="none"/>
              </w:rPr>
              <w:t>投标文件的份数：</w:t>
            </w:r>
          </w:p>
          <w:p>
            <w:pPr>
              <w:pStyle w:val="12"/>
              <w:widowControl/>
              <w:spacing w:beforeAutospacing="0" w:afterAutospacing="0"/>
              <w:rPr>
                <w:color w:val="auto"/>
                <w:highlight w:val="none"/>
              </w:rPr>
            </w:pPr>
            <w:r>
              <w:rPr>
                <w:rFonts w:hint="eastAsia" w:ascii="宋体" w:hAnsi="宋体" w:eastAsia="宋体" w:cs="宋体"/>
                <w:color w:val="auto"/>
                <w:highlight w:val="none"/>
              </w:rPr>
              <w:t>纸质投标文件：</w:t>
            </w:r>
          </w:p>
          <w:p>
            <w:pPr>
              <w:pStyle w:val="12"/>
              <w:widowControl/>
              <w:spacing w:beforeAutospacing="0" w:afterAutospacing="0"/>
              <w:rPr>
                <w:color w:val="auto"/>
                <w:highlight w:val="none"/>
              </w:rPr>
            </w:pPr>
            <w:r>
              <w:rPr>
                <w:rFonts w:hint="eastAsia" w:ascii="宋体" w:hAnsi="宋体" w:eastAsia="宋体" w:cs="宋体"/>
                <w:color w:val="auto"/>
                <w:highlight w:val="none"/>
              </w:rPr>
              <w:t>①资格及资信证明部分的正本</w:t>
            </w:r>
            <w:r>
              <w:rPr>
                <w:rFonts w:hint="eastAsia" w:ascii="宋体" w:hAnsi="宋体" w:eastAsia="宋体" w:cs="宋体"/>
                <w:color w:val="auto"/>
                <w:highlight w:val="none"/>
                <w:u w:val="single"/>
              </w:rPr>
              <w:t>1</w:t>
            </w:r>
            <w:r>
              <w:rPr>
                <w:rFonts w:hint="eastAsia" w:ascii="宋体" w:hAnsi="宋体" w:eastAsia="宋体" w:cs="宋体"/>
                <w:color w:val="auto"/>
                <w:highlight w:val="none"/>
              </w:rPr>
              <w:t>份、副本</w:t>
            </w:r>
            <w:r>
              <w:rPr>
                <w:rFonts w:hint="eastAsia" w:ascii="宋体" w:hAnsi="宋体" w:eastAsia="宋体" w:cs="宋体"/>
                <w:color w:val="auto"/>
                <w:highlight w:val="none"/>
                <w:u w:val="single"/>
              </w:rPr>
              <w:t>0</w:t>
            </w:r>
            <w:r>
              <w:rPr>
                <w:rFonts w:hint="eastAsia" w:ascii="宋体" w:hAnsi="宋体" w:eastAsia="宋体" w:cs="宋体"/>
                <w:color w:val="auto"/>
                <w:highlight w:val="none"/>
              </w:rPr>
              <w:t>份，报价部分的正本</w:t>
            </w:r>
            <w:r>
              <w:rPr>
                <w:rFonts w:hint="eastAsia" w:ascii="宋体" w:hAnsi="宋体" w:eastAsia="宋体" w:cs="宋体"/>
                <w:color w:val="auto"/>
                <w:highlight w:val="none"/>
                <w:u w:val="single"/>
              </w:rPr>
              <w:t>1</w:t>
            </w:r>
            <w:r>
              <w:rPr>
                <w:rFonts w:hint="eastAsia" w:ascii="宋体" w:hAnsi="宋体" w:eastAsia="宋体" w:cs="宋体"/>
                <w:color w:val="auto"/>
                <w:highlight w:val="none"/>
              </w:rPr>
              <w:t>份、副本</w:t>
            </w:r>
            <w:r>
              <w:rPr>
                <w:rFonts w:hint="eastAsia" w:ascii="宋体" w:hAnsi="宋体" w:eastAsia="宋体" w:cs="宋体"/>
                <w:color w:val="auto"/>
                <w:highlight w:val="none"/>
                <w:u w:val="single"/>
              </w:rPr>
              <w:t>0</w:t>
            </w:r>
            <w:r>
              <w:rPr>
                <w:rFonts w:hint="eastAsia" w:ascii="宋体" w:hAnsi="宋体" w:eastAsia="宋体" w:cs="宋体"/>
                <w:color w:val="auto"/>
                <w:highlight w:val="none"/>
              </w:rPr>
              <w:t>份，技术商务部分的正本</w:t>
            </w:r>
            <w:r>
              <w:rPr>
                <w:rFonts w:hint="eastAsia" w:ascii="宋体" w:hAnsi="宋体" w:eastAsia="宋体" w:cs="宋体"/>
                <w:color w:val="auto"/>
                <w:highlight w:val="none"/>
                <w:u w:val="single"/>
              </w:rPr>
              <w:t>1</w:t>
            </w:r>
            <w:r>
              <w:rPr>
                <w:rFonts w:hint="eastAsia" w:ascii="宋体" w:hAnsi="宋体" w:eastAsia="宋体" w:cs="宋体"/>
                <w:color w:val="auto"/>
                <w:highlight w:val="none"/>
              </w:rPr>
              <w:t>份、副本</w:t>
            </w:r>
            <w:r>
              <w:rPr>
                <w:rFonts w:hint="eastAsia" w:ascii="宋体" w:hAnsi="宋体" w:eastAsia="宋体" w:cs="宋体"/>
                <w:color w:val="auto"/>
                <w:highlight w:val="none"/>
                <w:u w:val="single"/>
              </w:rPr>
              <w:t>0</w:t>
            </w:r>
            <w:r>
              <w:rPr>
                <w:rFonts w:hint="eastAsia" w:ascii="宋体" w:hAnsi="宋体" w:eastAsia="宋体" w:cs="宋体"/>
                <w:color w:val="auto"/>
                <w:highlight w:val="none"/>
              </w:rPr>
              <w:t>份。</w:t>
            </w:r>
          </w:p>
          <w:p>
            <w:pPr>
              <w:pStyle w:val="12"/>
              <w:widowControl/>
              <w:spacing w:beforeAutospacing="0" w:afterAutospacing="0"/>
              <w:rPr>
                <w:color w:val="auto"/>
                <w:highlight w:val="none"/>
              </w:rPr>
            </w:pPr>
            <w:r>
              <w:rPr>
                <w:rFonts w:hint="eastAsia" w:ascii="宋体" w:hAnsi="宋体" w:eastAsia="宋体" w:cs="宋体"/>
                <w:color w:val="auto"/>
                <w:highlight w:val="none"/>
              </w:rPr>
              <w:t>②可读介质（光盘或</w:t>
            </w:r>
            <w:r>
              <w:rPr>
                <w:rFonts w:ascii="Times New Roman" w:hAnsi="Times New Roman"/>
                <w:color w:val="auto"/>
                <w:highlight w:val="none"/>
              </w:rPr>
              <w:t>U</w:t>
            </w:r>
            <w:r>
              <w:rPr>
                <w:rFonts w:hint="eastAsia" w:ascii="宋体" w:hAnsi="宋体" w:eastAsia="宋体" w:cs="宋体"/>
                <w:color w:val="auto"/>
                <w:highlight w:val="none"/>
              </w:rPr>
              <w:t>盘）</w:t>
            </w:r>
            <w:r>
              <w:rPr>
                <w:rFonts w:hint="eastAsia" w:ascii="宋体" w:hAnsi="宋体" w:eastAsia="宋体" w:cs="宋体"/>
                <w:color w:val="auto"/>
                <w:highlight w:val="none"/>
                <w:u w:val="single"/>
              </w:rPr>
              <w:t>1</w:t>
            </w:r>
            <w:r>
              <w:rPr>
                <w:rFonts w:hint="eastAsia" w:ascii="宋体" w:hAnsi="宋体" w:eastAsia="宋体" w:cs="宋体"/>
                <w:color w:val="auto"/>
                <w:highlight w:val="none"/>
              </w:rPr>
              <w:t>份：投标人应将其上交至福建丰盛项目管理有限公司的书面投标文件在该可读介质中另存</w:t>
            </w:r>
            <w:r>
              <w:rPr>
                <w:rFonts w:hint="eastAsia" w:ascii="宋体" w:hAnsi="宋体" w:eastAsia="宋体" w:cs="宋体"/>
                <w:color w:val="auto"/>
                <w:highlight w:val="none"/>
                <w:u w:val="single"/>
              </w:rPr>
              <w:t>1</w:t>
            </w:r>
            <w:r>
              <w:rPr>
                <w:rFonts w:hint="eastAsia" w:ascii="宋体" w:hAnsi="宋体" w:eastAsia="宋体" w:cs="宋体"/>
                <w:color w:val="auto"/>
                <w:highlight w:val="none"/>
              </w:rPr>
              <w:t>份。</w:t>
            </w:r>
          </w:p>
          <w:p>
            <w:pPr>
              <w:pStyle w:val="12"/>
              <w:widowControl/>
              <w:spacing w:beforeAutospacing="0" w:afterAutospacing="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12"/>
              <w:widowControl/>
              <w:spacing w:beforeAutospacing="0" w:afterAutospacing="0"/>
              <w:jc w:val="center"/>
              <w:rPr>
                <w:color w:val="auto"/>
                <w:highlight w:val="none"/>
              </w:rPr>
            </w:pPr>
            <w:r>
              <w:rPr>
                <w:rFonts w:hint="eastAsia" w:ascii="宋体" w:hAnsi="宋体" w:eastAsia="宋体" w:cs="宋体"/>
                <w:color w:val="auto"/>
                <w:highlight w:val="none"/>
              </w:rPr>
              <w:t>3</w:t>
            </w:r>
          </w:p>
        </w:tc>
        <w:tc>
          <w:tcPr>
            <w:tcW w:w="1590" w:type="dxa"/>
            <w:shd w:val="clear" w:color="auto" w:fill="auto"/>
            <w:tcMar>
              <w:top w:w="0" w:type="dxa"/>
              <w:left w:w="105" w:type="dxa"/>
              <w:bottom w:w="0" w:type="dxa"/>
              <w:right w:w="105" w:type="dxa"/>
            </w:tcMar>
            <w:vAlign w:val="center"/>
          </w:tcPr>
          <w:p>
            <w:pPr>
              <w:pStyle w:val="12"/>
              <w:widowControl/>
              <w:spacing w:beforeAutospacing="0" w:afterAutospacing="0"/>
              <w:rPr>
                <w:color w:val="auto"/>
                <w:highlight w:val="none"/>
              </w:rPr>
            </w:pPr>
            <w:r>
              <w:rPr>
                <w:rFonts w:hint="eastAsia" w:ascii="宋体" w:hAnsi="宋体" w:eastAsia="宋体" w:cs="宋体"/>
                <w:color w:val="auto"/>
                <w:highlight w:val="none"/>
              </w:rPr>
              <w:t>10.5-（</w:t>
            </w:r>
            <w:r>
              <w:rPr>
                <w:rFonts w:ascii="Times New Roman" w:hAnsi="Times New Roman"/>
                <w:color w:val="auto"/>
                <w:highlight w:val="none"/>
              </w:rPr>
              <w:t>2</w:t>
            </w:r>
            <w:r>
              <w:rPr>
                <w:rFonts w:hint="eastAsia" w:ascii="宋体" w:hAnsi="宋体" w:eastAsia="宋体" w:cs="宋体"/>
                <w:color w:val="auto"/>
                <w:highlight w:val="none"/>
              </w:rPr>
              <w:t>）</w:t>
            </w:r>
            <w:r>
              <w:rPr>
                <w:rFonts w:ascii="Times New Roman" w:hAnsi="Times New Roman"/>
                <w:color w:val="auto"/>
                <w:highlight w:val="none"/>
              </w:rPr>
              <w:t>-</w:t>
            </w:r>
            <w:r>
              <w:rPr>
                <w:rFonts w:hint="eastAsia" w:ascii="宋体" w:hAnsi="宋体" w:eastAsia="宋体" w:cs="宋体"/>
                <w:color w:val="auto"/>
                <w:highlight w:val="none"/>
              </w:rPr>
              <w:t>③</w:t>
            </w:r>
          </w:p>
        </w:tc>
        <w:tc>
          <w:tcPr>
            <w:tcW w:w="8640" w:type="dxa"/>
            <w:shd w:val="clear" w:color="auto" w:fill="auto"/>
            <w:tcMar>
              <w:top w:w="0" w:type="dxa"/>
              <w:left w:w="105" w:type="dxa"/>
              <w:bottom w:w="0" w:type="dxa"/>
              <w:right w:w="105" w:type="dxa"/>
            </w:tcMar>
            <w:vAlign w:val="center"/>
          </w:tcPr>
          <w:p>
            <w:pPr>
              <w:pStyle w:val="12"/>
              <w:widowControl/>
              <w:spacing w:beforeAutospacing="0" w:afterAutospacing="0"/>
              <w:rPr>
                <w:color w:val="auto"/>
                <w:highlight w:val="none"/>
              </w:rPr>
            </w:pPr>
            <w:r>
              <w:rPr>
                <w:rStyle w:val="16"/>
                <w:rFonts w:hint="eastAsia" w:ascii="宋体" w:hAnsi="宋体" w:eastAsia="宋体" w:cs="宋体"/>
                <w:color w:val="auto"/>
                <w:highlight w:val="none"/>
              </w:rPr>
              <w:t>允许散装或活页装订的内容或材料：</w:t>
            </w:r>
          </w:p>
          <w:p>
            <w:pPr>
              <w:pStyle w:val="12"/>
              <w:widowControl/>
              <w:spacing w:beforeAutospacing="0" w:afterAutospacing="0"/>
              <w:rPr>
                <w:color w:val="auto"/>
                <w:highlight w:val="none"/>
              </w:rPr>
            </w:pPr>
            <w:r>
              <w:rPr>
                <w:rFonts w:hint="eastAsia" w:ascii="宋体" w:hAnsi="宋体" w:eastAsia="宋体" w:cs="宋体"/>
                <w:color w:val="auto"/>
                <w:highlight w:val="none"/>
              </w:rPr>
              <w:t>（1）投标文件的补充、修改或撤回；</w:t>
            </w:r>
          </w:p>
          <w:p>
            <w:pPr>
              <w:pStyle w:val="12"/>
              <w:widowControl/>
              <w:spacing w:beforeAutospacing="0" w:afterAutospacing="0"/>
              <w:rPr>
                <w:color w:val="auto"/>
                <w:highlight w:val="none"/>
              </w:rPr>
            </w:pPr>
            <w:r>
              <w:rPr>
                <w:rFonts w:hint="eastAsia" w:ascii="宋体" w:hAnsi="宋体" w:eastAsia="宋体" w:cs="宋体"/>
                <w:color w:val="auto"/>
                <w:highlight w:val="none"/>
              </w:rPr>
              <w:t>（2）其他内容或材料：无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12"/>
              <w:widowControl/>
              <w:spacing w:beforeAutospacing="0" w:afterAutospacing="0"/>
              <w:jc w:val="center"/>
              <w:rPr>
                <w:color w:val="auto"/>
                <w:highlight w:val="none"/>
              </w:rPr>
            </w:pPr>
            <w:r>
              <w:rPr>
                <w:rFonts w:hint="eastAsia" w:ascii="宋体" w:hAnsi="宋体" w:eastAsia="宋体" w:cs="宋体"/>
                <w:color w:val="auto"/>
                <w:highlight w:val="none"/>
              </w:rPr>
              <w:t>4</w:t>
            </w:r>
          </w:p>
        </w:tc>
        <w:tc>
          <w:tcPr>
            <w:tcW w:w="1590" w:type="dxa"/>
            <w:shd w:val="clear" w:color="auto" w:fill="auto"/>
            <w:tcMar>
              <w:top w:w="0" w:type="dxa"/>
              <w:left w:w="105" w:type="dxa"/>
              <w:bottom w:w="0" w:type="dxa"/>
              <w:right w:w="105" w:type="dxa"/>
            </w:tcMar>
            <w:vAlign w:val="center"/>
          </w:tcPr>
          <w:p>
            <w:pPr>
              <w:pStyle w:val="12"/>
              <w:widowControl/>
              <w:spacing w:beforeAutospacing="0" w:afterAutospacing="0"/>
              <w:rPr>
                <w:color w:val="auto"/>
                <w:highlight w:val="none"/>
              </w:rPr>
            </w:pPr>
            <w:r>
              <w:rPr>
                <w:rFonts w:hint="eastAsia" w:ascii="宋体" w:hAnsi="宋体" w:eastAsia="宋体" w:cs="宋体"/>
                <w:color w:val="auto"/>
                <w:highlight w:val="none"/>
              </w:rPr>
              <w:t> 10.7-（</w:t>
            </w:r>
            <w:r>
              <w:rPr>
                <w:rFonts w:ascii="Times New Roman" w:hAnsi="Times New Roman"/>
                <w:color w:val="auto"/>
                <w:highlight w:val="none"/>
              </w:rPr>
              <w:t>1</w:t>
            </w:r>
            <w:r>
              <w:rPr>
                <w:rFonts w:hint="eastAsia" w:ascii="宋体" w:hAnsi="宋体" w:eastAsia="宋体" w:cs="宋体"/>
                <w:color w:val="auto"/>
                <w:highlight w:val="none"/>
              </w:rPr>
              <w:t>）</w:t>
            </w:r>
          </w:p>
        </w:tc>
        <w:tc>
          <w:tcPr>
            <w:tcW w:w="8640" w:type="dxa"/>
            <w:shd w:val="clear" w:color="auto" w:fill="auto"/>
            <w:tcMar>
              <w:top w:w="0" w:type="dxa"/>
              <w:left w:w="105" w:type="dxa"/>
              <w:bottom w:w="0" w:type="dxa"/>
              <w:right w:w="105" w:type="dxa"/>
            </w:tcMar>
            <w:vAlign w:val="center"/>
          </w:tcPr>
          <w:p>
            <w:pPr>
              <w:pStyle w:val="12"/>
              <w:widowControl/>
              <w:spacing w:beforeAutospacing="0" w:afterAutospacing="0"/>
              <w:rPr>
                <w:color w:val="auto"/>
                <w:highlight w:val="none"/>
              </w:rPr>
            </w:pPr>
            <w:r>
              <w:rPr>
                <w:rStyle w:val="16"/>
                <w:rFonts w:hint="eastAsia" w:ascii="宋体" w:hAnsi="宋体" w:eastAsia="宋体" w:cs="宋体"/>
                <w:color w:val="auto"/>
                <w:highlight w:val="none"/>
              </w:rPr>
              <w:t>是否允许中标人将本项目的非主体、非关键性工作进行分包：</w:t>
            </w:r>
          </w:p>
          <w:p>
            <w:pPr>
              <w:pStyle w:val="12"/>
              <w:widowControl/>
              <w:spacing w:beforeAutospacing="0" w:afterAutospacing="0"/>
              <w:rPr>
                <w:color w:val="auto"/>
                <w:highlight w:val="none"/>
              </w:rPr>
            </w:pPr>
            <w:r>
              <w:rPr>
                <w:rFonts w:hint="eastAsia" w:ascii="宋体" w:hAnsi="宋体" w:eastAsia="宋体" w:cs="宋体"/>
                <w:color w:val="auto"/>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12"/>
              <w:widowControl/>
              <w:spacing w:beforeAutospacing="0" w:afterAutospacing="0"/>
              <w:jc w:val="center"/>
              <w:rPr>
                <w:color w:val="auto"/>
                <w:highlight w:val="none"/>
              </w:rPr>
            </w:pPr>
            <w:r>
              <w:rPr>
                <w:rFonts w:hint="eastAsia" w:ascii="宋体" w:hAnsi="宋体" w:eastAsia="宋体" w:cs="宋体"/>
                <w:color w:val="auto"/>
                <w:highlight w:val="none"/>
              </w:rPr>
              <w:t>5</w:t>
            </w:r>
          </w:p>
        </w:tc>
        <w:tc>
          <w:tcPr>
            <w:tcW w:w="1590" w:type="dxa"/>
            <w:shd w:val="clear" w:color="auto" w:fill="auto"/>
            <w:tcMar>
              <w:top w:w="0" w:type="dxa"/>
              <w:left w:w="105" w:type="dxa"/>
              <w:bottom w:w="0" w:type="dxa"/>
              <w:right w:w="105" w:type="dxa"/>
            </w:tcMar>
            <w:vAlign w:val="center"/>
          </w:tcPr>
          <w:p>
            <w:pPr>
              <w:pStyle w:val="12"/>
              <w:widowControl/>
              <w:spacing w:beforeAutospacing="0" w:afterAutospacing="0"/>
              <w:jc w:val="center"/>
              <w:rPr>
                <w:color w:val="auto"/>
                <w:highlight w:val="none"/>
              </w:rPr>
            </w:pPr>
            <w:r>
              <w:rPr>
                <w:rFonts w:hint="eastAsia" w:ascii="宋体" w:hAnsi="宋体" w:eastAsia="宋体" w:cs="宋体"/>
                <w:color w:val="auto"/>
                <w:highlight w:val="none"/>
              </w:rPr>
              <w:t>10.8-（</w:t>
            </w:r>
            <w:r>
              <w:rPr>
                <w:rFonts w:ascii="Calibri" w:hAnsi="Calibri" w:cs="Calibri"/>
                <w:color w:val="auto"/>
                <w:highlight w:val="none"/>
              </w:rPr>
              <w:t>1</w:t>
            </w:r>
            <w:r>
              <w:rPr>
                <w:rFonts w:hint="eastAsia" w:ascii="宋体" w:hAnsi="宋体" w:eastAsia="宋体" w:cs="宋体"/>
                <w:color w:val="auto"/>
                <w:highlight w:val="none"/>
              </w:rPr>
              <w:t>）</w:t>
            </w:r>
          </w:p>
        </w:tc>
        <w:tc>
          <w:tcPr>
            <w:tcW w:w="8640" w:type="dxa"/>
            <w:shd w:val="clear" w:color="auto" w:fill="auto"/>
            <w:tcMar>
              <w:top w:w="0" w:type="dxa"/>
              <w:left w:w="105" w:type="dxa"/>
              <w:bottom w:w="0" w:type="dxa"/>
              <w:right w:w="105" w:type="dxa"/>
            </w:tcMar>
            <w:vAlign w:val="center"/>
          </w:tcPr>
          <w:p>
            <w:pPr>
              <w:pStyle w:val="12"/>
              <w:widowControl/>
              <w:spacing w:beforeAutospacing="0" w:afterAutospacing="0"/>
              <w:rPr>
                <w:color w:val="auto"/>
                <w:highlight w:val="none"/>
              </w:rPr>
            </w:pPr>
            <w:r>
              <w:rPr>
                <w:rStyle w:val="16"/>
                <w:rFonts w:hint="eastAsia" w:ascii="宋体" w:hAnsi="宋体" w:eastAsia="宋体" w:cs="宋体"/>
                <w:color w:val="auto"/>
                <w:highlight w:val="none"/>
              </w:rPr>
              <w:t>投标有效期</w:t>
            </w:r>
            <w:r>
              <w:rPr>
                <w:rFonts w:hint="eastAsia" w:ascii="宋体" w:hAnsi="宋体" w:eastAsia="宋体" w:cs="宋体"/>
                <w:color w:val="auto"/>
                <w:highlight w:val="none"/>
              </w:rPr>
              <w:t>：投标截止时间起90个日历日。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12"/>
              <w:widowControl/>
              <w:spacing w:beforeAutospacing="0" w:afterAutospacing="0"/>
              <w:jc w:val="center"/>
              <w:rPr>
                <w:color w:val="auto"/>
                <w:highlight w:val="none"/>
              </w:rPr>
            </w:pPr>
            <w:r>
              <w:rPr>
                <w:rFonts w:hint="eastAsia" w:ascii="宋体" w:hAnsi="宋体" w:eastAsia="宋体" w:cs="宋体"/>
                <w:color w:val="auto"/>
                <w:highlight w:val="none"/>
              </w:rPr>
              <w:t>6</w:t>
            </w:r>
          </w:p>
        </w:tc>
        <w:tc>
          <w:tcPr>
            <w:tcW w:w="1590" w:type="dxa"/>
            <w:shd w:val="clear" w:color="auto" w:fill="auto"/>
            <w:tcMar>
              <w:top w:w="0" w:type="dxa"/>
              <w:left w:w="105" w:type="dxa"/>
              <w:bottom w:w="0" w:type="dxa"/>
              <w:right w:w="105" w:type="dxa"/>
            </w:tcMar>
            <w:vAlign w:val="center"/>
          </w:tcPr>
          <w:p>
            <w:pPr>
              <w:pStyle w:val="12"/>
              <w:widowControl/>
              <w:spacing w:beforeAutospacing="0" w:afterAutospacing="0"/>
              <w:jc w:val="center"/>
              <w:rPr>
                <w:color w:val="auto"/>
                <w:highlight w:val="none"/>
              </w:rPr>
            </w:pPr>
            <w:r>
              <w:rPr>
                <w:rFonts w:hint="eastAsia" w:ascii="宋体" w:hAnsi="宋体" w:eastAsia="宋体" w:cs="宋体"/>
                <w:color w:val="auto"/>
                <w:highlight w:val="none"/>
              </w:rPr>
              <w:t>10.10-（</w:t>
            </w:r>
            <w:r>
              <w:rPr>
                <w:rFonts w:ascii="Calibri" w:hAnsi="Calibri" w:cs="Calibri"/>
                <w:color w:val="auto"/>
                <w:highlight w:val="none"/>
              </w:rPr>
              <w:t>2</w:t>
            </w:r>
            <w:r>
              <w:rPr>
                <w:rFonts w:hint="eastAsia" w:ascii="宋体" w:hAnsi="宋体" w:eastAsia="宋体" w:cs="宋体"/>
                <w:color w:val="auto"/>
                <w:highlight w:val="none"/>
              </w:rPr>
              <w:t>）</w:t>
            </w:r>
          </w:p>
        </w:tc>
        <w:tc>
          <w:tcPr>
            <w:tcW w:w="8640" w:type="dxa"/>
            <w:shd w:val="clear" w:color="auto" w:fill="auto"/>
            <w:tcMar>
              <w:top w:w="0" w:type="dxa"/>
              <w:left w:w="105" w:type="dxa"/>
              <w:bottom w:w="0" w:type="dxa"/>
              <w:right w:w="105" w:type="dxa"/>
            </w:tcMar>
            <w:vAlign w:val="center"/>
          </w:tcPr>
          <w:p>
            <w:pPr>
              <w:pStyle w:val="12"/>
              <w:widowControl/>
              <w:spacing w:beforeAutospacing="0" w:afterAutospacing="0"/>
              <w:rPr>
                <w:color w:val="auto"/>
                <w:highlight w:val="none"/>
              </w:rPr>
            </w:pPr>
            <w:r>
              <w:rPr>
                <w:rStyle w:val="16"/>
                <w:rFonts w:hint="eastAsia" w:ascii="宋体" w:hAnsi="宋体" w:eastAsia="宋体" w:cs="宋体"/>
                <w:color w:val="auto"/>
                <w:highlight w:val="none"/>
              </w:rPr>
              <w:t>密封及其标记的具体形式：</w:t>
            </w:r>
          </w:p>
          <w:p>
            <w:pPr>
              <w:pStyle w:val="12"/>
              <w:widowControl/>
              <w:spacing w:beforeAutospacing="0" w:afterAutospacing="0"/>
              <w:rPr>
                <w:color w:val="auto"/>
                <w:highlight w:val="none"/>
              </w:rPr>
            </w:pPr>
            <w:r>
              <w:rPr>
                <w:rFonts w:hint="eastAsia" w:ascii="宋体" w:hAnsi="宋体" w:eastAsia="宋体" w:cs="宋体"/>
                <w:color w:val="auto"/>
                <w:highlight w:val="none"/>
              </w:rPr>
              <w:t>（1）全部纸质投标文件（包括正本、副本及可读介质）均应密封，否则</w:t>
            </w:r>
            <w:r>
              <w:rPr>
                <w:rStyle w:val="16"/>
                <w:rFonts w:hint="eastAsia" w:ascii="宋体" w:hAnsi="宋体" w:eastAsia="宋体" w:cs="宋体"/>
                <w:color w:val="auto"/>
                <w:highlight w:val="none"/>
              </w:rPr>
              <w:t>投标将被拒绝。</w:t>
            </w:r>
          </w:p>
          <w:p>
            <w:pPr>
              <w:pStyle w:val="12"/>
              <w:widowControl/>
              <w:spacing w:beforeAutospacing="0" w:afterAutospacing="0"/>
              <w:rPr>
                <w:color w:val="auto"/>
                <w:highlight w:val="none"/>
              </w:rPr>
            </w:pPr>
            <w:r>
              <w:rPr>
                <w:rFonts w:hint="eastAsia" w:ascii="宋体" w:hAnsi="宋体" w:eastAsia="宋体" w:cs="宋体"/>
                <w:color w:val="auto"/>
                <w:highlight w:val="none"/>
              </w:rPr>
              <w:t>（2）密封的外包装应至少标记“项目名称、招标编号、所投合同包、投标人的全称”等内容，否则造成投标文件误投、遗漏或提前拆封的，</w:t>
            </w:r>
            <w:r>
              <w:rPr>
                <w:rFonts w:hint="eastAsia" w:ascii="宋体" w:hAnsi="宋体" w:eastAsia="宋体" w:cs="宋体"/>
                <w:color w:val="auto"/>
                <w:highlight w:val="none"/>
                <w:u w:val="single"/>
              </w:rPr>
              <w:t>福建丰盛项目管理有限公司</w:t>
            </w:r>
            <w:r>
              <w:rPr>
                <w:rFonts w:hint="eastAsia" w:ascii="宋体" w:hAnsi="宋体" w:eastAsia="宋体" w:cs="宋体"/>
                <w:color w:val="auto"/>
                <w:highlight w:val="none"/>
              </w:rPr>
              <w:t>不承担责任。</w:t>
            </w:r>
          </w:p>
          <w:p>
            <w:pPr>
              <w:pStyle w:val="12"/>
              <w:widowControl/>
              <w:spacing w:beforeAutospacing="0" w:afterAutospacing="0"/>
              <w:rPr>
                <w:color w:val="auto"/>
                <w:highlight w:val="none"/>
              </w:rPr>
            </w:pPr>
            <w:r>
              <w:rPr>
                <w:rFonts w:hint="eastAsia" w:ascii="宋体" w:hAnsi="宋体" w:eastAsia="宋体" w:cs="宋体"/>
                <w:color w:val="auto"/>
                <w:highlight w:val="none"/>
              </w:rPr>
              <w:t>（3）其他：无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12"/>
              <w:widowControl/>
              <w:spacing w:beforeAutospacing="0" w:afterAutospacing="0"/>
              <w:jc w:val="center"/>
              <w:rPr>
                <w:color w:val="auto"/>
                <w:highlight w:val="none"/>
              </w:rPr>
            </w:pPr>
            <w:r>
              <w:rPr>
                <w:rFonts w:hint="eastAsia" w:ascii="宋体" w:hAnsi="宋体" w:eastAsia="宋体" w:cs="宋体"/>
                <w:color w:val="auto"/>
                <w:highlight w:val="none"/>
              </w:rPr>
              <w:t>7</w:t>
            </w:r>
          </w:p>
        </w:tc>
        <w:tc>
          <w:tcPr>
            <w:tcW w:w="1590" w:type="dxa"/>
            <w:shd w:val="clear" w:color="auto" w:fill="auto"/>
            <w:tcMar>
              <w:top w:w="0" w:type="dxa"/>
              <w:left w:w="105" w:type="dxa"/>
              <w:bottom w:w="0" w:type="dxa"/>
              <w:right w:w="105" w:type="dxa"/>
            </w:tcMar>
            <w:vAlign w:val="center"/>
          </w:tcPr>
          <w:p>
            <w:pPr>
              <w:pStyle w:val="12"/>
              <w:widowControl/>
              <w:spacing w:beforeAutospacing="0" w:afterAutospacing="0"/>
              <w:jc w:val="center"/>
              <w:rPr>
                <w:color w:val="auto"/>
                <w:highlight w:val="none"/>
              </w:rPr>
            </w:pPr>
            <w:r>
              <w:rPr>
                <w:rFonts w:hint="eastAsia" w:ascii="宋体" w:hAnsi="宋体" w:eastAsia="宋体" w:cs="宋体"/>
                <w:color w:val="auto"/>
                <w:highlight w:val="none"/>
              </w:rPr>
              <w:t>12.1</w:t>
            </w:r>
          </w:p>
        </w:tc>
        <w:tc>
          <w:tcPr>
            <w:tcW w:w="8640" w:type="dxa"/>
            <w:shd w:val="clear" w:color="auto" w:fill="auto"/>
            <w:tcMar>
              <w:top w:w="0" w:type="dxa"/>
              <w:left w:w="105" w:type="dxa"/>
              <w:bottom w:w="0" w:type="dxa"/>
              <w:right w:w="105" w:type="dxa"/>
            </w:tcMar>
            <w:vAlign w:val="center"/>
          </w:tcPr>
          <w:p>
            <w:pPr>
              <w:pStyle w:val="12"/>
              <w:widowControl/>
              <w:spacing w:beforeAutospacing="0" w:afterAutospacing="0"/>
              <w:rPr>
                <w:color w:val="auto"/>
                <w:highlight w:val="none"/>
              </w:rPr>
            </w:pPr>
            <w:r>
              <w:rPr>
                <w:rFonts w:hint="eastAsia" w:ascii="宋体" w:hAnsi="宋体" w:eastAsia="宋体" w:cs="宋体"/>
                <w:color w:val="auto"/>
                <w:highlight w:val="none"/>
              </w:rPr>
              <w:t>本项目推荐合同包1中标候选人数为1家。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shd w:val="clear" w:color="auto" w:fill="auto"/>
            <w:tcMar>
              <w:top w:w="75" w:type="dxa"/>
              <w:left w:w="150" w:type="dxa"/>
              <w:bottom w:w="75" w:type="dxa"/>
              <w:right w:w="150" w:type="dxa"/>
            </w:tcMar>
            <w:vAlign w:val="center"/>
          </w:tcPr>
          <w:p>
            <w:pPr>
              <w:pStyle w:val="12"/>
              <w:widowControl/>
              <w:spacing w:beforeAutospacing="0" w:afterAutospacing="0"/>
              <w:rPr>
                <w:color w:val="auto"/>
                <w:highlight w:val="none"/>
              </w:rPr>
            </w:pPr>
            <w:r>
              <w:rPr>
                <w:color w:val="auto"/>
                <w:highlight w:val="none"/>
              </w:rPr>
              <w:t>  8</w:t>
            </w:r>
          </w:p>
        </w:tc>
        <w:tc>
          <w:tcPr>
            <w:tcW w:w="1590" w:type="dxa"/>
            <w:shd w:val="clear" w:color="auto" w:fill="auto"/>
            <w:tcMar>
              <w:top w:w="75" w:type="dxa"/>
              <w:left w:w="150" w:type="dxa"/>
              <w:bottom w:w="75" w:type="dxa"/>
              <w:right w:w="150" w:type="dxa"/>
            </w:tcMar>
            <w:vAlign w:val="center"/>
          </w:tcPr>
          <w:p>
            <w:pPr>
              <w:pStyle w:val="12"/>
              <w:widowControl/>
              <w:spacing w:beforeAutospacing="0" w:afterAutospacing="0"/>
              <w:rPr>
                <w:color w:val="auto"/>
                <w:highlight w:val="none"/>
              </w:rPr>
            </w:pPr>
            <w:r>
              <w:rPr>
                <w:color w:val="auto"/>
                <w:highlight w:val="none"/>
              </w:rPr>
              <w:t>  </w:t>
            </w:r>
            <w:r>
              <w:rPr>
                <w:rFonts w:hint="eastAsia" w:ascii="宋体" w:hAnsi="宋体" w:eastAsia="宋体" w:cs="宋体"/>
                <w:color w:val="auto"/>
                <w:highlight w:val="none"/>
              </w:rPr>
              <w:t>12.2</w:t>
            </w:r>
          </w:p>
        </w:tc>
        <w:tc>
          <w:tcPr>
            <w:tcW w:w="8640" w:type="dxa"/>
            <w:shd w:val="clear" w:color="auto" w:fill="auto"/>
            <w:tcMar>
              <w:top w:w="75" w:type="dxa"/>
              <w:left w:w="150" w:type="dxa"/>
              <w:bottom w:w="75" w:type="dxa"/>
              <w:right w:w="150" w:type="dxa"/>
            </w:tcMar>
            <w:vAlign w:val="center"/>
          </w:tcPr>
          <w:p>
            <w:pPr>
              <w:pStyle w:val="12"/>
              <w:widowControl/>
              <w:spacing w:beforeAutospacing="0" w:afterAutospacing="0"/>
              <w:rPr>
                <w:color w:val="auto"/>
                <w:highlight w:val="none"/>
              </w:rPr>
            </w:pPr>
            <w:r>
              <w:rPr>
                <w:rStyle w:val="16"/>
                <w:rFonts w:hint="eastAsia" w:ascii="宋体" w:hAnsi="宋体" w:eastAsia="宋体" w:cs="宋体"/>
                <w:color w:val="auto"/>
                <w:highlight w:val="none"/>
              </w:rPr>
              <w:t>本项目中标人的确定（以合同包为单位）：</w:t>
            </w:r>
          </w:p>
          <w:p>
            <w:pPr>
              <w:pStyle w:val="12"/>
              <w:widowControl/>
              <w:spacing w:beforeAutospacing="0" w:afterAutospacing="0"/>
              <w:rPr>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人应在</w:t>
            </w:r>
            <w:r>
              <w:rPr>
                <w:rFonts w:hint="eastAsia" w:ascii="宋体" w:hAnsi="宋体" w:eastAsia="宋体" w:cs="宋体"/>
                <w:color w:val="auto"/>
                <w:highlight w:val="none"/>
                <w:lang w:eastAsia="zh-CN"/>
              </w:rPr>
              <w:t>相关</w:t>
            </w:r>
            <w:r>
              <w:rPr>
                <w:rFonts w:hint="eastAsia" w:ascii="宋体" w:hAnsi="宋体" w:eastAsia="宋体" w:cs="宋体"/>
                <w:color w:val="auto"/>
                <w:highlight w:val="none"/>
              </w:rPr>
              <w:t>规定的时限内确定中标人。</w:t>
            </w:r>
          </w:p>
          <w:p>
            <w:pPr>
              <w:pStyle w:val="12"/>
              <w:widowControl/>
              <w:spacing w:beforeAutospacing="0" w:afterAutospacing="0"/>
              <w:rPr>
                <w:color w:val="auto"/>
                <w:highlight w:val="none"/>
              </w:rPr>
            </w:pPr>
            <w:r>
              <w:rPr>
                <w:rFonts w:hint="eastAsia" w:ascii="宋体" w:hAnsi="宋体" w:eastAsia="宋体" w:cs="宋体"/>
                <w:color w:val="auto"/>
                <w:highlight w:val="none"/>
              </w:rPr>
              <w:t>（2）若出现中标候选人并列情形，则按照下列方式确定中标人：</w:t>
            </w:r>
          </w:p>
          <w:p>
            <w:pPr>
              <w:pStyle w:val="12"/>
              <w:widowControl/>
              <w:spacing w:beforeAutospacing="0" w:afterAutospacing="0"/>
              <w:rPr>
                <w:color w:val="auto"/>
                <w:highlight w:val="none"/>
              </w:rPr>
            </w:pPr>
            <w:r>
              <w:rPr>
                <w:rFonts w:hint="eastAsia" w:ascii="宋体" w:hAnsi="宋体" w:eastAsia="宋体" w:cs="宋体"/>
                <w:color w:val="auto"/>
                <w:highlight w:val="none"/>
              </w:rPr>
              <w:t>①招标文件规定的方式：</w:t>
            </w:r>
            <w:r>
              <w:rPr>
                <w:color w:val="auto"/>
                <w:highlight w:val="none"/>
              </w:rPr>
              <w:t>无</w:t>
            </w:r>
            <w:r>
              <w:rPr>
                <w:rFonts w:hint="eastAsia" w:ascii="宋体" w:hAnsi="宋体" w:eastAsia="宋体" w:cs="宋体"/>
                <w:color w:val="auto"/>
                <w:highlight w:val="none"/>
              </w:rPr>
              <w:t>。</w:t>
            </w:r>
          </w:p>
          <w:p>
            <w:pPr>
              <w:pStyle w:val="12"/>
              <w:widowControl/>
              <w:spacing w:beforeAutospacing="0" w:afterAutospacing="0"/>
              <w:rPr>
                <w:color w:val="auto"/>
                <w:highlight w:val="none"/>
              </w:rPr>
            </w:pPr>
            <w:r>
              <w:rPr>
                <w:rFonts w:hint="eastAsia" w:ascii="宋体" w:hAnsi="宋体" w:eastAsia="宋体" w:cs="宋体"/>
                <w:color w:val="auto"/>
                <w:highlight w:val="none"/>
              </w:rPr>
              <w:t>②若本款第①点规定方式为“无”，则按照下列方式确定：无。</w:t>
            </w:r>
          </w:p>
          <w:p>
            <w:pPr>
              <w:pStyle w:val="12"/>
              <w:widowControl/>
              <w:spacing w:beforeAutospacing="0" w:afterAutospacing="0"/>
              <w:rPr>
                <w:color w:val="auto"/>
                <w:highlight w:val="none"/>
              </w:rPr>
            </w:pPr>
            <w:r>
              <w:rPr>
                <w:rFonts w:hint="eastAsia" w:ascii="宋体" w:hAnsi="宋体" w:eastAsia="宋体" w:cs="宋体"/>
                <w:color w:val="auto"/>
                <w:highlight w:val="none"/>
              </w:rPr>
              <w:t>③若本款第①、②点规定方式均为“无”，则按照下列方式确定：随机抽取。</w:t>
            </w:r>
          </w:p>
          <w:p>
            <w:pPr>
              <w:pStyle w:val="12"/>
              <w:widowControl/>
              <w:spacing w:beforeAutospacing="0" w:afterAutospacing="0"/>
              <w:rPr>
                <w:color w:val="auto"/>
                <w:highlight w:val="none"/>
              </w:rPr>
            </w:pPr>
            <w:r>
              <w:rPr>
                <w:rFonts w:hint="eastAsia" w:ascii="宋体" w:hAnsi="宋体" w:eastAsia="宋体" w:cs="宋体"/>
                <w:color w:val="auto"/>
                <w:highlight w:val="none"/>
              </w:rPr>
              <w:t>（3）本项目确定的中标人家数：</w:t>
            </w:r>
          </w:p>
          <w:p>
            <w:pPr>
              <w:pStyle w:val="12"/>
              <w:widowControl/>
              <w:spacing w:beforeAutospacing="0" w:afterAutospacing="0"/>
              <w:rPr>
                <w:color w:val="auto"/>
                <w:highlight w:val="none"/>
              </w:rPr>
            </w:pPr>
            <w:r>
              <w:rPr>
                <w:rFonts w:hint="eastAsia" w:ascii="宋体" w:hAnsi="宋体" w:eastAsia="宋体" w:cs="宋体"/>
                <w:color w:val="auto"/>
                <w:highlight w:val="none"/>
              </w:rPr>
              <w:t>①本项目确定合同包1中标人数为1家；</w:t>
            </w:r>
          </w:p>
          <w:p>
            <w:pPr>
              <w:pStyle w:val="12"/>
              <w:widowControl/>
              <w:spacing w:beforeAutospacing="0" w:afterAutospacing="0"/>
              <w:rPr>
                <w:color w:val="auto"/>
                <w:highlight w:val="none"/>
              </w:rPr>
            </w:pPr>
            <w:r>
              <w:rPr>
                <w:rFonts w:hint="eastAsia" w:ascii="宋体" w:hAnsi="宋体" w:eastAsia="宋体" w:cs="宋体"/>
                <w:color w:val="auto"/>
                <w:highlight w:val="none"/>
              </w:rPr>
              <w:t>②若出现中标候选人符合法定家数但不足本款第①点规定中标人家数情形，则按照中标候选人的实际家数确定中标人。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12"/>
              <w:widowControl/>
              <w:spacing w:beforeAutospacing="0" w:afterAutospacing="0"/>
              <w:jc w:val="center"/>
              <w:rPr>
                <w:color w:val="auto"/>
                <w:highlight w:val="none"/>
              </w:rPr>
            </w:pPr>
            <w:r>
              <w:rPr>
                <w:rFonts w:hint="eastAsia" w:ascii="宋体" w:hAnsi="宋体" w:eastAsia="宋体" w:cs="宋体"/>
                <w:color w:val="auto"/>
                <w:highlight w:val="none"/>
              </w:rPr>
              <w:t>9</w:t>
            </w:r>
          </w:p>
        </w:tc>
        <w:tc>
          <w:tcPr>
            <w:tcW w:w="1590" w:type="dxa"/>
            <w:shd w:val="clear" w:color="auto" w:fill="auto"/>
            <w:tcMar>
              <w:top w:w="0" w:type="dxa"/>
              <w:left w:w="105" w:type="dxa"/>
              <w:bottom w:w="0" w:type="dxa"/>
              <w:right w:w="105" w:type="dxa"/>
            </w:tcMar>
            <w:vAlign w:val="center"/>
          </w:tcPr>
          <w:p>
            <w:pPr>
              <w:pStyle w:val="12"/>
              <w:widowControl/>
              <w:spacing w:beforeAutospacing="0" w:afterAutospacing="0"/>
              <w:rPr>
                <w:color w:val="auto"/>
                <w:highlight w:val="none"/>
              </w:rPr>
            </w:pPr>
            <w:r>
              <w:rPr>
                <w:rFonts w:hint="eastAsia" w:ascii="宋体" w:hAnsi="宋体" w:eastAsia="宋体" w:cs="宋体"/>
                <w:color w:val="auto"/>
                <w:highlight w:val="none"/>
              </w:rPr>
              <w:t> 15.1-（</w:t>
            </w:r>
            <w:r>
              <w:rPr>
                <w:rFonts w:ascii="Times New Roman" w:hAnsi="Times New Roman"/>
                <w:color w:val="auto"/>
                <w:highlight w:val="none"/>
              </w:rPr>
              <w:t>2</w:t>
            </w:r>
            <w:r>
              <w:rPr>
                <w:rFonts w:hint="eastAsia" w:ascii="宋体" w:hAnsi="宋体" w:eastAsia="宋体" w:cs="宋体"/>
                <w:color w:val="auto"/>
                <w:highlight w:val="none"/>
              </w:rPr>
              <w:t>）</w:t>
            </w:r>
          </w:p>
        </w:tc>
        <w:tc>
          <w:tcPr>
            <w:tcW w:w="8640" w:type="dxa"/>
            <w:shd w:val="clear" w:color="auto" w:fill="auto"/>
            <w:tcMar>
              <w:top w:w="0" w:type="dxa"/>
              <w:left w:w="105" w:type="dxa"/>
              <w:bottom w:w="0" w:type="dxa"/>
              <w:right w:w="105" w:type="dxa"/>
            </w:tcMar>
            <w:vAlign w:val="center"/>
          </w:tcPr>
          <w:p>
            <w:pPr>
              <w:pStyle w:val="12"/>
              <w:widowControl/>
              <w:wordWrap w:val="0"/>
              <w:spacing w:beforeAutospacing="0" w:afterAutospacing="0"/>
              <w:rPr>
                <w:color w:val="auto"/>
                <w:highlight w:val="none"/>
              </w:rPr>
            </w:pPr>
            <w:r>
              <w:rPr>
                <w:rStyle w:val="16"/>
                <w:rFonts w:hint="eastAsia" w:ascii="宋体" w:hAnsi="宋体" w:eastAsia="宋体" w:cs="宋体"/>
                <w:color w:val="auto"/>
                <w:highlight w:val="none"/>
              </w:rPr>
              <w:t>质疑函原件应采用下列方式提交：</w:t>
            </w:r>
            <w:r>
              <w:rPr>
                <w:rFonts w:hint="eastAsia" w:ascii="宋体" w:hAnsi="宋体" w:eastAsia="宋体" w:cs="宋体"/>
                <w:color w:val="auto"/>
                <w:highlight w:val="none"/>
              </w:rPr>
              <w:t>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12"/>
              <w:widowControl/>
              <w:spacing w:beforeAutospacing="0" w:afterAutospacing="0"/>
              <w:jc w:val="center"/>
              <w:rPr>
                <w:color w:val="auto"/>
                <w:highlight w:val="none"/>
              </w:rPr>
            </w:pPr>
            <w:r>
              <w:rPr>
                <w:rFonts w:hint="eastAsia" w:ascii="宋体" w:hAnsi="宋体" w:eastAsia="宋体" w:cs="宋体"/>
                <w:color w:val="auto"/>
                <w:highlight w:val="none"/>
              </w:rPr>
              <w:t>10</w:t>
            </w:r>
          </w:p>
        </w:tc>
        <w:tc>
          <w:tcPr>
            <w:tcW w:w="1590" w:type="dxa"/>
            <w:shd w:val="clear" w:color="auto" w:fill="auto"/>
            <w:tcMar>
              <w:top w:w="0" w:type="dxa"/>
              <w:left w:w="105" w:type="dxa"/>
              <w:bottom w:w="0" w:type="dxa"/>
              <w:right w:w="105" w:type="dxa"/>
            </w:tcMar>
            <w:vAlign w:val="center"/>
          </w:tcPr>
          <w:p>
            <w:pPr>
              <w:pStyle w:val="12"/>
              <w:widowControl/>
              <w:spacing w:beforeAutospacing="0" w:afterAutospacing="0"/>
              <w:rPr>
                <w:color w:val="auto"/>
                <w:highlight w:val="none"/>
              </w:rPr>
            </w:pPr>
            <w:r>
              <w:rPr>
                <w:rFonts w:hint="eastAsia" w:ascii="宋体" w:hAnsi="宋体" w:eastAsia="宋体" w:cs="宋体"/>
                <w:color w:val="auto"/>
                <w:highlight w:val="none"/>
              </w:rPr>
              <w:t> </w:t>
            </w:r>
          </w:p>
          <w:p>
            <w:pPr>
              <w:pStyle w:val="12"/>
              <w:widowControl/>
              <w:spacing w:beforeAutospacing="0" w:afterAutospacing="0"/>
              <w:rPr>
                <w:color w:val="auto"/>
                <w:highlight w:val="none"/>
              </w:rPr>
            </w:pPr>
            <w:r>
              <w:rPr>
                <w:rFonts w:hint="eastAsia" w:ascii="宋体" w:hAnsi="宋体" w:eastAsia="宋体" w:cs="宋体"/>
                <w:color w:val="auto"/>
                <w:highlight w:val="none"/>
              </w:rPr>
              <w:t>   15.4</w:t>
            </w:r>
          </w:p>
          <w:p>
            <w:pPr>
              <w:pStyle w:val="12"/>
              <w:widowControl/>
              <w:spacing w:beforeAutospacing="0" w:afterAutospacing="0"/>
              <w:rPr>
                <w:color w:val="auto"/>
                <w:highlight w:val="none"/>
              </w:rPr>
            </w:pPr>
            <w:r>
              <w:rPr>
                <w:rFonts w:ascii="Calibri" w:hAnsi="Calibri" w:cs="Calibri"/>
                <w:color w:val="auto"/>
                <w:highlight w:val="none"/>
              </w:rPr>
              <w:t> </w:t>
            </w:r>
          </w:p>
          <w:p>
            <w:pPr>
              <w:pStyle w:val="12"/>
              <w:widowControl/>
              <w:spacing w:beforeAutospacing="0" w:afterAutospacing="0"/>
              <w:jc w:val="center"/>
              <w:rPr>
                <w:color w:val="auto"/>
                <w:highlight w:val="none"/>
              </w:rPr>
            </w:pPr>
            <w:r>
              <w:rPr>
                <w:rFonts w:ascii="Calibri" w:hAnsi="Calibri" w:cs="Calibri"/>
                <w:color w:val="auto"/>
                <w:highlight w:val="none"/>
              </w:rPr>
              <w:t> </w:t>
            </w:r>
          </w:p>
        </w:tc>
        <w:tc>
          <w:tcPr>
            <w:tcW w:w="8640" w:type="dxa"/>
            <w:shd w:val="clear" w:color="auto" w:fill="auto"/>
            <w:tcMar>
              <w:top w:w="0" w:type="dxa"/>
              <w:left w:w="105" w:type="dxa"/>
              <w:bottom w:w="0" w:type="dxa"/>
              <w:right w:w="105" w:type="dxa"/>
            </w:tcMar>
            <w:vAlign w:val="center"/>
          </w:tcPr>
          <w:p>
            <w:pPr>
              <w:pStyle w:val="12"/>
              <w:widowControl/>
              <w:spacing w:beforeAutospacing="0" w:afterAutospacing="0"/>
              <w:rPr>
                <w:color w:val="auto"/>
                <w:highlight w:val="none"/>
              </w:rPr>
            </w:pPr>
            <w:r>
              <w:rPr>
                <w:rStyle w:val="16"/>
                <w:rFonts w:hint="eastAsia" w:ascii="宋体" w:hAnsi="宋体" w:eastAsia="宋体" w:cs="宋体"/>
                <w:color w:val="auto"/>
                <w:highlight w:val="none"/>
              </w:rPr>
              <w:t>招标文件的质疑</w:t>
            </w:r>
          </w:p>
          <w:p>
            <w:pPr>
              <w:pStyle w:val="12"/>
              <w:widowControl/>
              <w:spacing w:beforeAutospacing="0" w:afterAutospacing="0"/>
              <w:rPr>
                <w:color w:val="auto"/>
                <w:highlight w:val="none"/>
              </w:rPr>
            </w:pPr>
            <w:r>
              <w:rPr>
                <w:rFonts w:hint="eastAsia" w:ascii="宋体" w:hAnsi="宋体" w:eastAsia="宋体" w:cs="宋体"/>
                <w:color w:val="auto"/>
                <w:highlight w:val="none"/>
              </w:rPr>
              <w:t>（1）潜在投标人可在质疑时效期间内对招标文件以书面形式提出质疑。</w:t>
            </w:r>
          </w:p>
          <w:p>
            <w:pPr>
              <w:pStyle w:val="12"/>
              <w:widowControl/>
              <w:spacing w:beforeAutospacing="0" w:afterAutospacing="0"/>
              <w:rPr>
                <w:color w:val="auto"/>
                <w:highlight w:val="none"/>
              </w:rPr>
            </w:pPr>
            <w:r>
              <w:rPr>
                <w:rFonts w:hint="eastAsia" w:ascii="宋体" w:hAnsi="宋体" w:eastAsia="宋体" w:cs="宋体"/>
                <w:color w:val="auto"/>
                <w:highlight w:val="none"/>
              </w:rPr>
              <w:t>（2）质疑时效期间：</w:t>
            </w:r>
          </w:p>
          <w:p>
            <w:pPr>
              <w:pStyle w:val="12"/>
              <w:widowControl/>
              <w:spacing w:beforeAutospacing="0" w:afterAutospacing="0"/>
              <w:rPr>
                <w:color w:val="auto"/>
                <w:highlight w:val="none"/>
              </w:rPr>
            </w:pPr>
            <w:r>
              <w:rPr>
                <w:rFonts w:hint="eastAsia" w:ascii="宋体" w:hAnsi="宋体" w:eastAsia="宋体" w:cs="宋体"/>
                <w:color w:val="auto"/>
                <w:highlight w:val="none"/>
              </w:rPr>
              <w:t>①在招标文件公告期限内：自招标文件首次下载之日起</w:t>
            </w:r>
            <w:r>
              <w:rPr>
                <w:rFonts w:ascii="Times New Roman" w:hAnsi="Times New Roman"/>
                <w:color w:val="auto"/>
                <w:highlight w:val="none"/>
              </w:rPr>
              <w:t>7</w:t>
            </w:r>
            <w:r>
              <w:rPr>
                <w:rFonts w:hint="eastAsia" w:ascii="宋体" w:hAnsi="宋体" w:eastAsia="宋体" w:cs="宋体"/>
                <w:color w:val="auto"/>
                <w:highlight w:val="none"/>
              </w:rPr>
              <w:t>个工作日内向</w:t>
            </w:r>
            <w:r>
              <w:rPr>
                <w:rFonts w:hint="eastAsia" w:ascii="宋体" w:hAnsi="宋体" w:eastAsia="宋体" w:cs="宋体"/>
                <w:color w:val="auto"/>
                <w:highlight w:val="none"/>
                <w:u w:val="single"/>
              </w:rPr>
              <w:t>福建丰盛项目管理有限公司</w:t>
            </w:r>
            <w:r>
              <w:rPr>
                <w:rFonts w:hint="eastAsia" w:ascii="宋体" w:hAnsi="宋体" w:eastAsia="宋体" w:cs="宋体"/>
                <w:color w:val="auto"/>
                <w:highlight w:val="none"/>
              </w:rPr>
              <w:t>提出，招标文件公告期限、首次下载之日均以中国政府采购网上公开信息系统记载的为准。</w:t>
            </w:r>
          </w:p>
          <w:p>
            <w:pPr>
              <w:pStyle w:val="12"/>
              <w:widowControl/>
              <w:spacing w:beforeAutospacing="0" w:afterAutospacing="0"/>
              <w:rPr>
                <w:color w:val="auto"/>
                <w:highlight w:val="none"/>
              </w:rPr>
            </w:pPr>
            <w:r>
              <w:rPr>
                <w:rFonts w:hint="eastAsia" w:ascii="宋体" w:hAnsi="宋体" w:eastAsia="宋体" w:cs="宋体"/>
                <w:color w:val="auto"/>
                <w:highlight w:val="none"/>
              </w:rPr>
              <w:t>②在招标文件公告期限截止后至招标文件提供期限届满前的期间内：自招标文件公告期限届满之日起</w:t>
            </w:r>
            <w:r>
              <w:rPr>
                <w:rFonts w:ascii="Times New Roman" w:hAnsi="Times New Roman"/>
                <w:color w:val="auto"/>
                <w:highlight w:val="none"/>
              </w:rPr>
              <w:t>7</w:t>
            </w:r>
            <w:r>
              <w:rPr>
                <w:rFonts w:hint="eastAsia" w:ascii="宋体" w:hAnsi="宋体" w:eastAsia="宋体" w:cs="宋体"/>
                <w:color w:val="auto"/>
                <w:highlight w:val="none"/>
              </w:rPr>
              <w:t>个工作日内向</w:t>
            </w:r>
            <w:r>
              <w:rPr>
                <w:rFonts w:hint="eastAsia" w:ascii="宋体" w:hAnsi="宋体" w:eastAsia="宋体" w:cs="宋体"/>
                <w:color w:val="auto"/>
                <w:highlight w:val="none"/>
                <w:u w:val="single"/>
              </w:rPr>
              <w:t>福建丰盛项目管理有限公司</w:t>
            </w:r>
            <w:r>
              <w:rPr>
                <w:rFonts w:hint="eastAsia" w:ascii="宋体" w:hAnsi="宋体" w:eastAsia="宋体" w:cs="宋体"/>
                <w:color w:val="auto"/>
                <w:highlight w:val="none"/>
              </w:rPr>
              <w:t>提出，招标文件公告期限、招标文件提供期限均以中国政府采购网上公开信息系统记载的为准。</w:t>
            </w:r>
          </w:p>
          <w:p>
            <w:pPr>
              <w:pStyle w:val="12"/>
              <w:widowControl/>
              <w:spacing w:beforeAutospacing="0" w:afterAutospacing="0"/>
              <w:rPr>
                <w:color w:val="auto"/>
                <w:highlight w:val="none"/>
              </w:rPr>
            </w:pPr>
            <w:r>
              <w:rPr>
                <w:rStyle w:val="16"/>
                <w:rFonts w:hint="eastAsia" w:ascii="宋体" w:hAnsi="宋体" w:eastAsia="宋体" w:cs="宋体"/>
                <w:color w:val="auto"/>
                <w:highlight w:val="none"/>
              </w:rPr>
              <w:t>※除上述规定外，对招标文件提出的质疑还应符合招标文件第三章第</w:t>
            </w:r>
            <w:r>
              <w:rPr>
                <w:rStyle w:val="16"/>
                <w:rFonts w:ascii="Times New Roman" w:hAnsi="Times New Roman"/>
                <w:color w:val="auto"/>
                <w:highlight w:val="none"/>
              </w:rPr>
              <w:t>15.1</w:t>
            </w:r>
            <w:r>
              <w:rPr>
                <w:rStyle w:val="16"/>
                <w:rFonts w:hint="eastAsia" w:ascii="宋体" w:hAnsi="宋体" w:eastAsia="宋体" w:cs="宋体"/>
                <w:color w:val="auto"/>
                <w:highlight w:val="none"/>
              </w:rPr>
              <w:t>条的有关规定。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12"/>
              <w:widowControl/>
              <w:spacing w:beforeAutospacing="0" w:afterAutospacing="0"/>
              <w:jc w:val="center"/>
              <w:rPr>
                <w:color w:val="auto"/>
                <w:highlight w:val="none"/>
              </w:rPr>
            </w:pPr>
            <w:r>
              <w:rPr>
                <w:rFonts w:hint="eastAsia" w:ascii="宋体" w:hAnsi="宋体" w:eastAsia="宋体" w:cs="宋体"/>
                <w:color w:val="auto"/>
                <w:highlight w:val="none"/>
              </w:rPr>
              <w:t>11</w:t>
            </w:r>
          </w:p>
        </w:tc>
        <w:tc>
          <w:tcPr>
            <w:tcW w:w="1590" w:type="dxa"/>
            <w:shd w:val="clear" w:color="auto" w:fill="auto"/>
            <w:tcMar>
              <w:top w:w="0" w:type="dxa"/>
              <w:left w:w="105" w:type="dxa"/>
              <w:bottom w:w="0" w:type="dxa"/>
              <w:right w:w="105" w:type="dxa"/>
            </w:tcMar>
            <w:vAlign w:val="center"/>
          </w:tcPr>
          <w:p>
            <w:pPr>
              <w:pStyle w:val="12"/>
              <w:widowControl/>
              <w:spacing w:beforeAutospacing="0" w:afterAutospacing="0"/>
              <w:jc w:val="center"/>
              <w:rPr>
                <w:color w:val="auto"/>
                <w:highlight w:val="none"/>
              </w:rPr>
            </w:pPr>
            <w:r>
              <w:rPr>
                <w:rFonts w:hint="eastAsia" w:ascii="宋体" w:hAnsi="宋体" w:eastAsia="宋体" w:cs="宋体"/>
                <w:color w:val="auto"/>
                <w:highlight w:val="none"/>
              </w:rPr>
              <w:t>16.1</w:t>
            </w:r>
          </w:p>
        </w:tc>
        <w:tc>
          <w:tcPr>
            <w:tcW w:w="8640" w:type="dxa"/>
            <w:shd w:val="clear" w:color="auto" w:fill="auto"/>
            <w:tcMar>
              <w:top w:w="0" w:type="dxa"/>
              <w:left w:w="105" w:type="dxa"/>
              <w:bottom w:w="0" w:type="dxa"/>
              <w:right w:w="105" w:type="dxa"/>
            </w:tcMar>
            <w:vAlign w:val="center"/>
          </w:tcPr>
          <w:p>
            <w:pPr>
              <w:pStyle w:val="12"/>
              <w:widowControl/>
              <w:spacing w:beforeAutospacing="0" w:afterAutospacing="0"/>
              <w:rPr>
                <w:color w:val="auto"/>
                <w:highlight w:val="none"/>
              </w:rPr>
            </w:pPr>
            <w:r>
              <w:rPr>
                <w:rStyle w:val="16"/>
                <w:rFonts w:hint="eastAsia" w:ascii="宋体" w:hAnsi="宋体" w:eastAsia="宋体" w:cs="宋体"/>
                <w:color w:val="auto"/>
                <w:highlight w:val="none"/>
              </w:rPr>
              <w:t>监督管理部门：</w:t>
            </w:r>
            <w:r>
              <w:rPr>
                <w:rFonts w:hint="default" w:ascii="宋体" w:hAnsi="宋体" w:eastAsia="宋体" w:cs="宋体"/>
                <w:color w:val="auto"/>
                <w:highlight w:val="none"/>
                <w:lang w:val="en-US" w:eastAsia="zh-CN"/>
              </w:rPr>
              <w:t>泉州师范学院</w:t>
            </w:r>
            <w:r>
              <w:rPr>
                <w:rFonts w:hint="eastAsia" w:ascii="宋体" w:hAnsi="宋体" w:eastAsia="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12"/>
              <w:widowControl/>
              <w:spacing w:beforeAutospacing="0" w:afterAutospacing="0"/>
              <w:jc w:val="center"/>
              <w:rPr>
                <w:color w:val="auto"/>
                <w:highlight w:val="none"/>
              </w:rPr>
            </w:pPr>
            <w:r>
              <w:rPr>
                <w:rFonts w:hint="eastAsia" w:ascii="宋体" w:hAnsi="宋体" w:eastAsia="宋体" w:cs="宋体"/>
                <w:color w:val="auto"/>
                <w:highlight w:val="none"/>
              </w:rPr>
              <w:t>12</w:t>
            </w:r>
          </w:p>
        </w:tc>
        <w:tc>
          <w:tcPr>
            <w:tcW w:w="1590" w:type="dxa"/>
            <w:shd w:val="clear" w:color="auto" w:fill="auto"/>
            <w:tcMar>
              <w:top w:w="0" w:type="dxa"/>
              <w:left w:w="105" w:type="dxa"/>
              <w:bottom w:w="0" w:type="dxa"/>
              <w:right w:w="105" w:type="dxa"/>
            </w:tcMar>
            <w:vAlign w:val="center"/>
          </w:tcPr>
          <w:p>
            <w:pPr>
              <w:pStyle w:val="12"/>
              <w:widowControl/>
              <w:spacing w:beforeAutospacing="0" w:afterAutospacing="0"/>
              <w:jc w:val="center"/>
              <w:rPr>
                <w:color w:val="auto"/>
                <w:highlight w:val="none"/>
              </w:rPr>
            </w:pPr>
            <w:r>
              <w:rPr>
                <w:rFonts w:hint="eastAsia" w:ascii="宋体" w:hAnsi="宋体" w:eastAsia="宋体" w:cs="宋体"/>
                <w:color w:val="auto"/>
                <w:highlight w:val="none"/>
              </w:rPr>
              <w:t>18.1</w:t>
            </w:r>
          </w:p>
        </w:tc>
        <w:tc>
          <w:tcPr>
            <w:tcW w:w="8640" w:type="dxa"/>
            <w:shd w:val="clear" w:color="auto" w:fill="auto"/>
            <w:tcMar>
              <w:top w:w="0" w:type="dxa"/>
              <w:left w:w="105" w:type="dxa"/>
              <w:bottom w:w="0" w:type="dxa"/>
              <w:right w:w="105" w:type="dxa"/>
            </w:tcMar>
            <w:vAlign w:val="center"/>
          </w:tcPr>
          <w:p>
            <w:pPr>
              <w:pStyle w:val="12"/>
              <w:widowControl/>
              <w:wordWrap w:val="0"/>
              <w:spacing w:beforeAutospacing="0" w:afterAutospacing="0"/>
              <w:rPr>
                <w:color w:val="auto"/>
                <w:highlight w:val="none"/>
              </w:rPr>
            </w:pPr>
            <w:r>
              <w:rPr>
                <w:rStyle w:val="16"/>
                <w:rFonts w:hint="eastAsia" w:ascii="宋体" w:hAnsi="宋体" w:eastAsia="宋体" w:cs="宋体"/>
                <w:color w:val="auto"/>
                <w:highlight w:val="none"/>
                <w:lang w:eastAsia="zh-CN"/>
              </w:rPr>
              <w:t>招标</w:t>
            </w:r>
            <w:r>
              <w:rPr>
                <w:rStyle w:val="16"/>
                <w:rFonts w:hint="eastAsia" w:ascii="宋体" w:hAnsi="宋体" w:eastAsia="宋体" w:cs="宋体"/>
                <w:color w:val="auto"/>
                <w:highlight w:val="none"/>
              </w:rPr>
              <w:t>信息发布媒体（以下简称：“指定媒体”）：</w:t>
            </w:r>
          </w:p>
          <w:p>
            <w:pPr>
              <w:pStyle w:val="12"/>
              <w:widowControl/>
              <w:wordWrap w:val="0"/>
              <w:spacing w:beforeAutospacing="0" w:afterAutospacing="0"/>
              <w:rPr>
                <w:color w:val="auto"/>
                <w:highlight w:val="none"/>
              </w:rPr>
            </w:pPr>
            <w:r>
              <w:rPr>
                <w:rFonts w:hint="eastAsia" w:ascii="宋体" w:hAnsi="宋体" w:eastAsia="宋体" w:cs="宋体"/>
                <w:color w:val="auto"/>
                <w:highlight w:val="none"/>
              </w:rPr>
              <w:t>中国政府采购网，网址www.ccgp.gov.cn</w:t>
            </w:r>
            <w:r>
              <w:rPr>
                <w:color w:val="auto"/>
                <w:highlight w:val="none"/>
              </w:rPr>
              <w:t>。</w:t>
            </w:r>
          </w:p>
          <w:p>
            <w:pPr>
              <w:pStyle w:val="12"/>
              <w:widowControl/>
              <w:wordWrap w:val="0"/>
              <w:spacing w:beforeAutospacing="0" w:afterAutospacing="0"/>
              <w:rPr>
                <w:color w:val="auto"/>
                <w:highlight w:val="none"/>
              </w:rPr>
            </w:pPr>
            <w:r>
              <w:rPr>
                <w:rStyle w:val="16"/>
                <w:rFonts w:hint="eastAsia" w:ascii="宋体" w:hAnsi="宋体" w:eastAsia="宋体" w:cs="宋体"/>
                <w:color w:val="auto"/>
                <w:highlight w:val="none"/>
              </w:rPr>
              <w:t>※除招标文件第一章第</w:t>
            </w:r>
            <w:r>
              <w:rPr>
                <w:rStyle w:val="16"/>
                <w:rFonts w:ascii="Times New Roman" w:hAnsi="Times New Roman"/>
                <w:color w:val="auto"/>
                <w:highlight w:val="none"/>
              </w:rPr>
              <w:t>11.1</w:t>
            </w:r>
            <w:r>
              <w:rPr>
                <w:rStyle w:val="16"/>
                <w:rFonts w:hint="eastAsia" w:ascii="宋体" w:hAnsi="宋体" w:eastAsia="宋体" w:cs="宋体"/>
                <w:color w:val="auto"/>
                <w:highlight w:val="none"/>
              </w:rPr>
              <w:t>条规定情形外，若出现上述指定媒体信息不一致情形，应以中国政府采购发布的为准。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12"/>
              <w:widowControl/>
              <w:spacing w:beforeAutospacing="0" w:afterAutospacing="0"/>
              <w:jc w:val="center"/>
              <w:rPr>
                <w:color w:val="auto"/>
                <w:highlight w:val="none"/>
              </w:rPr>
            </w:pPr>
            <w:r>
              <w:rPr>
                <w:rFonts w:hint="eastAsia" w:ascii="宋体" w:hAnsi="宋体" w:eastAsia="宋体" w:cs="宋体"/>
                <w:color w:val="auto"/>
                <w:highlight w:val="none"/>
              </w:rPr>
              <w:t>13</w:t>
            </w:r>
          </w:p>
        </w:tc>
        <w:tc>
          <w:tcPr>
            <w:tcW w:w="1590" w:type="dxa"/>
            <w:shd w:val="clear" w:color="auto" w:fill="auto"/>
            <w:tcMar>
              <w:top w:w="0" w:type="dxa"/>
              <w:left w:w="105" w:type="dxa"/>
              <w:bottom w:w="0" w:type="dxa"/>
              <w:right w:w="105" w:type="dxa"/>
            </w:tcMar>
            <w:vAlign w:val="center"/>
          </w:tcPr>
          <w:p>
            <w:pPr>
              <w:pStyle w:val="12"/>
              <w:widowControl/>
              <w:spacing w:beforeAutospacing="0" w:afterAutospacing="0"/>
              <w:jc w:val="center"/>
              <w:rPr>
                <w:color w:val="auto"/>
                <w:highlight w:val="none"/>
              </w:rPr>
            </w:pPr>
            <w:r>
              <w:rPr>
                <w:rFonts w:hint="eastAsia" w:ascii="宋体" w:hAnsi="宋体" w:eastAsia="宋体" w:cs="宋体"/>
                <w:color w:val="auto"/>
                <w:highlight w:val="none"/>
              </w:rPr>
              <w:t>19</w:t>
            </w:r>
          </w:p>
        </w:tc>
        <w:tc>
          <w:tcPr>
            <w:tcW w:w="8640" w:type="dxa"/>
            <w:shd w:val="clear" w:color="auto" w:fill="auto"/>
            <w:tcMar>
              <w:top w:w="0" w:type="dxa"/>
              <w:left w:w="105" w:type="dxa"/>
              <w:bottom w:w="0" w:type="dxa"/>
              <w:right w:w="105" w:type="dxa"/>
            </w:tcMar>
            <w:vAlign w:val="center"/>
          </w:tcPr>
          <w:p>
            <w:pPr>
              <w:pStyle w:val="12"/>
              <w:widowControl/>
              <w:wordWrap w:val="0"/>
              <w:spacing w:beforeAutospacing="0" w:afterAutospacing="0"/>
              <w:rPr>
                <w:color w:val="auto"/>
                <w:highlight w:val="none"/>
              </w:rPr>
            </w:pPr>
            <w:r>
              <w:rPr>
                <w:rStyle w:val="16"/>
                <w:rFonts w:hint="eastAsia" w:ascii="宋体" w:hAnsi="宋体" w:eastAsia="宋体" w:cs="宋体"/>
                <w:color w:val="auto"/>
                <w:highlight w:val="none"/>
              </w:rPr>
              <w:t>其他事项：</w:t>
            </w:r>
          </w:p>
          <w:p>
            <w:pPr>
              <w:pStyle w:val="12"/>
              <w:widowControl/>
              <w:wordWrap w:val="0"/>
              <w:spacing w:beforeAutospacing="0" w:afterAutospacing="0"/>
              <w:rPr>
                <w:color w:val="auto"/>
                <w:highlight w:val="none"/>
              </w:rPr>
            </w:pPr>
            <w:r>
              <w:rPr>
                <w:rStyle w:val="16"/>
                <w:rFonts w:hint="eastAsia" w:ascii="宋体" w:hAnsi="宋体" w:eastAsia="宋体" w:cs="宋体"/>
                <w:color w:val="auto"/>
                <w:highlight w:val="none"/>
              </w:rPr>
              <w:t xml:space="preserve">(1)本项目代理服务费由 </w:t>
            </w:r>
            <w:r>
              <w:rPr>
                <w:rFonts w:hint="eastAsia" w:ascii="宋体" w:hAnsi="宋体" w:eastAsia="宋体" w:cs="宋体"/>
                <w:color w:val="auto"/>
                <w:highlight w:val="none"/>
              </w:rPr>
              <w:t xml:space="preserve">中标人 </w:t>
            </w:r>
            <w:r>
              <w:rPr>
                <w:rStyle w:val="16"/>
                <w:rFonts w:hint="eastAsia" w:ascii="宋体" w:hAnsi="宋体" w:eastAsia="宋体" w:cs="宋体"/>
                <w:color w:val="auto"/>
                <w:highlight w:val="none"/>
              </w:rPr>
              <w:t>支付。</w:t>
            </w:r>
            <w:r>
              <w:rPr>
                <w:rStyle w:val="16"/>
                <w:rFonts w:hint="eastAsia" w:ascii="宋体" w:hAnsi="宋体" w:eastAsia="宋体" w:cs="宋体"/>
                <w:color w:val="auto"/>
                <w:highlight w:val="none"/>
              </w:rPr>
              <w:br w:type="textWrapping"/>
            </w:r>
            <w:r>
              <w:rPr>
                <w:rStyle w:val="16"/>
                <w:rFonts w:hint="eastAsia" w:ascii="宋体" w:hAnsi="宋体" w:eastAsia="宋体" w:cs="宋体"/>
                <w:color w:val="auto"/>
                <w:highlight w:val="none"/>
              </w:rPr>
              <w:t>(2)其他：</w:t>
            </w:r>
            <w:r>
              <w:rPr>
                <w:rFonts w:hint="eastAsia" w:ascii="宋体" w:hAnsi="宋体" w:eastAsia="宋体" w:cs="宋体"/>
                <w:color w:val="auto"/>
                <w:highlight w:val="none"/>
              </w:rPr>
              <w:t>1）代理费用由中标供应商支付，按照中标（成交）金额，以差额定率累进法</w:t>
            </w:r>
            <w:r>
              <w:rPr>
                <w:rFonts w:hint="eastAsia" w:ascii="宋体" w:hAnsi="宋体" w:eastAsia="宋体" w:cs="宋体"/>
                <w:color w:val="auto"/>
                <w:highlight w:val="none"/>
                <w:lang w:val="en-US" w:eastAsia="zh-CN"/>
              </w:rPr>
              <w:t>计算</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计算方法如下：</w:t>
            </w:r>
            <w:r>
              <w:rPr>
                <w:rFonts w:hint="eastAsia" w:ascii="宋体" w:hAnsi="宋体" w:eastAsia="宋体" w:cs="宋体"/>
                <w:color w:val="auto"/>
                <w:highlight w:val="none"/>
              </w:rPr>
              <w:t>中标（成交）金额 100（人民币万元）以下</w:t>
            </w:r>
            <w:r>
              <w:rPr>
                <w:rFonts w:hint="eastAsia" w:ascii="宋体" w:hAnsi="宋体" w:eastAsia="宋体" w:cs="宋体"/>
                <w:color w:val="auto"/>
                <w:highlight w:val="none"/>
                <w:lang w:eastAsia="zh-CN"/>
              </w:rPr>
              <w:t>服务</w:t>
            </w:r>
            <w:r>
              <w:rPr>
                <w:rFonts w:hint="eastAsia" w:ascii="宋体" w:hAnsi="宋体" w:eastAsia="宋体" w:cs="宋体"/>
                <w:color w:val="auto"/>
                <w:highlight w:val="none"/>
              </w:rPr>
              <w:t>费率1.5%，中标（成交）金额 100-500（人民币万元）以下</w:t>
            </w:r>
            <w:r>
              <w:rPr>
                <w:rFonts w:hint="eastAsia" w:ascii="宋体" w:hAnsi="宋体" w:eastAsia="宋体" w:cs="宋体"/>
                <w:color w:val="auto"/>
                <w:highlight w:val="none"/>
                <w:lang w:eastAsia="zh-CN"/>
              </w:rPr>
              <w:t>服务</w:t>
            </w:r>
            <w:r>
              <w:rPr>
                <w:rFonts w:hint="eastAsia" w:ascii="宋体" w:hAnsi="宋体" w:eastAsia="宋体" w:cs="宋体"/>
                <w:color w:val="auto"/>
                <w:highlight w:val="none"/>
              </w:rPr>
              <w:t>费率</w:t>
            </w:r>
            <w:r>
              <w:rPr>
                <w:rFonts w:hint="eastAsia" w:ascii="宋体" w:hAnsi="宋体" w:eastAsia="宋体" w:cs="宋体"/>
                <w:color w:val="auto"/>
                <w:highlight w:val="none"/>
                <w:lang w:val="en-US" w:eastAsia="zh-CN"/>
              </w:rPr>
              <w:t>0.8</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 xml:space="preserve">中标（成交）金额 </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00-</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00（人民币万元）以下</w:t>
            </w:r>
            <w:r>
              <w:rPr>
                <w:rFonts w:hint="eastAsia" w:ascii="宋体" w:hAnsi="宋体" w:eastAsia="宋体" w:cs="宋体"/>
                <w:color w:val="auto"/>
                <w:highlight w:val="none"/>
                <w:lang w:eastAsia="zh-CN"/>
              </w:rPr>
              <w:t>服务</w:t>
            </w:r>
            <w:r>
              <w:rPr>
                <w:rFonts w:hint="eastAsia" w:ascii="宋体" w:hAnsi="宋体" w:eastAsia="宋体" w:cs="宋体"/>
                <w:color w:val="auto"/>
                <w:highlight w:val="none"/>
              </w:rPr>
              <w:t>费率</w:t>
            </w:r>
            <w:r>
              <w:rPr>
                <w:rFonts w:hint="eastAsia" w:ascii="宋体" w:hAnsi="宋体" w:eastAsia="宋体" w:cs="宋体"/>
                <w:color w:val="auto"/>
                <w:highlight w:val="none"/>
                <w:lang w:val="en-US" w:eastAsia="zh-CN"/>
              </w:rPr>
              <w:t>0.45</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 xml:space="preserve">2）中标人在领取中标通知书前，以现金或转账方式提交。 3）招标代理服务费缴交账户名称：福建丰盛项目管理有限公司 ；开户银行：中国建设银行股份有限公司泉州丰泽支行 ；银行账号：35050165600700001403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2070" w:type="dxa"/>
            <w:gridSpan w:val="2"/>
            <w:shd w:val="clear" w:color="auto" w:fill="auto"/>
            <w:tcMar>
              <w:top w:w="75" w:type="dxa"/>
              <w:left w:w="150" w:type="dxa"/>
              <w:bottom w:w="75" w:type="dxa"/>
              <w:right w:w="150" w:type="dxa"/>
            </w:tcMar>
            <w:vAlign w:val="center"/>
          </w:tcPr>
          <w:p>
            <w:pPr>
              <w:pStyle w:val="12"/>
              <w:widowControl/>
              <w:spacing w:beforeAutospacing="0" w:afterAutospacing="0"/>
              <w:rPr>
                <w:color w:val="auto"/>
                <w:highlight w:val="none"/>
              </w:rPr>
            </w:pPr>
            <w:r>
              <w:rPr>
                <w:rFonts w:hint="eastAsia" w:ascii="宋体" w:hAnsi="宋体" w:eastAsia="宋体" w:cs="宋体"/>
                <w:color w:val="auto"/>
                <w:highlight w:val="none"/>
              </w:rPr>
              <w:t>     备注</w:t>
            </w:r>
          </w:p>
        </w:tc>
        <w:tc>
          <w:tcPr>
            <w:tcW w:w="8640" w:type="dxa"/>
            <w:shd w:val="clear" w:color="auto" w:fill="auto"/>
            <w:tcMar>
              <w:top w:w="75" w:type="dxa"/>
              <w:left w:w="150" w:type="dxa"/>
              <w:bottom w:w="75" w:type="dxa"/>
              <w:right w:w="150" w:type="dxa"/>
            </w:tcMar>
            <w:vAlign w:val="center"/>
          </w:tcPr>
          <w:p>
            <w:pPr>
              <w:pStyle w:val="12"/>
              <w:widowControl/>
              <w:spacing w:beforeAutospacing="0" w:afterAutospacing="0"/>
              <w:rPr>
                <w:color w:val="auto"/>
                <w:highlight w:val="none"/>
              </w:rPr>
            </w:pPr>
            <w:r>
              <w:rPr>
                <w:rFonts w:hint="eastAsia"/>
                <w:color w:val="auto"/>
                <w:highlight w:val="none"/>
              </w:rPr>
              <w:t>无</w:t>
            </w:r>
          </w:p>
        </w:tc>
      </w:tr>
    </w:tbl>
    <w:p>
      <w:pPr>
        <w:pStyle w:val="12"/>
        <w:widowControl/>
        <w:spacing w:before="75" w:beforeAutospacing="0" w:after="75" w:afterAutospacing="0"/>
        <w:rPr>
          <w:rStyle w:val="16"/>
          <w:rFonts w:ascii="宋体" w:hAnsi="宋体" w:eastAsia="宋体" w:cs="宋体"/>
          <w:color w:val="auto"/>
          <w:sz w:val="31"/>
          <w:szCs w:val="31"/>
          <w:highlight w:val="none"/>
        </w:rPr>
      </w:pPr>
      <w:r>
        <w:rPr>
          <w:color w:val="auto"/>
          <w:highlight w:val="none"/>
        </w:rPr>
        <w:t> </w:t>
      </w:r>
    </w:p>
    <w:p>
      <w:pPr>
        <w:rPr>
          <w:rStyle w:val="16"/>
          <w:rFonts w:hint="eastAsia" w:ascii="宋体" w:hAnsi="宋体" w:eastAsia="宋体" w:cs="宋体"/>
          <w:color w:val="auto"/>
          <w:sz w:val="31"/>
          <w:szCs w:val="31"/>
          <w:highlight w:val="none"/>
        </w:rPr>
      </w:pPr>
      <w:r>
        <w:rPr>
          <w:rStyle w:val="16"/>
          <w:rFonts w:hint="eastAsia" w:ascii="宋体" w:hAnsi="宋体" w:eastAsia="宋体" w:cs="宋体"/>
          <w:color w:val="auto"/>
          <w:sz w:val="31"/>
          <w:szCs w:val="31"/>
          <w:highlight w:val="none"/>
        </w:rPr>
        <w:br w:type="page"/>
      </w:r>
    </w:p>
    <w:p>
      <w:pPr>
        <w:pStyle w:val="12"/>
        <w:widowControl/>
        <w:spacing w:before="75" w:beforeAutospacing="0" w:after="75" w:afterAutospacing="0"/>
        <w:jc w:val="center"/>
        <w:outlineLvl w:val="0"/>
        <w:rPr>
          <w:color w:val="auto"/>
          <w:highlight w:val="none"/>
        </w:rPr>
      </w:pPr>
      <w:r>
        <w:rPr>
          <w:rStyle w:val="16"/>
          <w:rFonts w:hint="eastAsia" w:ascii="宋体" w:hAnsi="宋体" w:eastAsia="宋体" w:cs="宋体"/>
          <w:color w:val="auto"/>
          <w:sz w:val="31"/>
          <w:szCs w:val="31"/>
          <w:highlight w:val="none"/>
        </w:rPr>
        <w:t>第三章   投标人须知</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2"/>
        <w:widowControl/>
        <w:spacing w:before="75" w:beforeAutospacing="0" w:after="75" w:afterAutospacing="0"/>
        <w:jc w:val="center"/>
        <w:outlineLvl w:val="1"/>
        <w:rPr>
          <w:color w:val="auto"/>
          <w:highlight w:val="none"/>
        </w:rPr>
      </w:pPr>
      <w:r>
        <w:rPr>
          <w:rStyle w:val="16"/>
          <w:rFonts w:hint="eastAsia" w:ascii="宋体" w:hAnsi="宋体" w:eastAsia="宋体" w:cs="宋体"/>
          <w:color w:val="auto"/>
          <w:highlight w:val="none"/>
        </w:rPr>
        <w:t>一、总则</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1、适用范围</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1.1适用于招标文件载明项目的</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活动（以下简称：“本次</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活动”）。</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2、定义</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2.1“</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标的”指招标文件载明的需要</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的货物或服务。</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2.2“潜在投标人”指按照招标文件第一章第</w:t>
      </w:r>
      <w:r>
        <w:rPr>
          <w:rFonts w:ascii="Calibri" w:hAnsi="Calibri" w:cs="Calibri"/>
          <w:color w:val="auto"/>
          <w:highlight w:val="none"/>
        </w:rPr>
        <w:t>7</w:t>
      </w:r>
      <w:r>
        <w:rPr>
          <w:rFonts w:hint="eastAsia" w:ascii="宋体" w:hAnsi="宋体" w:eastAsia="宋体" w:cs="宋体"/>
          <w:color w:val="auto"/>
          <w:highlight w:val="none"/>
        </w:rPr>
        <w:t>条规定进行报名且有意向参加本项目投标的供应商。</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2.3“投标人”指按照招标文件第一章第</w:t>
      </w:r>
      <w:r>
        <w:rPr>
          <w:rFonts w:ascii="Calibri" w:hAnsi="Calibri" w:cs="Calibri"/>
          <w:color w:val="auto"/>
          <w:highlight w:val="none"/>
        </w:rPr>
        <w:t>7</w:t>
      </w:r>
      <w:r>
        <w:rPr>
          <w:rFonts w:hint="eastAsia" w:ascii="宋体" w:hAnsi="宋体" w:eastAsia="宋体" w:cs="宋体"/>
          <w:color w:val="auto"/>
          <w:highlight w:val="none"/>
        </w:rPr>
        <w:t>条规定进行报名并参加本项目投标的供应商。</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2.4“单位负责人”指单位法定代表人或法律、法规规定代表单位行使职权的主要负责人。</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2.5“投标人代表”指投标人的单位负责人或“单位负责人授权书”中载明的接受授权方。</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2"/>
        <w:widowControl/>
        <w:spacing w:before="75" w:beforeAutospacing="0" w:after="75" w:afterAutospacing="0"/>
        <w:jc w:val="center"/>
        <w:outlineLvl w:val="1"/>
        <w:rPr>
          <w:color w:val="auto"/>
          <w:highlight w:val="none"/>
        </w:rPr>
      </w:pPr>
      <w:r>
        <w:rPr>
          <w:rStyle w:val="16"/>
          <w:rFonts w:hint="eastAsia" w:ascii="宋体" w:hAnsi="宋体" w:eastAsia="宋体" w:cs="宋体"/>
          <w:color w:val="auto"/>
          <w:highlight w:val="none"/>
        </w:rPr>
        <w:t>二、投标人</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3、合格投标人</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3.1一般规定</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（1）投标人应遵守有关法律、法规和规章的强制性规定。</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（2）投标人的资格要求：详见招标文件第一章。</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3.2若本项目接受联合体投标且投标人为联合体，则联合体各方应遵守本章第3.1条规定，同时还应遵守下列规定：</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（1）联合体各方应提交联合体协议，联合体协议应符合招标文件规定。</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（2）联合体各方不得再单独参加或与其他供应商另外组成联合体参加同一合同项下的投标。</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（3）联合体各方应共同与</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人签订</w:t>
      </w:r>
      <w:r>
        <w:rPr>
          <w:rFonts w:hint="eastAsia" w:ascii="宋体" w:hAnsi="宋体" w:eastAsia="宋体" w:cs="宋体"/>
          <w:color w:val="auto"/>
          <w:highlight w:val="none"/>
          <w:lang w:eastAsia="zh-CN"/>
        </w:rPr>
        <w:t>承包</w:t>
      </w:r>
      <w:r>
        <w:rPr>
          <w:rFonts w:hint="eastAsia" w:ascii="宋体" w:hAnsi="宋体" w:eastAsia="宋体" w:cs="宋体"/>
          <w:color w:val="auto"/>
          <w:highlight w:val="none"/>
        </w:rPr>
        <w:t>合同，就</w:t>
      </w:r>
      <w:r>
        <w:rPr>
          <w:rFonts w:hint="eastAsia" w:ascii="宋体" w:hAnsi="宋体" w:eastAsia="宋体" w:cs="宋体"/>
          <w:color w:val="auto"/>
          <w:highlight w:val="none"/>
          <w:lang w:eastAsia="zh-CN"/>
        </w:rPr>
        <w:t>承包</w:t>
      </w:r>
      <w:r>
        <w:rPr>
          <w:rFonts w:hint="eastAsia" w:ascii="宋体" w:hAnsi="宋体" w:eastAsia="宋体" w:cs="宋体"/>
          <w:color w:val="auto"/>
          <w:highlight w:val="none"/>
        </w:rPr>
        <w:t>合同约定的事项对</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人承担连带责任。</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4、投标费用</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4.1除招标文件另有规定外，投标人应自行承担其参加本项目投标所涉及的一切费用。</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2"/>
        <w:widowControl/>
        <w:spacing w:before="75" w:beforeAutospacing="0" w:after="75" w:afterAutospacing="0"/>
        <w:jc w:val="center"/>
        <w:outlineLvl w:val="1"/>
        <w:rPr>
          <w:color w:val="auto"/>
          <w:highlight w:val="none"/>
        </w:rPr>
      </w:pPr>
      <w:r>
        <w:rPr>
          <w:rStyle w:val="16"/>
          <w:rFonts w:hint="eastAsia" w:ascii="宋体" w:hAnsi="宋体" w:eastAsia="宋体" w:cs="宋体"/>
          <w:color w:val="auto"/>
          <w:highlight w:val="none"/>
        </w:rPr>
        <w:t>三、招标</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5、招标文件</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5.1招标文件由下述部分组成：</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（1）投标邀请</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（2）投标人须知前附表（表</w:t>
      </w:r>
      <w:r>
        <w:rPr>
          <w:rFonts w:ascii="Calibri" w:hAnsi="Calibri" w:cs="Calibri"/>
          <w:color w:val="auto"/>
          <w:highlight w:val="none"/>
        </w:rPr>
        <w:t>1</w:t>
      </w:r>
      <w:r>
        <w:rPr>
          <w:rFonts w:hint="eastAsia" w:ascii="宋体" w:hAnsi="宋体" w:eastAsia="宋体" w:cs="宋体"/>
          <w:color w:val="auto"/>
          <w:highlight w:val="none"/>
        </w:rPr>
        <w:t>、</w:t>
      </w:r>
      <w:r>
        <w:rPr>
          <w:rFonts w:ascii="Calibri" w:hAnsi="Calibri" w:cs="Calibri"/>
          <w:color w:val="auto"/>
          <w:highlight w:val="none"/>
        </w:rPr>
        <w:t>2</w:t>
      </w:r>
      <w:r>
        <w:rPr>
          <w:rFonts w:hint="eastAsia" w:ascii="宋体" w:hAnsi="宋体" w:eastAsia="宋体" w:cs="宋体"/>
          <w:color w:val="auto"/>
          <w:highlight w:val="none"/>
        </w:rPr>
        <w:t>）</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（3）投标人须知</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（4）资格审查与评标</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（5）招标内容及要求</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（6）</w:t>
      </w:r>
      <w:r>
        <w:rPr>
          <w:rFonts w:hint="eastAsia" w:ascii="宋体" w:hAnsi="宋体" w:eastAsia="宋体" w:cs="宋体"/>
          <w:color w:val="auto"/>
          <w:highlight w:val="none"/>
          <w:lang w:eastAsia="zh-CN"/>
        </w:rPr>
        <w:t>承包</w:t>
      </w:r>
      <w:r>
        <w:rPr>
          <w:rFonts w:hint="eastAsia" w:ascii="宋体" w:hAnsi="宋体" w:eastAsia="宋体" w:cs="宋体"/>
          <w:color w:val="auto"/>
          <w:highlight w:val="none"/>
        </w:rPr>
        <w:t>合同（参考文本）</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（7）投标文件格式</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（8）按照招标文件规定作为招标文件组成部分的其他内容（若有）</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5.2招标文件的澄清或修改</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（1）</w:t>
      </w:r>
      <w:r>
        <w:rPr>
          <w:color w:val="auto"/>
          <w:highlight w:val="none"/>
          <w:u w:val="single"/>
        </w:rPr>
        <w:t>福建丰盛项目管理有限公司</w:t>
      </w:r>
      <w:r>
        <w:rPr>
          <w:rFonts w:hint="eastAsia" w:ascii="宋体" w:hAnsi="宋体" w:eastAsia="宋体" w:cs="宋体"/>
          <w:color w:val="auto"/>
          <w:highlight w:val="none"/>
        </w:rPr>
        <w:t>可对已发出的招标文件进行必要的澄清或修改，但不得对招标文件载明的</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标的和投标人的资格要求进行改变。</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（2）除本章第</w:t>
      </w:r>
      <w:r>
        <w:rPr>
          <w:rFonts w:ascii="Calibri" w:hAnsi="Calibri" w:cs="Calibri"/>
          <w:color w:val="auto"/>
          <w:highlight w:val="none"/>
        </w:rPr>
        <w:t>5.2</w:t>
      </w:r>
      <w:r>
        <w:rPr>
          <w:rFonts w:hint="eastAsia" w:ascii="宋体" w:hAnsi="宋体" w:eastAsia="宋体" w:cs="宋体"/>
          <w:color w:val="auto"/>
          <w:highlight w:val="none"/>
        </w:rPr>
        <w:t>条第（</w:t>
      </w:r>
      <w:r>
        <w:rPr>
          <w:rFonts w:ascii="Calibri" w:hAnsi="Calibri" w:cs="Calibri"/>
          <w:color w:val="auto"/>
          <w:highlight w:val="none"/>
        </w:rPr>
        <w:t>3</w:t>
      </w:r>
      <w:r>
        <w:rPr>
          <w:rFonts w:hint="eastAsia" w:ascii="宋体" w:hAnsi="宋体" w:eastAsia="宋体" w:cs="宋体"/>
          <w:color w:val="auto"/>
          <w:highlight w:val="none"/>
        </w:rPr>
        <w:t>）款规定情形外，澄清或修改的内容可能影响投标文件编制的，</w:t>
      </w:r>
      <w:r>
        <w:rPr>
          <w:rFonts w:hint="eastAsia" w:ascii="宋体" w:hAnsi="宋体" w:eastAsia="宋体" w:cs="宋体"/>
          <w:color w:val="auto"/>
          <w:highlight w:val="none"/>
          <w:u w:val="single"/>
        </w:rPr>
        <w:t>福建丰盛项目管理有限公司</w:t>
      </w:r>
      <w:r>
        <w:rPr>
          <w:rFonts w:hint="eastAsia" w:ascii="宋体" w:hAnsi="宋体" w:eastAsia="宋体" w:cs="宋体"/>
          <w:color w:val="auto"/>
          <w:highlight w:val="none"/>
        </w:rPr>
        <w:t>将在投标截止时间至少15个日历日前，在招标文件载明的指定媒体以更正公告的形式发布澄清或修改的内容。不足</w:t>
      </w:r>
      <w:r>
        <w:rPr>
          <w:rFonts w:ascii="Calibri" w:hAnsi="Calibri" w:cs="Calibri"/>
          <w:color w:val="auto"/>
          <w:highlight w:val="none"/>
        </w:rPr>
        <w:t>15</w:t>
      </w:r>
      <w:r>
        <w:rPr>
          <w:rFonts w:hint="eastAsia" w:ascii="宋体" w:hAnsi="宋体" w:eastAsia="宋体" w:cs="宋体"/>
          <w:color w:val="auto"/>
          <w:highlight w:val="none"/>
        </w:rPr>
        <w:t>个日历日的，</w:t>
      </w:r>
      <w:r>
        <w:rPr>
          <w:rFonts w:hint="eastAsia" w:ascii="宋体" w:hAnsi="宋体" w:eastAsia="宋体" w:cs="宋体"/>
          <w:color w:val="auto"/>
          <w:highlight w:val="none"/>
          <w:u w:val="single"/>
        </w:rPr>
        <w:t>福建丰盛项目管理有限公司</w:t>
      </w:r>
      <w:r>
        <w:rPr>
          <w:rFonts w:hint="eastAsia" w:ascii="宋体" w:hAnsi="宋体" w:eastAsia="宋体" w:cs="宋体"/>
          <w:color w:val="auto"/>
          <w:highlight w:val="none"/>
        </w:rPr>
        <w:t>将顺延投标截止时间及开标时间，</w:t>
      </w:r>
      <w:r>
        <w:rPr>
          <w:rFonts w:hint="eastAsia" w:ascii="宋体" w:hAnsi="宋体" w:eastAsia="宋体" w:cs="宋体"/>
          <w:color w:val="auto"/>
          <w:highlight w:val="none"/>
          <w:u w:val="single"/>
        </w:rPr>
        <w:t>福建丰盛项目管理有限公司</w:t>
      </w:r>
      <w:r>
        <w:rPr>
          <w:rFonts w:hint="eastAsia" w:ascii="宋体" w:hAnsi="宋体" w:eastAsia="宋体" w:cs="宋体"/>
          <w:color w:val="auto"/>
          <w:highlight w:val="none"/>
        </w:rPr>
        <w:t>和投标人受原投标截止时间及开标时间制约的所有权利和义务均延长至新的投标截止时间及开标时间。</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（3）澄清或修改的内容可能改变招标文件载明的</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标的和投标人的资格要求的，本次</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活动结束，</w:t>
      </w:r>
      <w:r>
        <w:rPr>
          <w:rFonts w:hint="eastAsia" w:ascii="宋体" w:hAnsi="宋体" w:eastAsia="宋体" w:cs="宋体"/>
          <w:color w:val="auto"/>
          <w:highlight w:val="none"/>
          <w:u w:val="single"/>
        </w:rPr>
        <w:t>福建丰盛项目管理有限公司</w:t>
      </w:r>
      <w:r>
        <w:rPr>
          <w:rFonts w:hint="eastAsia" w:ascii="宋体" w:hAnsi="宋体" w:eastAsia="宋体" w:cs="宋体"/>
          <w:color w:val="auto"/>
          <w:highlight w:val="none"/>
        </w:rPr>
        <w:t>将依法组织后续</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活动（包括但不限于：重新招标、采用其他方式</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等）。</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6、现场考察或开标前答疑会</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6.1是否组织现场考察或召开开标前答疑会：详见招标文件第二章。</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7、更正公告</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7.1若</w:t>
      </w:r>
      <w:r>
        <w:rPr>
          <w:rFonts w:hint="eastAsia" w:ascii="宋体" w:hAnsi="宋体" w:eastAsia="宋体" w:cs="宋体"/>
          <w:color w:val="auto"/>
          <w:highlight w:val="none"/>
          <w:u w:val="single"/>
        </w:rPr>
        <w:t>福建丰盛项目管理有限公司</w:t>
      </w:r>
      <w:r>
        <w:rPr>
          <w:rFonts w:hint="eastAsia" w:ascii="宋体" w:hAnsi="宋体" w:eastAsia="宋体" w:cs="宋体"/>
          <w:color w:val="auto"/>
          <w:highlight w:val="none"/>
        </w:rPr>
        <w:t>发布更正公告，则更正公告及其所发布的内容或信息（包括但不限于：招标文件的澄清或修改、现场考察或答疑会的有关事宜等）</w:t>
      </w:r>
      <w:r>
        <w:rPr>
          <w:rStyle w:val="16"/>
          <w:rFonts w:hint="eastAsia" w:ascii="宋体" w:hAnsi="宋体" w:eastAsia="宋体" w:cs="宋体"/>
          <w:color w:val="auto"/>
          <w:highlight w:val="none"/>
        </w:rPr>
        <w:t>作为招标文件组成部分</w:t>
      </w:r>
      <w:r>
        <w:rPr>
          <w:rFonts w:hint="eastAsia" w:ascii="宋体" w:hAnsi="宋体" w:eastAsia="宋体" w:cs="宋体"/>
          <w:color w:val="auto"/>
          <w:highlight w:val="none"/>
        </w:rPr>
        <w:t>，对投标人具有约束力。</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7.2更正公告作为</w:t>
      </w:r>
      <w:r>
        <w:rPr>
          <w:rFonts w:hint="eastAsia" w:ascii="宋体" w:hAnsi="宋体" w:eastAsia="宋体" w:cs="宋体"/>
          <w:color w:val="auto"/>
          <w:highlight w:val="none"/>
          <w:u w:val="single"/>
        </w:rPr>
        <w:t>福建丰盛项目管理有限公司</w:t>
      </w:r>
      <w:r>
        <w:rPr>
          <w:rFonts w:hint="eastAsia" w:ascii="宋体" w:hAnsi="宋体" w:eastAsia="宋体" w:cs="宋体"/>
          <w:color w:val="auto"/>
          <w:highlight w:val="none"/>
        </w:rPr>
        <w:t>通知所有潜在投标人的书面形式。</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8、终止公告</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8.1若出现因重大变故导致</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任务取消情形，福建丰盛项目管理有限公司可终止招标并发布终止公告。</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8.2终止公告作为福建丰盛项目管理有限公司通知所有潜在投标人的书面形式。</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2"/>
        <w:widowControl/>
        <w:spacing w:before="75" w:beforeAutospacing="0" w:after="75" w:afterAutospacing="0"/>
        <w:jc w:val="center"/>
        <w:outlineLvl w:val="1"/>
        <w:rPr>
          <w:color w:val="auto"/>
          <w:highlight w:val="none"/>
        </w:rPr>
      </w:pPr>
      <w:r>
        <w:rPr>
          <w:rStyle w:val="16"/>
          <w:rFonts w:hint="eastAsia" w:ascii="宋体" w:hAnsi="宋体" w:eastAsia="宋体" w:cs="宋体"/>
          <w:color w:val="auto"/>
          <w:highlight w:val="none"/>
        </w:rPr>
        <w:t>四、投标</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9、投标</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9.1投标人可对招标文件载明的全部或部分合同包进行投标。</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9.2投标人应对同一个合同包内的所有内容进行完整投标，否则</w:t>
      </w:r>
      <w:r>
        <w:rPr>
          <w:rStyle w:val="16"/>
          <w:rFonts w:hint="eastAsia" w:ascii="宋体" w:hAnsi="宋体" w:eastAsia="宋体" w:cs="宋体"/>
          <w:color w:val="auto"/>
          <w:highlight w:val="none"/>
        </w:rPr>
        <w:t>投标无效</w:t>
      </w:r>
      <w:r>
        <w:rPr>
          <w:rFonts w:hint="eastAsia" w:ascii="宋体" w:hAnsi="宋体" w:eastAsia="宋体" w:cs="宋体"/>
          <w:color w:val="auto"/>
          <w:highlight w:val="none"/>
        </w:rPr>
        <w:t>。</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9.3投标人代表只能接受一个投标人的授权参加投标，否则</w:t>
      </w:r>
      <w:r>
        <w:rPr>
          <w:rStyle w:val="16"/>
          <w:rFonts w:hint="eastAsia" w:ascii="宋体" w:hAnsi="宋体" w:eastAsia="宋体" w:cs="宋体"/>
          <w:color w:val="auto"/>
          <w:highlight w:val="none"/>
        </w:rPr>
        <w:t>投标无效</w:t>
      </w:r>
      <w:r>
        <w:rPr>
          <w:rFonts w:hint="eastAsia" w:ascii="宋体" w:hAnsi="宋体" w:eastAsia="宋体" w:cs="宋体"/>
          <w:color w:val="auto"/>
          <w:highlight w:val="none"/>
        </w:rPr>
        <w:t>。</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9.4单位负责人为同一人或存在直接控股、管理关系的不同供应商，不得同时参加同一合同项下的投标，否则</w:t>
      </w:r>
      <w:r>
        <w:rPr>
          <w:rStyle w:val="16"/>
          <w:rFonts w:hint="eastAsia" w:ascii="宋体" w:hAnsi="宋体" w:eastAsia="宋体" w:cs="宋体"/>
          <w:color w:val="auto"/>
          <w:highlight w:val="none"/>
        </w:rPr>
        <w:t>投标无效</w:t>
      </w:r>
      <w:r>
        <w:rPr>
          <w:rFonts w:hint="eastAsia" w:ascii="宋体" w:hAnsi="宋体" w:eastAsia="宋体" w:cs="宋体"/>
          <w:color w:val="auto"/>
          <w:highlight w:val="none"/>
        </w:rPr>
        <w:t>。</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9.5为本项目提供整体设计、规范编制或项目管理、监理、检测等服务的供应商，不得参加本项目除整体设计、规范编制和项目管理、监理、检测等服务外的</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活动，否则</w:t>
      </w:r>
      <w:r>
        <w:rPr>
          <w:rStyle w:val="16"/>
          <w:rFonts w:hint="eastAsia" w:ascii="宋体" w:hAnsi="宋体" w:eastAsia="宋体" w:cs="宋体"/>
          <w:color w:val="auto"/>
          <w:highlight w:val="none"/>
        </w:rPr>
        <w:t>投标无效</w:t>
      </w:r>
      <w:r>
        <w:rPr>
          <w:rFonts w:hint="eastAsia" w:ascii="宋体" w:hAnsi="宋体" w:eastAsia="宋体" w:cs="宋体"/>
          <w:color w:val="auto"/>
          <w:highlight w:val="none"/>
        </w:rPr>
        <w:t>。</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9.6列入失信被执行人、重大税收违法案件当事人名单、政府采购严重违法失信行为记录名单及其他不符合政府采购法第二十二条规定条件的供应商，不得参加投标，否则</w:t>
      </w:r>
      <w:r>
        <w:rPr>
          <w:rStyle w:val="16"/>
          <w:rFonts w:hint="eastAsia" w:ascii="宋体" w:hAnsi="宋体" w:eastAsia="宋体" w:cs="宋体"/>
          <w:color w:val="auto"/>
          <w:highlight w:val="none"/>
        </w:rPr>
        <w:t>投标无效</w:t>
      </w:r>
      <w:r>
        <w:rPr>
          <w:rFonts w:hint="eastAsia" w:ascii="宋体" w:hAnsi="宋体" w:eastAsia="宋体" w:cs="宋体"/>
          <w:color w:val="auto"/>
          <w:highlight w:val="none"/>
        </w:rPr>
        <w:t>。</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9.7有下列情形之一的，视为投标人串通投标，</w:t>
      </w:r>
      <w:r>
        <w:rPr>
          <w:rStyle w:val="16"/>
          <w:rFonts w:hint="eastAsia" w:ascii="宋体" w:hAnsi="宋体" w:eastAsia="宋体" w:cs="宋体"/>
          <w:color w:val="auto"/>
          <w:highlight w:val="none"/>
        </w:rPr>
        <w:t>其投标无效：</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（1）不同投标人的投标文件由同一单位或个人编制；</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（2）不同投标人委托同一单位或个人办理投标事宜；</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（3）不同投标人的投标文件载明的项目管理成员或联系人员为同一人；</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（4）不同投标人的投标文件异常一致或投标报价呈规律性差异；</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（5）不同投标人的投标文件相互混装；</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（6）不同投标人的投标保证金从同一单位或个人的账户转出；</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（7）有关法律、法规和规章及招标文件规定的其他串通投标情形。</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10、投标文件</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10.1投标文件的编制</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（1）投标人应先仔细阅读招标文件的全部内容后，再进行投标文件的编制。</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（2）投标文件应按照本章第</w:t>
      </w:r>
      <w:r>
        <w:rPr>
          <w:rFonts w:ascii="Calibri" w:hAnsi="Calibri" w:cs="Calibri"/>
          <w:color w:val="auto"/>
          <w:highlight w:val="none"/>
        </w:rPr>
        <w:t>10.2</w:t>
      </w:r>
      <w:r>
        <w:rPr>
          <w:rFonts w:hint="eastAsia" w:ascii="宋体" w:hAnsi="宋体" w:eastAsia="宋体" w:cs="宋体"/>
          <w:color w:val="auto"/>
          <w:highlight w:val="none"/>
        </w:rPr>
        <w:t>条规定编制其组成部分。</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（3）投标文件应满足招标文件提出的实质性要求和条件，并保证其所提交的全部资料是不可割离且真实、有效、准确、完整和不具有任何误导性的，否则造成不利后果由投标人承担责任。</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10.2投标文件由下述部分组成：</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（1）资格及资信证明部分</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①投标函</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②投标人的资格及资信证明文件</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③投标保证金</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（2）报价部分</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①开标一览表</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②投标分项报价表</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③招标文件规定的价格扣除证明材料（若有）</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④招标文件规定的加分证明材料（若有）</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（3）技术商务部分</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①标的说明一览表</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②技术和服务要求响应表</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③商务条件响应表</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④投标人提交的其他资料（若有）</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⑤招标文件规定作为投标文件组成部分的其他内容（若有）</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10.3投标文件的语言</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（1）除招标文件另有规定外，投标文件应使用中文文本，若有不同文本，以中文文本为准。</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10.4投标文件的份数：详见招标文件第二章。</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10.5投标文件的格式</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（1）除招标文件另有规定外，投标文件应使用招标文件第七章规定的格式。</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（2）除招标文件另有规定外，投标文件的正本和全部副本均应使用不能擦去的墨料或墨水打印、书写或复印，其中：</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①正本应用</w:t>
      </w:r>
      <w:r>
        <w:rPr>
          <w:rFonts w:ascii="Calibri" w:hAnsi="Calibri" w:cs="Calibri"/>
          <w:color w:val="auto"/>
          <w:highlight w:val="none"/>
        </w:rPr>
        <w:t>A4</w:t>
      </w:r>
      <w:r>
        <w:rPr>
          <w:rFonts w:hint="eastAsia" w:ascii="宋体" w:hAnsi="宋体" w:eastAsia="宋体" w:cs="宋体"/>
          <w:color w:val="auto"/>
          <w:highlight w:val="none"/>
        </w:rPr>
        <w:t>幅面纸张打印装订，编制封面（封面标明“正本”字样）、索引、页码，并用胶装装订成册。</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②副本应用</w:t>
      </w:r>
      <w:r>
        <w:rPr>
          <w:rFonts w:ascii="Calibri" w:hAnsi="Calibri" w:cs="Calibri"/>
          <w:color w:val="auto"/>
          <w:highlight w:val="none"/>
        </w:rPr>
        <w:t>A4</w:t>
      </w:r>
      <w:r>
        <w:rPr>
          <w:rFonts w:hint="eastAsia" w:ascii="宋体" w:hAnsi="宋体" w:eastAsia="宋体" w:cs="宋体"/>
          <w:color w:val="auto"/>
          <w:highlight w:val="none"/>
        </w:rPr>
        <w:t>幅面纸张打印装订，编制封面（封面标明“副本”字样）、索引、页码，并用胶装装订成册；副本可用正本的完整复印件，并与正本保持一致（若不一致，以正本为准）。</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③允许散装或活页装订的内容或材料：详见招标文件第二章。</w:t>
      </w:r>
    </w:p>
    <w:p>
      <w:pPr>
        <w:pStyle w:val="12"/>
        <w:widowControl/>
        <w:spacing w:before="75" w:beforeAutospacing="0" w:after="75" w:afterAutospacing="0"/>
        <w:ind w:firstLine="480"/>
        <w:rPr>
          <w:color w:val="auto"/>
          <w:highlight w:val="none"/>
        </w:rPr>
      </w:pPr>
      <w:r>
        <w:rPr>
          <w:rStyle w:val="16"/>
          <w:rFonts w:hint="eastAsia" w:ascii="宋体" w:hAnsi="宋体" w:eastAsia="宋体" w:cs="宋体"/>
          <w:color w:val="auto"/>
          <w:highlight w:val="none"/>
        </w:rPr>
        <w:t>※除本章第</w:t>
      </w:r>
      <w:r>
        <w:rPr>
          <w:rStyle w:val="16"/>
          <w:rFonts w:ascii="Calibri" w:hAnsi="Calibri" w:cs="Calibri"/>
          <w:color w:val="auto"/>
          <w:highlight w:val="none"/>
        </w:rPr>
        <w:t>10.5</w:t>
      </w:r>
      <w:r>
        <w:rPr>
          <w:rStyle w:val="16"/>
          <w:rFonts w:hint="eastAsia" w:ascii="宋体" w:hAnsi="宋体" w:eastAsia="宋体" w:cs="宋体"/>
          <w:color w:val="auto"/>
          <w:highlight w:val="none"/>
        </w:rPr>
        <w:t>条第（</w:t>
      </w:r>
      <w:r>
        <w:rPr>
          <w:rStyle w:val="16"/>
          <w:rFonts w:ascii="Calibri" w:hAnsi="Calibri" w:cs="Calibri"/>
          <w:color w:val="auto"/>
          <w:highlight w:val="none"/>
        </w:rPr>
        <w:t>2</w:t>
      </w:r>
      <w:r>
        <w:rPr>
          <w:rStyle w:val="16"/>
          <w:rFonts w:hint="eastAsia" w:ascii="宋体" w:hAnsi="宋体" w:eastAsia="宋体" w:cs="宋体"/>
          <w:color w:val="auto"/>
          <w:highlight w:val="none"/>
        </w:rPr>
        <w:t>）款第③点规定情形外，投标文件散装或活页装订将导致投标无效。</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（3）除招标文件另有规定外，投标文件应使用人民币作为计量货币。</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（4）除招标文件另有规定外，签署、盖章应遵守下列规定：</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①投标文件应由投标人代表签字并加盖投标人的单位公章。若投标人代表为单位负责人授权的委托代理人，应提供“单位负责人授权书”。</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②投标文件应没有涂改或行间插字，除非这些改动是根据</w:t>
      </w:r>
      <w:r>
        <w:rPr>
          <w:rFonts w:hint="eastAsia" w:ascii="宋体" w:hAnsi="宋体" w:eastAsia="宋体" w:cs="宋体"/>
          <w:color w:val="auto"/>
          <w:highlight w:val="none"/>
          <w:u w:val="single"/>
        </w:rPr>
        <w:t>福建丰盛项目管理有限公司</w:t>
      </w:r>
      <w:r>
        <w:rPr>
          <w:rFonts w:hint="eastAsia" w:ascii="宋体" w:hAnsi="宋体" w:eastAsia="宋体" w:cs="宋体"/>
          <w:color w:val="auto"/>
          <w:highlight w:val="none"/>
        </w:rPr>
        <w:t>的指示进行的，或是为改正投标人造成的应修改的错误而进行的。若有前述改动，应按照下列规定之一对改动处进行处理：</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a.投标人代表签字确认；</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b.加盖投标人的单位公章或校正章。</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10.6投标报价</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（1）投标报价超出最高限价将导致</w:t>
      </w:r>
      <w:r>
        <w:rPr>
          <w:rStyle w:val="16"/>
          <w:rFonts w:hint="eastAsia" w:ascii="宋体" w:hAnsi="宋体" w:eastAsia="宋体" w:cs="宋体"/>
          <w:color w:val="auto"/>
          <w:highlight w:val="none"/>
        </w:rPr>
        <w:t>投标无效。</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（2）最高限价由</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人根据价格测算情况，在预算金额的额度内合理设定。最高限价不得超出预算金额。</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（3）除招标文件另有规定外，投标文件不能出现任何选择性的投标报价，即每一个合同包和品目号的</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标的都只能有一个投标报价。任何选择性的投标报价将导致</w:t>
      </w:r>
      <w:r>
        <w:rPr>
          <w:rStyle w:val="16"/>
          <w:rFonts w:hint="eastAsia" w:ascii="宋体" w:hAnsi="宋体" w:eastAsia="宋体" w:cs="宋体"/>
          <w:color w:val="auto"/>
          <w:highlight w:val="none"/>
        </w:rPr>
        <w:t>投标无效。</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10.7分包</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（1）是否允许中标人将本项目的非主体、非关键性工作进行分包：详见招标文件第二章。</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（2）若允许中标人将本项目的非主体、非关键性工作进行分包且投标人拟在中标后进行分包，则投标人应在投标文件中载明分包承担主体，分包承担主体应具备相应资质条件（若有）且不得再次分包。</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（3）招标文件允许中标人将非主体、非关键性工作进行分包的项目，有下列情形之一的，中标人不得分包：</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①投标文件中未载明分包承担主体；</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②投标文件载明的分包承担主体不具备相应资质条件；</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③投标文件载明的分包承担主体拟再次分包。</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10.8投标有效期</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（1）招标文件载明的投标有效期：详见招标文件第二章。</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（2）投标文件承诺的投标有效期不得少于招标文件载明的投标有效期，否则</w:t>
      </w:r>
      <w:r>
        <w:rPr>
          <w:rStyle w:val="16"/>
          <w:rFonts w:hint="eastAsia" w:ascii="宋体" w:hAnsi="宋体" w:eastAsia="宋体" w:cs="宋体"/>
          <w:color w:val="auto"/>
          <w:highlight w:val="none"/>
        </w:rPr>
        <w:t>投标无效</w:t>
      </w:r>
      <w:r>
        <w:rPr>
          <w:rFonts w:hint="eastAsia" w:ascii="宋体" w:hAnsi="宋体" w:eastAsia="宋体" w:cs="宋体"/>
          <w:color w:val="auto"/>
          <w:highlight w:val="none"/>
        </w:rPr>
        <w:t>。</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（3）根据本次</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活动的需要，</w:t>
      </w:r>
      <w:r>
        <w:rPr>
          <w:rFonts w:hint="eastAsia" w:ascii="宋体" w:hAnsi="宋体" w:eastAsia="宋体" w:cs="宋体"/>
          <w:color w:val="auto"/>
          <w:highlight w:val="none"/>
          <w:u w:val="single"/>
        </w:rPr>
        <w:t>福建丰盛项目管理有限公司</w:t>
      </w:r>
      <w:r>
        <w:rPr>
          <w:rFonts w:hint="eastAsia" w:ascii="宋体" w:hAnsi="宋体" w:eastAsia="宋体" w:cs="宋体"/>
          <w:color w:val="auto"/>
          <w:highlight w:val="none"/>
        </w:rPr>
        <w:t>可于投标有效期届满之前书面要求投标人延长投标有效期，投标人应在</w:t>
      </w:r>
      <w:r>
        <w:rPr>
          <w:rFonts w:hint="eastAsia" w:ascii="宋体" w:hAnsi="宋体" w:eastAsia="宋体" w:cs="宋体"/>
          <w:color w:val="auto"/>
          <w:highlight w:val="none"/>
          <w:u w:val="single"/>
        </w:rPr>
        <w:t>福建丰盛项目管理有限公司</w:t>
      </w:r>
      <w:r>
        <w:rPr>
          <w:rFonts w:hint="eastAsia" w:ascii="宋体" w:hAnsi="宋体" w:eastAsia="宋体" w:cs="宋体"/>
          <w:color w:val="auto"/>
          <w:highlight w:val="none"/>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10.9投标保证金</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（1）投标保证金作为投标人按照招标文件规定履行相应投标责任、义务的约束及担保。</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（2）投标保证金的有效期应与投标文件承诺的投标有效期保持一致，否则</w:t>
      </w:r>
      <w:r>
        <w:rPr>
          <w:rStyle w:val="16"/>
          <w:rFonts w:hint="eastAsia" w:ascii="宋体" w:hAnsi="宋体" w:eastAsia="宋体" w:cs="宋体"/>
          <w:color w:val="auto"/>
          <w:highlight w:val="none"/>
        </w:rPr>
        <w:t>投标无效</w:t>
      </w:r>
      <w:r>
        <w:rPr>
          <w:rFonts w:hint="eastAsia" w:ascii="宋体" w:hAnsi="宋体" w:eastAsia="宋体" w:cs="宋体"/>
          <w:color w:val="auto"/>
          <w:highlight w:val="none"/>
        </w:rPr>
        <w:t>。</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（3）提交</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①投标人应从其银行账户</w:t>
      </w:r>
      <w:r>
        <w:rPr>
          <w:rStyle w:val="16"/>
          <w:rFonts w:hint="eastAsia" w:ascii="宋体" w:hAnsi="宋体" w:eastAsia="宋体" w:cs="宋体"/>
          <w:color w:val="auto"/>
          <w:highlight w:val="none"/>
        </w:rPr>
        <w:t>（基本存款账户）</w:t>
      </w:r>
      <w:r>
        <w:rPr>
          <w:rFonts w:hint="eastAsia" w:ascii="宋体" w:hAnsi="宋体" w:eastAsia="宋体" w:cs="宋体"/>
          <w:color w:val="auto"/>
          <w:highlight w:val="none"/>
        </w:rPr>
        <w:t>按照下列方式：</w:t>
      </w:r>
      <w:r>
        <w:rPr>
          <w:rStyle w:val="16"/>
          <w:rFonts w:hint="eastAsia" w:ascii="宋体" w:hAnsi="宋体" w:eastAsia="宋体" w:cs="宋体"/>
          <w:color w:val="auto"/>
          <w:highlight w:val="none"/>
        </w:rPr>
        <w:t>公对公转账方式</w:t>
      </w:r>
      <w:r>
        <w:rPr>
          <w:rFonts w:hint="eastAsia" w:ascii="宋体" w:hAnsi="宋体" w:eastAsia="宋体" w:cs="宋体"/>
          <w:color w:val="auto"/>
          <w:highlight w:val="none"/>
        </w:rPr>
        <w:t>向招标文件载明的投标保证金账户提交投标保证金，具体金额详见招标文件第一章。</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②投标保证金应于投标截止时间前到达招标文件载明的投标保证金账户，否则视为投标保证金未提交；是否到达按照下列方式认定：</w:t>
      </w:r>
      <w:r>
        <w:rPr>
          <w:rStyle w:val="16"/>
          <w:rFonts w:hint="eastAsia" w:ascii="宋体" w:hAnsi="宋体" w:eastAsia="宋体" w:cs="宋体"/>
          <w:color w:val="auto"/>
          <w:highlight w:val="none"/>
        </w:rPr>
        <w:t>以银行电子系统查询的到账信息记录为准。</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③若本项目接受联合体投标且投标人为联合体，则联合体中的牵头方应按照本章第</w:t>
      </w:r>
      <w:r>
        <w:rPr>
          <w:rFonts w:ascii="Calibri" w:hAnsi="Calibri" w:cs="Calibri"/>
          <w:color w:val="auto"/>
          <w:highlight w:val="none"/>
        </w:rPr>
        <w:t>10.9</w:t>
      </w:r>
      <w:r>
        <w:rPr>
          <w:rFonts w:hint="eastAsia" w:ascii="宋体" w:hAnsi="宋体" w:eastAsia="宋体" w:cs="宋体"/>
          <w:color w:val="auto"/>
          <w:highlight w:val="none"/>
        </w:rPr>
        <w:t>条第（</w:t>
      </w:r>
      <w:r>
        <w:rPr>
          <w:rFonts w:ascii="Calibri" w:hAnsi="Calibri" w:cs="Calibri"/>
          <w:color w:val="auto"/>
          <w:highlight w:val="none"/>
        </w:rPr>
        <w:t>3</w:t>
      </w:r>
      <w:r>
        <w:rPr>
          <w:rFonts w:hint="eastAsia" w:ascii="宋体" w:hAnsi="宋体" w:eastAsia="宋体" w:cs="宋体"/>
          <w:color w:val="auto"/>
          <w:highlight w:val="none"/>
        </w:rPr>
        <w:t>）款第①、②点规定提交投标保证金。</w:t>
      </w:r>
    </w:p>
    <w:p>
      <w:pPr>
        <w:pStyle w:val="12"/>
        <w:widowControl/>
        <w:spacing w:before="75" w:beforeAutospacing="0" w:after="75" w:afterAutospacing="0"/>
        <w:ind w:firstLine="480"/>
        <w:rPr>
          <w:color w:val="auto"/>
          <w:highlight w:val="none"/>
        </w:rPr>
      </w:pPr>
      <w:r>
        <w:rPr>
          <w:rStyle w:val="16"/>
          <w:rFonts w:hint="eastAsia" w:ascii="宋体" w:hAnsi="宋体" w:eastAsia="宋体" w:cs="宋体"/>
          <w:color w:val="auto"/>
          <w:highlight w:val="none"/>
        </w:rPr>
        <w:t>※除招标文件另有规定外，未按照上述规定提交投标保证金将导致资格审查不合格。</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（4）退还</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①在投标截止时间前撤回已提交的投标文件的投标人，其投标保证金将在</w:t>
      </w:r>
      <w:r>
        <w:rPr>
          <w:rFonts w:hint="eastAsia" w:ascii="宋体" w:hAnsi="宋体" w:eastAsia="宋体" w:cs="宋体"/>
          <w:color w:val="auto"/>
          <w:highlight w:val="none"/>
          <w:u w:val="single"/>
        </w:rPr>
        <w:t>福建丰盛项目管理有限公司</w:t>
      </w:r>
      <w:r>
        <w:rPr>
          <w:rFonts w:hint="eastAsia" w:ascii="宋体" w:hAnsi="宋体" w:eastAsia="宋体" w:cs="宋体"/>
          <w:color w:val="auto"/>
          <w:highlight w:val="none"/>
        </w:rPr>
        <w:t>收到投标人书面撤回通知之日起5个工作日内退回原账户。</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②未中标人的投标保证金将在中标通知书发出之日起</w:t>
      </w:r>
      <w:r>
        <w:rPr>
          <w:rFonts w:ascii="Calibri" w:hAnsi="Calibri" w:cs="Calibri"/>
          <w:color w:val="auto"/>
          <w:highlight w:val="none"/>
        </w:rPr>
        <w:t>5</w:t>
      </w:r>
      <w:r>
        <w:rPr>
          <w:rFonts w:hint="eastAsia" w:ascii="宋体" w:hAnsi="宋体" w:eastAsia="宋体" w:cs="宋体"/>
          <w:color w:val="auto"/>
          <w:highlight w:val="none"/>
        </w:rPr>
        <w:t>个工作日内退回原账户。</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③中标人的投标保证金将在</w:t>
      </w:r>
      <w:r>
        <w:rPr>
          <w:rFonts w:hint="eastAsia" w:ascii="宋体" w:hAnsi="宋体" w:eastAsia="宋体" w:cs="宋体"/>
          <w:color w:val="auto"/>
          <w:highlight w:val="none"/>
          <w:lang w:eastAsia="zh-CN"/>
        </w:rPr>
        <w:t>承包</w:t>
      </w:r>
      <w:r>
        <w:rPr>
          <w:rFonts w:hint="eastAsia" w:ascii="宋体" w:hAnsi="宋体" w:eastAsia="宋体" w:cs="宋体"/>
          <w:color w:val="auto"/>
          <w:highlight w:val="none"/>
        </w:rPr>
        <w:t>合同签订之日起</w:t>
      </w:r>
      <w:r>
        <w:rPr>
          <w:rFonts w:ascii="Calibri" w:hAnsi="Calibri" w:cs="Calibri"/>
          <w:color w:val="auto"/>
          <w:highlight w:val="none"/>
        </w:rPr>
        <w:t>5</w:t>
      </w:r>
      <w:r>
        <w:rPr>
          <w:rFonts w:hint="eastAsia" w:ascii="宋体" w:hAnsi="宋体" w:eastAsia="宋体" w:cs="宋体"/>
          <w:color w:val="auto"/>
          <w:highlight w:val="none"/>
        </w:rPr>
        <w:t>个工作日内退回原账户；合同签订之日按照下列方式认定：</w:t>
      </w:r>
      <w:r>
        <w:rPr>
          <w:rStyle w:val="16"/>
          <w:rFonts w:hint="eastAsia" w:ascii="宋体" w:hAnsi="宋体" w:eastAsia="宋体" w:cs="宋体"/>
          <w:color w:val="auto"/>
          <w:highlight w:val="none"/>
        </w:rPr>
        <w:t>以中标人递交给福建丰盛项目管理有限公司的书面合同时间为准。</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④终止招标的，</w:t>
      </w:r>
      <w:r>
        <w:rPr>
          <w:rFonts w:hint="eastAsia" w:ascii="宋体" w:hAnsi="宋体" w:eastAsia="宋体" w:cs="宋体"/>
          <w:color w:val="auto"/>
          <w:highlight w:val="none"/>
          <w:u w:val="single"/>
        </w:rPr>
        <w:t>福建丰盛项目管理有限公司</w:t>
      </w:r>
      <w:r>
        <w:rPr>
          <w:rFonts w:hint="eastAsia" w:ascii="宋体" w:hAnsi="宋体" w:eastAsia="宋体" w:cs="宋体"/>
          <w:color w:val="auto"/>
          <w:highlight w:val="none"/>
        </w:rPr>
        <w:t>将在终止公告发布之日起5个工作日内退回已收取的投标保证金及其在银行产生的孳息。</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⑤除招标文件另有规定外，质疑或投诉涉及的投标人，若投标保证金尚未退还，则待质疑或投诉处理完毕后不计利息原额退还。</w:t>
      </w:r>
    </w:p>
    <w:p>
      <w:pPr>
        <w:pStyle w:val="12"/>
        <w:widowControl/>
        <w:spacing w:before="75" w:beforeAutospacing="0" w:after="75" w:afterAutospacing="0"/>
        <w:ind w:firstLine="480"/>
        <w:rPr>
          <w:color w:val="auto"/>
          <w:highlight w:val="none"/>
        </w:rPr>
      </w:pPr>
      <w:r>
        <w:rPr>
          <w:rStyle w:val="16"/>
          <w:rFonts w:hint="eastAsia" w:ascii="宋体" w:hAnsi="宋体" w:eastAsia="宋体" w:cs="宋体"/>
          <w:color w:val="auto"/>
          <w:highlight w:val="none"/>
        </w:rPr>
        <w:t>※本章第</w:t>
      </w:r>
      <w:r>
        <w:rPr>
          <w:rStyle w:val="16"/>
          <w:rFonts w:ascii="Calibri" w:hAnsi="Calibri" w:cs="Calibri"/>
          <w:color w:val="auto"/>
          <w:highlight w:val="none"/>
        </w:rPr>
        <w:t>10.9</w:t>
      </w:r>
      <w:r>
        <w:rPr>
          <w:rStyle w:val="16"/>
          <w:rFonts w:hint="eastAsia" w:ascii="宋体" w:hAnsi="宋体" w:eastAsia="宋体" w:cs="宋体"/>
          <w:color w:val="auto"/>
          <w:highlight w:val="none"/>
        </w:rPr>
        <w:t>条第（</w:t>
      </w:r>
      <w:r>
        <w:rPr>
          <w:rStyle w:val="16"/>
          <w:rFonts w:ascii="Calibri" w:hAnsi="Calibri" w:cs="Calibri"/>
          <w:color w:val="auto"/>
          <w:highlight w:val="none"/>
        </w:rPr>
        <w:t>4</w:t>
      </w:r>
      <w:r>
        <w:rPr>
          <w:rStyle w:val="16"/>
          <w:rFonts w:hint="eastAsia" w:ascii="宋体" w:hAnsi="宋体" w:eastAsia="宋体" w:cs="宋体"/>
          <w:color w:val="auto"/>
          <w:highlight w:val="none"/>
        </w:rPr>
        <w:t>）款第①、②、③点规定的投标保证金退还时限不包括因投标人自身原因导致无法及时退还而增加的时间。</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（5）若出现本章第</w:t>
      </w:r>
      <w:r>
        <w:rPr>
          <w:rFonts w:ascii="Calibri" w:hAnsi="Calibri" w:cs="Calibri"/>
          <w:color w:val="auto"/>
          <w:highlight w:val="none"/>
        </w:rPr>
        <w:t>10.8</w:t>
      </w:r>
      <w:r>
        <w:rPr>
          <w:rFonts w:hint="eastAsia" w:ascii="宋体" w:hAnsi="宋体" w:eastAsia="宋体" w:cs="宋体"/>
          <w:color w:val="auto"/>
          <w:highlight w:val="none"/>
        </w:rPr>
        <w:t>条第（</w:t>
      </w:r>
      <w:r>
        <w:rPr>
          <w:rFonts w:ascii="Calibri" w:hAnsi="Calibri" w:cs="Calibri"/>
          <w:color w:val="auto"/>
          <w:highlight w:val="none"/>
        </w:rPr>
        <w:t>3</w:t>
      </w:r>
      <w:r>
        <w:rPr>
          <w:rFonts w:hint="eastAsia" w:ascii="宋体" w:hAnsi="宋体" w:eastAsia="宋体" w:cs="宋体"/>
          <w:color w:val="auto"/>
          <w:highlight w:val="none"/>
        </w:rPr>
        <w:t>）款规定情形，对于拒绝延长投标有效期的投标人，投标保证金仍可退还。对于接受延长投标有效期的投标人，相应延长投标保证金有效期，招标文件关于退还和不予退还投标保证金的规定继续适用。</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（6）有下列情形之一的，投标保证金将不予退还：</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①投标人串通投标；</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②投标人提供虚假材料；</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③投标人采取不正当手段诋毁、排挤其他投标人；</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④投标截止时间后，投标人在投标有效期内撤销投标文件；</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⑤投标人不接受评标委员会按照招标文件规定对投标报价错误之处进行修正；</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⑥投标人违反招标文件第三章第</w:t>
      </w:r>
      <w:r>
        <w:rPr>
          <w:rFonts w:ascii="Calibri" w:hAnsi="Calibri" w:cs="Calibri"/>
          <w:color w:val="auto"/>
          <w:highlight w:val="none"/>
        </w:rPr>
        <w:t>9.4</w:t>
      </w:r>
      <w:r>
        <w:rPr>
          <w:rFonts w:hint="eastAsia" w:ascii="宋体" w:hAnsi="宋体" w:eastAsia="宋体" w:cs="宋体"/>
          <w:color w:val="auto"/>
          <w:highlight w:val="none"/>
        </w:rPr>
        <w:t>、</w:t>
      </w:r>
      <w:r>
        <w:rPr>
          <w:rFonts w:ascii="Calibri" w:hAnsi="Calibri" w:cs="Calibri"/>
          <w:color w:val="auto"/>
          <w:highlight w:val="none"/>
        </w:rPr>
        <w:t>9.5</w:t>
      </w:r>
      <w:r>
        <w:rPr>
          <w:rFonts w:hint="eastAsia" w:ascii="宋体" w:hAnsi="宋体" w:eastAsia="宋体" w:cs="宋体"/>
          <w:color w:val="auto"/>
          <w:highlight w:val="none"/>
        </w:rPr>
        <w:t>、</w:t>
      </w:r>
      <w:r>
        <w:rPr>
          <w:rFonts w:ascii="Calibri" w:hAnsi="Calibri" w:cs="Calibri"/>
          <w:color w:val="auto"/>
          <w:highlight w:val="none"/>
        </w:rPr>
        <w:t>9.6</w:t>
      </w:r>
      <w:r>
        <w:rPr>
          <w:rFonts w:hint="eastAsia" w:ascii="宋体" w:hAnsi="宋体" w:eastAsia="宋体" w:cs="宋体"/>
          <w:color w:val="auto"/>
          <w:highlight w:val="none"/>
        </w:rPr>
        <w:t>条规定之一；</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⑦招标文件规定的其他不予退还情形；</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⑧中标人有下列情形之一的：</w:t>
      </w:r>
    </w:p>
    <w:p>
      <w:pPr>
        <w:pStyle w:val="12"/>
        <w:widowControl/>
        <w:spacing w:before="75" w:beforeAutospacing="0" w:after="75" w:afterAutospacing="0"/>
        <w:ind w:firstLine="480"/>
        <w:rPr>
          <w:color w:val="auto"/>
          <w:highlight w:val="none"/>
        </w:rPr>
      </w:pPr>
      <w:r>
        <w:rPr>
          <w:rFonts w:ascii="Calibri" w:hAnsi="Calibri" w:cs="Calibri"/>
          <w:color w:val="auto"/>
          <w:highlight w:val="none"/>
        </w:rPr>
        <w:t>a</w:t>
      </w:r>
      <w:r>
        <w:rPr>
          <w:rFonts w:hint="eastAsia" w:ascii="宋体" w:hAnsi="宋体" w:eastAsia="宋体" w:cs="宋体"/>
          <w:color w:val="auto"/>
          <w:highlight w:val="none"/>
        </w:rPr>
        <w:t>.除不可抗力外，因中标人自身原因未在中标通知书要求的期限内与</w:t>
      </w:r>
      <w:r>
        <w:rPr>
          <w:rFonts w:hint="eastAsia" w:ascii="宋体" w:hAnsi="宋体" w:eastAsia="宋体" w:cs="宋体"/>
          <w:color w:val="auto"/>
          <w:highlight w:val="none"/>
          <w:lang w:eastAsia="zh-CN"/>
        </w:rPr>
        <w:t>承包</w:t>
      </w:r>
      <w:r>
        <w:rPr>
          <w:rFonts w:hint="eastAsia" w:ascii="宋体" w:hAnsi="宋体" w:eastAsia="宋体" w:cs="宋体"/>
          <w:color w:val="auto"/>
          <w:highlight w:val="none"/>
        </w:rPr>
        <w:t>人签订</w:t>
      </w:r>
      <w:r>
        <w:rPr>
          <w:rFonts w:hint="eastAsia" w:ascii="宋体" w:hAnsi="宋体" w:eastAsia="宋体" w:cs="宋体"/>
          <w:color w:val="auto"/>
          <w:highlight w:val="none"/>
          <w:lang w:eastAsia="zh-CN"/>
        </w:rPr>
        <w:t>承包</w:t>
      </w:r>
      <w:r>
        <w:rPr>
          <w:rFonts w:hint="eastAsia" w:ascii="宋体" w:hAnsi="宋体" w:eastAsia="宋体" w:cs="宋体"/>
          <w:color w:val="auto"/>
          <w:highlight w:val="none"/>
        </w:rPr>
        <w:t>合同；</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b.未按照招标文件、投标文件的约定签订</w:t>
      </w:r>
      <w:r>
        <w:rPr>
          <w:rFonts w:hint="eastAsia" w:ascii="宋体" w:hAnsi="宋体" w:eastAsia="宋体" w:cs="宋体"/>
          <w:color w:val="auto"/>
          <w:highlight w:val="none"/>
          <w:lang w:eastAsia="zh-CN"/>
        </w:rPr>
        <w:t>承包</w:t>
      </w:r>
      <w:r>
        <w:rPr>
          <w:rFonts w:hint="eastAsia" w:ascii="宋体" w:hAnsi="宋体" w:eastAsia="宋体" w:cs="宋体"/>
          <w:color w:val="auto"/>
          <w:highlight w:val="none"/>
        </w:rPr>
        <w:t>合同或提交履约保证金。</w:t>
      </w:r>
    </w:p>
    <w:p>
      <w:pPr>
        <w:pStyle w:val="12"/>
        <w:widowControl/>
        <w:spacing w:before="75" w:beforeAutospacing="0" w:after="75" w:afterAutospacing="0"/>
        <w:ind w:firstLine="480"/>
        <w:rPr>
          <w:color w:val="auto"/>
          <w:highlight w:val="none"/>
        </w:rPr>
      </w:pPr>
      <w:r>
        <w:rPr>
          <w:rStyle w:val="16"/>
          <w:rFonts w:hint="eastAsia" w:ascii="宋体" w:hAnsi="宋体" w:eastAsia="宋体" w:cs="宋体"/>
          <w:color w:val="auto"/>
          <w:highlight w:val="none"/>
        </w:rPr>
        <w:t>※若上述投标保证金不予退还情形给</w:t>
      </w:r>
      <w:r>
        <w:rPr>
          <w:rStyle w:val="16"/>
          <w:rFonts w:hint="eastAsia" w:ascii="宋体" w:hAnsi="宋体" w:eastAsia="宋体" w:cs="宋体"/>
          <w:color w:val="auto"/>
          <w:highlight w:val="none"/>
          <w:lang w:eastAsia="zh-CN"/>
        </w:rPr>
        <w:t>招标</w:t>
      </w:r>
      <w:r>
        <w:rPr>
          <w:rStyle w:val="16"/>
          <w:rFonts w:hint="eastAsia" w:ascii="宋体" w:hAnsi="宋体" w:eastAsia="宋体" w:cs="宋体"/>
          <w:color w:val="auto"/>
          <w:highlight w:val="none"/>
        </w:rPr>
        <w:t>人（</w:t>
      </w:r>
      <w:r>
        <w:rPr>
          <w:rStyle w:val="16"/>
          <w:rFonts w:hint="eastAsia" w:ascii="宋体" w:hAnsi="宋体" w:eastAsia="宋体" w:cs="宋体"/>
          <w:color w:val="auto"/>
          <w:highlight w:val="none"/>
          <w:lang w:eastAsia="zh-CN"/>
        </w:rPr>
        <w:t>招标</w:t>
      </w:r>
      <w:r>
        <w:rPr>
          <w:rStyle w:val="16"/>
          <w:rFonts w:hint="eastAsia" w:ascii="宋体" w:hAnsi="宋体" w:eastAsia="宋体" w:cs="宋体"/>
          <w:color w:val="auto"/>
          <w:highlight w:val="none"/>
        </w:rPr>
        <w:t>代理机构）造成损失，则投标人还要承担相应的赔偿责任。</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10.10投标文件的提交</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（1）一个投标人只能提交一个投标文件，并按照招标文件第一章规定将其送达。</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（2）密封及其标记的具体形式：详见招标文件第二章。</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10.11投标文件的补充、修改或撤回</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（1）投标截止时间前，投标人可对所提交的投标文件进行补充、修改或撤回，并书面通知</w:t>
      </w:r>
      <w:r>
        <w:rPr>
          <w:rFonts w:hint="eastAsia" w:ascii="宋体" w:hAnsi="宋体" w:eastAsia="宋体" w:cs="宋体"/>
          <w:color w:val="auto"/>
          <w:highlight w:val="none"/>
          <w:u w:val="single"/>
        </w:rPr>
        <w:t>福建丰盛项目管理有限公司</w:t>
      </w:r>
      <w:r>
        <w:rPr>
          <w:rFonts w:hint="eastAsia" w:ascii="宋体" w:hAnsi="宋体" w:eastAsia="宋体" w:cs="宋体"/>
          <w:color w:val="auto"/>
          <w:highlight w:val="none"/>
        </w:rPr>
        <w:t>。</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（2）补充、修改的内容应按照本章第</w:t>
      </w:r>
      <w:r>
        <w:rPr>
          <w:rFonts w:ascii="Calibri" w:hAnsi="Calibri" w:cs="Calibri"/>
          <w:color w:val="auto"/>
          <w:highlight w:val="none"/>
        </w:rPr>
        <w:t>10.5</w:t>
      </w:r>
      <w:r>
        <w:rPr>
          <w:rFonts w:hint="eastAsia" w:ascii="宋体" w:hAnsi="宋体" w:eastAsia="宋体" w:cs="宋体"/>
          <w:color w:val="auto"/>
          <w:highlight w:val="none"/>
        </w:rPr>
        <w:t>条第（</w:t>
      </w:r>
      <w:r>
        <w:rPr>
          <w:rFonts w:ascii="Calibri" w:hAnsi="Calibri" w:cs="Calibri"/>
          <w:color w:val="auto"/>
          <w:highlight w:val="none"/>
        </w:rPr>
        <w:t>4</w:t>
      </w:r>
      <w:r>
        <w:rPr>
          <w:rFonts w:hint="eastAsia" w:ascii="宋体" w:hAnsi="宋体" w:eastAsia="宋体" w:cs="宋体"/>
          <w:color w:val="auto"/>
          <w:highlight w:val="none"/>
        </w:rPr>
        <w:t>）款规定进行签署、盖章，并按照本章第</w:t>
      </w:r>
      <w:r>
        <w:rPr>
          <w:rFonts w:ascii="Calibri" w:hAnsi="Calibri" w:cs="Calibri"/>
          <w:color w:val="auto"/>
          <w:highlight w:val="none"/>
        </w:rPr>
        <w:t>10.10</w:t>
      </w:r>
      <w:r>
        <w:rPr>
          <w:rFonts w:hint="eastAsia" w:ascii="宋体" w:hAnsi="宋体" w:eastAsia="宋体" w:cs="宋体"/>
          <w:color w:val="auto"/>
          <w:highlight w:val="none"/>
        </w:rPr>
        <w:t>条规定提交，</w:t>
      </w:r>
      <w:r>
        <w:rPr>
          <w:rStyle w:val="16"/>
          <w:rFonts w:hint="eastAsia" w:ascii="宋体" w:hAnsi="宋体" w:eastAsia="宋体" w:cs="宋体"/>
          <w:color w:val="auto"/>
          <w:highlight w:val="none"/>
        </w:rPr>
        <w:t>否则将被拒收。</w:t>
      </w:r>
    </w:p>
    <w:p>
      <w:pPr>
        <w:pStyle w:val="12"/>
        <w:widowControl/>
        <w:spacing w:before="75" w:beforeAutospacing="0" w:after="75" w:afterAutospacing="0"/>
        <w:ind w:firstLine="480"/>
        <w:rPr>
          <w:color w:val="auto"/>
          <w:highlight w:val="none"/>
        </w:rPr>
      </w:pPr>
      <w:r>
        <w:rPr>
          <w:rStyle w:val="16"/>
          <w:rFonts w:hint="eastAsia" w:ascii="宋体" w:hAnsi="宋体" w:eastAsia="宋体" w:cs="宋体"/>
          <w:color w:val="auto"/>
          <w:highlight w:val="none"/>
        </w:rPr>
        <w:t>※按照上述规定提交的补充、修改内容作为投标文件组成部分。</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10.12除招标文件另有规定外，有下列情形之一的，</w:t>
      </w:r>
      <w:r>
        <w:rPr>
          <w:rStyle w:val="16"/>
          <w:rFonts w:hint="eastAsia" w:ascii="宋体" w:hAnsi="宋体" w:eastAsia="宋体" w:cs="宋体"/>
          <w:color w:val="auto"/>
          <w:highlight w:val="none"/>
        </w:rPr>
        <w:t>投标无效</w:t>
      </w:r>
      <w:r>
        <w:rPr>
          <w:rFonts w:hint="eastAsia" w:ascii="宋体" w:hAnsi="宋体" w:eastAsia="宋体" w:cs="宋体"/>
          <w:color w:val="auto"/>
          <w:highlight w:val="none"/>
        </w:rPr>
        <w:t>：</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（1）投标文件未按照招标文件要求签署、盖章；</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（2）不符合招标文件中规定的资格要求；</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（3）投标报价超过招标文件中规定的预算金额或最高限价；</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（4）投标文件含有</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人不能接受的附加条件；</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（5）有关法律、法规和规章及招标文件规定的其他无效情形。</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2"/>
        <w:widowControl/>
        <w:spacing w:before="75" w:beforeAutospacing="0" w:after="75" w:afterAutospacing="0"/>
        <w:jc w:val="center"/>
        <w:outlineLvl w:val="1"/>
        <w:rPr>
          <w:color w:val="auto"/>
          <w:highlight w:val="none"/>
        </w:rPr>
      </w:pPr>
      <w:r>
        <w:rPr>
          <w:rStyle w:val="16"/>
          <w:rFonts w:hint="eastAsia" w:ascii="宋体" w:hAnsi="宋体" w:eastAsia="宋体" w:cs="宋体"/>
          <w:color w:val="auto"/>
          <w:highlight w:val="none"/>
        </w:rPr>
        <w:t>五、开标</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11、开标</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11.1</w:t>
      </w:r>
      <w:r>
        <w:rPr>
          <w:rFonts w:hint="eastAsia" w:ascii="宋体" w:hAnsi="宋体" w:eastAsia="宋体" w:cs="宋体"/>
          <w:color w:val="auto"/>
          <w:highlight w:val="none"/>
          <w:u w:val="single"/>
        </w:rPr>
        <w:t>福建丰盛项目管理有限公司</w:t>
      </w:r>
      <w:r>
        <w:rPr>
          <w:rFonts w:hint="eastAsia" w:ascii="宋体" w:hAnsi="宋体" w:eastAsia="宋体" w:cs="宋体"/>
          <w:color w:val="auto"/>
          <w:highlight w:val="none"/>
        </w:rPr>
        <w:t>将在招标文件载明的开标时间及地点主持召开开标会，并邀请投标人参加。</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11.2开标会的主持人、唱标人、记录人及其他工作人员（若有）均由</w:t>
      </w:r>
      <w:r>
        <w:rPr>
          <w:rFonts w:hint="eastAsia" w:ascii="宋体" w:hAnsi="宋体" w:eastAsia="宋体" w:cs="宋体"/>
          <w:color w:val="auto"/>
          <w:highlight w:val="none"/>
          <w:u w:val="single"/>
        </w:rPr>
        <w:t>福建丰盛项目管理有限公司</w:t>
      </w:r>
      <w:r>
        <w:rPr>
          <w:rFonts w:hint="eastAsia" w:ascii="宋体" w:hAnsi="宋体" w:eastAsia="宋体" w:cs="宋体"/>
          <w:color w:val="auto"/>
          <w:highlight w:val="none"/>
        </w:rPr>
        <w:t>派出，现场监督人员（若有）可由有关方面派出。</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11.3参加开标会的投标人应签到，非投标人不参加开标会。</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11.4开标会应遵守下列规定：</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（1）首先由主持人宣布开标会须知，然后由投标人代表对投标文件的密封情况进行检查，经确认无误后，由工作人员对密封的投标文件当众拆封。</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（3）记录人对唱标人宣布的内容作开标记录。</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（5）投标人代表对开标过程和开标记录有疑义，以及认为</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人（</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代理机构）相关工作人员有需要回避情形的，应当场提出询问或回避申请。否则，视为投标人对开标过程和开标记录予以认可。</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（6）若投标人未参加开标会（包括但不限于投标人派出的人员不是投标人代表），视同其对开标过程和开标记录予以认可。</w:t>
      </w:r>
    </w:p>
    <w:p>
      <w:pPr>
        <w:pStyle w:val="12"/>
        <w:widowControl/>
        <w:spacing w:before="75" w:beforeAutospacing="0" w:after="75" w:afterAutospacing="0"/>
        <w:ind w:firstLine="480"/>
        <w:rPr>
          <w:color w:val="auto"/>
          <w:highlight w:val="none"/>
        </w:rPr>
      </w:pPr>
      <w:r>
        <w:rPr>
          <w:rStyle w:val="16"/>
          <w:rFonts w:hint="eastAsia" w:ascii="宋体" w:hAnsi="宋体" w:eastAsia="宋体" w:cs="宋体"/>
          <w:color w:val="auto"/>
          <w:highlight w:val="none"/>
        </w:rPr>
        <w:t>※若出现本章第</w:t>
      </w:r>
      <w:r>
        <w:rPr>
          <w:rStyle w:val="16"/>
          <w:rFonts w:ascii="Calibri" w:hAnsi="Calibri" w:cs="Calibri"/>
          <w:color w:val="auto"/>
          <w:highlight w:val="none"/>
        </w:rPr>
        <w:t>11.4</w:t>
      </w:r>
      <w:r>
        <w:rPr>
          <w:rStyle w:val="16"/>
          <w:rFonts w:hint="eastAsia" w:ascii="宋体" w:hAnsi="宋体" w:eastAsia="宋体" w:cs="宋体"/>
          <w:color w:val="auto"/>
          <w:highlight w:val="none"/>
        </w:rPr>
        <w:t>条第（</w:t>
      </w:r>
      <w:r>
        <w:rPr>
          <w:rStyle w:val="16"/>
          <w:rFonts w:ascii="Calibri" w:hAnsi="Calibri" w:cs="Calibri"/>
          <w:color w:val="auto"/>
          <w:highlight w:val="none"/>
        </w:rPr>
        <w:t>4</w:t>
      </w:r>
      <w:r>
        <w:rPr>
          <w:rStyle w:val="16"/>
          <w:rFonts w:hint="eastAsia" w:ascii="宋体" w:hAnsi="宋体" w:eastAsia="宋体" w:cs="宋体"/>
          <w:color w:val="auto"/>
          <w:highlight w:val="none"/>
        </w:rPr>
        <w:t>）、（</w:t>
      </w:r>
      <w:r>
        <w:rPr>
          <w:rStyle w:val="16"/>
          <w:rFonts w:ascii="Calibri" w:hAnsi="Calibri" w:cs="Calibri"/>
          <w:color w:val="auto"/>
          <w:highlight w:val="none"/>
        </w:rPr>
        <w:t>5</w:t>
      </w:r>
      <w:r>
        <w:rPr>
          <w:rStyle w:val="16"/>
          <w:rFonts w:hint="eastAsia" w:ascii="宋体" w:hAnsi="宋体" w:eastAsia="宋体" w:cs="宋体"/>
          <w:color w:val="auto"/>
          <w:highlight w:val="none"/>
        </w:rPr>
        <w:t>）、（</w:t>
      </w:r>
      <w:r>
        <w:rPr>
          <w:rStyle w:val="16"/>
          <w:rFonts w:ascii="Calibri" w:hAnsi="Calibri" w:cs="Calibri"/>
          <w:color w:val="auto"/>
          <w:highlight w:val="none"/>
        </w:rPr>
        <w:t>6</w:t>
      </w:r>
      <w:r>
        <w:rPr>
          <w:rStyle w:val="16"/>
          <w:rFonts w:hint="eastAsia" w:ascii="宋体" w:hAnsi="宋体" w:eastAsia="宋体" w:cs="宋体"/>
          <w:color w:val="auto"/>
          <w:highlight w:val="none"/>
        </w:rPr>
        <w:t>）款规定情形之一</w:t>
      </w:r>
      <w:r>
        <w:rPr>
          <w:rFonts w:hint="eastAsia" w:ascii="宋体" w:hAnsi="宋体" w:eastAsia="宋体" w:cs="宋体"/>
          <w:color w:val="auto"/>
          <w:highlight w:val="none"/>
        </w:rPr>
        <w:t>，</w:t>
      </w:r>
      <w:r>
        <w:rPr>
          <w:rStyle w:val="16"/>
          <w:rFonts w:hint="eastAsia" w:ascii="宋体" w:hAnsi="宋体" w:eastAsia="宋体" w:cs="宋体"/>
          <w:color w:val="auto"/>
          <w:highlight w:val="none"/>
        </w:rPr>
        <w:t>则投标人不得在开标会后就开标过程和开标记录涉及或可能涉及的有关事由（包括但不限于：“投标报价”、“投标文件的格式”、“投标文件的提交”、“投标文件的补充、修改或撤回”等）向</w:t>
      </w:r>
      <w:r>
        <w:rPr>
          <w:rFonts w:hint="eastAsia" w:ascii="宋体" w:hAnsi="宋体" w:eastAsia="宋体" w:cs="宋体"/>
          <w:color w:val="auto"/>
          <w:highlight w:val="none"/>
          <w:u w:val="single"/>
        </w:rPr>
        <w:t>福建丰盛项目管理有限公司</w:t>
      </w:r>
      <w:r>
        <w:rPr>
          <w:rStyle w:val="16"/>
          <w:rFonts w:hint="eastAsia" w:ascii="宋体" w:hAnsi="宋体" w:eastAsia="宋体" w:cs="宋体"/>
          <w:color w:val="auto"/>
          <w:highlight w:val="none"/>
        </w:rPr>
        <w:t>提出任何疑义或要求（包括质疑）。</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11.5投标截止时间后，参加投标的投标人不足三家的，不进行开标。同时，本次</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活动结束，</w:t>
      </w:r>
      <w:r>
        <w:rPr>
          <w:rFonts w:hint="eastAsia" w:ascii="宋体" w:hAnsi="宋体" w:eastAsia="宋体" w:cs="宋体"/>
          <w:color w:val="auto"/>
          <w:highlight w:val="none"/>
          <w:u w:val="single"/>
        </w:rPr>
        <w:t>福建丰盛项目管理有限公司</w:t>
      </w:r>
      <w:r>
        <w:rPr>
          <w:rFonts w:hint="eastAsia" w:ascii="宋体" w:hAnsi="宋体" w:eastAsia="宋体" w:cs="宋体"/>
          <w:color w:val="auto"/>
          <w:highlight w:val="none"/>
        </w:rPr>
        <w:t>将依法组织后续</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活动（包括但不限于：重新招标、采用其他方式</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等）。</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2"/>
        <w:widowControl/>
        <w:spacing w:before="75" w:beforeAutospacing="0" w:after="75" w:afterAutospacing="0"/>
        <w:jc w:val="center"/>
        <w:outlineLvl w:val="1"/>
        <w:rPr>
          <w:color w:val="auto"/>
          <w:highlight w:val="none"/>
        </w:rPr>
      </w:pPr>
      <w:r>
        <w:rPr>
          <w:rStyle w:val="16"/>
          <w:rFonts w:hint="eastAsia" w:ascii="宋体" w:hAnsi="宋体" w:eastAsia="宋体" w:cs="宋体"/>
          <w:color w:val="auto"/>
          <w:highlight w:val="none"/>
        </w:rPr>
        <w:t>六、中标与承包合同</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12、中标</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12.1本项目推荐的中标候选人家数：详见招标文件第二章。</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12.2本项目中标人的确定：详见招标文件第二章。</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12.3中标公告</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（1）中标人确定之日起</w:t>
      </w:r>
      <w:r>
        <w:rPr>
          <w:rFonts w:ascii="Calibri" w:hAnsi="Calibri" w:cs="Calibri"/>
          <w:color w:val="auto"/>
          <w:highlight w:val="none"/>
        </w:rPr>
        <w:t>2</w:t>
      </w:r>
      <w:r>
        <w:rPr>
          <w:rFonts w:hint="eastAsia" w:ascii="宋体" w:hAnsi="宋体" w:eastAsia="宋体" w:cs="宋体"/>
          <w:color w:val="auto"/>
          <w:highlight w:val="none"/>
        </w:rPr>
        <w:t>个工作日内，</w:t>
      </w:r>
      <w:r>
        <w:rPr>
          <w:rFonts w:hint="eastAsia" w:ascii="宋体" w:hAnsi="宋体" w:eastAsia="宋体" w:cs="宋体"/>
          <w:color w:val="auto"/>
          <w:highlight w:val="none"/>
          <w:u w:val="single"/>
        </w:rPr>
        <w:t>福建丰盛项目管理有限公司</w:t>
      </w:r>
      <w:r>
        <w:rPr>
          <w:rFonts w:hint="eastAsia" w:ascii="宋体" w:hAnsi="宋体" w:eastAsia="宋体" w:cs="宋体"/>
          <w:color w:val="auto"/>
          <w:highlight w:val="none"/>
        </w:rPr>
        <w:t>将在招标文件载明的指定媒体以中标公告的形式发布中标结果。</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（2）中标公告的公告期限为</w:t>
      </w:r>
      <w:r>
        <w:rPr>
          <w:rFonts w:ascii="Calibri" w:hAnsi="Calibri" w:cs="Calibri"/>
          <w:color w:val="auto"/>
          <w:highlight w:val="none"/>
        </w:rPr>
        <w:t>1</w:t>
      </w:r>
      <w:r>
        <w:rPr>
          <w:rFonts w:hint="eastAsia" w:ascii="宋体" w:hAnsi="宋体" w:eastAsia="宋体" w:cs="宋体"/>
          <w:color w:val="auto"/>
          <w:highlight w:val="none"/>
        </w:rPr>
        <w:t>个工作日。</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（3）中标公告同时作为</w:t>
      </w:r>
      <w:r>
        <w:rPr>
          <w:rFonts w:hint="eastAsia" w:ascii="宋体" w:hAnsi="宋体" w:eastAsia="宋体" w:cs="宋体"/>
          <w:color w:val="auto"/>
          <w:highlight w:val="none"/>
          <w:u w:val="single"/>
        </w:rPr>
        <w:t>福建丰盛项目管理有限公司</w:t>
      </w:r>
      <w:r>
        <w:rPr>
          <w:rFonts w:hint="eastAsia" w:ascii="宋体" w:hAnsi="宋体" w:eastAsia="宋体" w:cs="宋体"/>
          <w:color w:val="auto"/>
          <w:highlight w:val="none"/>
        </w:rPr>
        <w:t>通知除中标人外的其他投标人没有中标的书面形式。</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12.4中标通知书</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（1）中标公告发布的同时，</w:t>
      </w:r>
      <w:r>
        <w:rPr>
          <w:rFonts w:hint="eastAsia" w:ascii="宋体" w:hAnsi="宋体" w:eastAsia="宋体" w:cs="宋体"/>
          <w:color w:val="auto"/>
          <w:highlight w:val="none"/>
          <w:u w:val="single"/>
        </w:rPr>
        <w:t>福建丰盛项目管理有限公司</w:t>
      </w:r>
      <w:r>
        <w:rPr>
          <w:rFonts w:hint="eastAsia" w:ascii="宋体" w:hAnsi="宋体" w:eastAsia="宋体" w:cs="宋体"/>
          <w:color w:val="auto"/>
          <w:highlight w:val="none"/>
        </w:rPr>
        <w:t>将向中标人发出中标通知书。</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（2）中标通知书发出后，</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人不得违法改变中标结果，中标人无正当理由不得放弃中标。</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13、承包合同</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13.1签订承包合同应遵守</w:t>
      </w:r>
      <w:r>
        <w:rPr>
          <w:rFonts w:hint="eastAsia" w:ascii="宋体" w:hAnsi="宋体" w:eastAsia="宋体" w:cs="宋体"/>
          <w:color w:val="auto"/>
          <w:highlight w:val="none"/>
          <w:lang w:eastAsia="zh-CN"/>
        </w:rPr>
        <w:t>相关</w:t>
      </w:r>
      <w:r>
        <w:rPr>
          <w:rFonts w:hint="eastAsia" w:ascii="宋体" w:hAnsi="宋体" w:eastAsia="宋体" w:cs="宋体"/>
          <w:color w:val="auto"/>
          <w:highlight w:val="none"/>
        </w:rPr>
        <w:t>规定，不得对招标文件确定的事项和中标人的投标文件作实质性修改。</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人不得向中标人提出任何不合理的要求作为承包合同的签订条件。</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13.2签订时限：自中标通知书发出之日起</w:t>
      </w:r>
      <w:r>
        <w:rPr>
          <w:rFonts w:ascii="Calibri" w:hAnsi="Calibri" w:cs="Calibri"/>
          <w:color w:val="auto"/>
          <w:highlight w:val="none"/>
        </w:rPr>
        <w:t>30</w:t>
      </w:r>
      <w:r>
        <w:rPr>
          <w:rFonts w:hint="eastAsia" w:ascii="宋体" w:hAnsi="宋体" w:eastAsia="宋体" w:cs="宋体"/>
          <w:color w:val="auto"/>
          <w:highlight w:val="none"/>
        </w:rPr>
        <w:t>个日历日内。</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13.3承包合同的履行、违约责任和解决争议的方法等适用合同法。</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13.4</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人与中标人应根据承包合同的约定依法履行合同义务。</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13.5中标人在</w:t>
      </w:r>
      <w:r>
        <w:rPr>
          <w:rFonts w:hint="eastAsia" w:ascii="宋体" w:hAnsi="宋体" w:eastAsia="宋体" w:cs="宋体"/>
          <w:color w:val="auto"/>
          <w:highlight w:val="none"/>
          <w:lang w:eastAsia="zh-CN"/>
        </w:rPr>
        <w:t>承包合同</w:t>
      </w:r>
      <w:r>
        <w:rPr>
          <w:rFonts w:hint="eastAsia" w:ascii="宋体" w:hAnsi="宋体" w:eastAsia="宋体" w:cs="宋体"/>
          <w:color w:val="auto"/>
          <w:highlight w:val="none"/>
        </w:rPr>
        <w:t>履行过程中应遵守有关法律、法规和规章的强制性规定（即使前述强制性规定有可能在招标文件中未予列明）。</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2"/>
        <w:widowControl/>
        <w:spacing w:before="75" w:beforeAutospacing="0" w:after="75" w:afterAutospacing="0"/>
        <w:jc w:val="center"/>
        <w:outlineLvl w:val="1"/>
        <w:rPr>
          <w:color w:val="auto"/>
          <w:highlight w:val="none"/>
        </w:rPr>
      </w:pPr>
      <w:r>
        <w:rPr>
          <w:rStyle w:val="16"/>
          <w:rFonts w:hint="eastAsia" w:ascii="宋体" w:hAnsi="宋体" w:eastAsia="宋体" w:cs="宋体"/>
          <w:color w:val="auto"/>
          <w:highlight w:val="none"/>
        </w:rPr>
        <w:t>七、询问、质疑与投诉</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14、询问</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14.1潜在投标人或投标人对本次</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活动的有关事项若有疑问，可向福建丰盛项目管理有限公司提出询问，福建丰盛项目管理有限公司将按照政府采购法及实施条例的有关规定进行答复。</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15、质疑</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15.1针对同一</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程序环节的质疑应在政府采购法及实施条例规定的时限内一次性提出，并同时符合下列条件：</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（1）对招标文件提出质疑的，质疑人应为潜在投标人，且两者的身份、名称等均应保持一致。对</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过程、结果提出质疑的，质疑人应为投标人，且两者的身份、名称等均应保持一致。</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（2）质疑人应按照招标文件第二章规定方式提交质疑函。</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（3）质疑函应包括下列主要内容：</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①质疑人的基本信息，至少包括：全称、地址、邮政编码等；</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②所质疑项目的基本信息，至少包括：招标编号、项目名称等；</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③所质疑的具体事项（以下简称：“质疑事项”）；</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④针对质疑事项提出的明确请求，前述明确请求指质疑人提出质疑的目的以及希望福建丰盛项目管理有限公司对其质疑作出的处理结果，如：暂停招标投标活动、修改招标文件、停止或纠正违法违规行为、中标结果无效、废标、重新招标等；</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⑤针对质疑事项导致质疑人自身权益受到损害的必要证明材料，至少包括：</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a.质疑人代表的身份证明材料：</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a2若本项目接受自然人投标且质疑人为自然人的，提供本人的身份证复印件。</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b.其他证明材料（即事实依据和必要的法律依据）包括但不限于下列材料：</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b1所质疑的具体事项是与自已有利害关系的证明材料；</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b2质疑函所述事实存在的证明材料，如：</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文件、</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过程或中标结果违法违规或不符合</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文件要求等证明材料；</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b3依法应终止</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程序的证明材料；</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b4应重新</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的证明材料；</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b5</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文件、</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过程或中标、成交结果损害自已合法权益的证明材料等；</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16"/>
          <w:rFonts w:hint="eastAsia" w:ascii="宋体" w:hAnsi="宋体" w:eastAsia="宋体" w:cs="宋体"/>
          <w:color w:val="auto"/>
          <w:highlight w:val="none"/>
        </w:rPr>
        <w:t>视为无效</w:t>
      </w:r>
      <w:r>
        <w:rPr>
          <w:rFonts w:hint="eastAsia" w:ascii="宋体" w:hAnsi="宋体" w:eastAsia="宋体" w:cs="宋体"/>
          <w:color w:val="auto"/>
          <w:highlight w:val="none"/>
        </w:rPr>
        <w:t>）。</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⑥质疑人代表及其联系方法的信息，至少包括：姓名、手机、电子信箱、邮寄地址等。</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⑦提出质疑的日期。</w:t>
      </w:r>
    </w:p>
    <w:p>
      <w:pPr>
        <w:pStyle w:val="12"/>
        <w:widowControl/>
        <w:ind w:firstLine="480"/>
        <w:rPr>
          <w:color w:val="auto"/>
          <w:highlight w:val="none"/>
        </w:rPr>
      </w:pPr>
      <w:r>
        <w:rPr>
          <w:rStyle w:val="16"/>
          <w:rFonts w:hint="eastAsia" w:ascii="宋体" w:hAnsi="宋体" w:eastAsia="宋体" w:cs="宋体"/>
          <w:color w:val="auto"/>
          <w:highlight w:val="none"/>
        </w:rPr>
        <w:t>※质疑人为法人或其他组织的，质疑函应由单位负责人或委托代理人签字或盖章，并加盖投标人的单位公章。质疑人为自然人的，质疑函应由本人签字。</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15.2对不符合本章第</w:t>
      </w:r>
      <w:r>
        <w:rPr>
          <w:rFonts w:ascii="Calibri" w:hAnsi="Calibri" w:cs="Calibri"/>
          <w:color w:val="auto"/>
          <w:highlight w:val="none"/>
        </w:rPr>
        <w:t>15.1</w:t>
      </w:r>
      <w:r>
        <w:rPr>
          <w:rFonts w:hint="eastAsia" w:ascii="宋体" w:hAnsi="宋体" w:eastAsia="宋体" w:cs="宋体"/>
          <w:color w:val="auto"/>
          <w:highlight w:val="none"/>
        </w:rPr>
        <w:t>条规定的质疑，将按照下列规定进行处理：</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（1）不符合其中第（</w:t>
      </w:r>
      <w:r>
        <w:rPr>
          <w:rFonts w:ascii="Calibri" w:hAnsi="Calibri" w:cs="Calibri"/>
          <w:color w:val="auto"/>
          <w:highlight w:val="none"/>
        </w:rPr>
        <w:t>1</w:t>
      </w:r>
      <w:r>
        <w:rPr>
          <w:rFonts w:hint="eastAsia" w:ascii="宋体" w:hAnsi="宋体" w:eastAsia="宋体" w:cs="宋体"/>
          <w:color w:val="auto"/>
          <w:highlight w:val="none"/>
        </w:rPr>
        <w:t>）、（</w:t>
      </w:r>
      <w:r>
        <w:rPr>
          <w:rFonts w:ascii="Calibri" w:hAnsi="Calibri" w:cs="Calibri"/>
          <w:color w:val="auto"/>
          <w:highlight w:val="none"/>
        </w:rPr>
        <w:t>2</w:t>
      </w:r>
      <w:r>
        <w:rPr>
          <w:rFonts w:hint="eastAsia" w:ascii="宋体" w:hAnsi="宋体" w:eastAsia="宋体" w:cs="宋体"/>
          <w:color w:val="auto"/>
          <w:highlight w:val="none"/>
        </w:rPr>
        <w:t>）条规定的，书面告知质疑人不予受理及其理由。</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（2）不符合其中第（</w:t>
      </w:r>
      <w:r>
        <w:rPr>
          <w:rFonts w:ascii="Calibri" w:hAnsi="Calibri" w:cs="Calibri"/>
          <w:color w:val="auto"/>
          <w:highlight w:val="none"/>
        </w:rPr>
        <w:t>3</w:t>
      </w:r>
      <w:r>
        <w:rPr>
          <w:rFonts w:hint="eastAsia" w:ascii="宋体" w:hAnsi="宋体" w:eastAsia="宋体" w:cs="宋体"/>
          <w:color w:val="auto"/>
          <w:highlight w:val="none"/>
        </w:rPr>
        <w:t>）条规定的，书面告知质疑人修改、补充后在规定时限内重新提交质疑函。</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15.3对符合本章第</w:t>
      </w:r>
      <w:r>
        <w:rPr>
          <w:rFonts w:ascii="Calibri" w:hAnsi="Calibri" w:cs="Calibri"/>
          <w:color w:val="auto"/>
          <w:highlight w:val="none"/>
        </w:rPr>
        <w:t>15.1</w:t>
      </w:r>
      <w:r>
        <w:rPr>
          <w:rFonts w:hint="eastAsia" w:ascii="宋体" w:hAnsi="宋体" w:eastAsia="宋体" w:cs="宋体"/>
          <w:color w:val="auto"/>
          <w:highlight w:val="none"/>
        </w:rPr>
        <w:t>条规定的质疑，将按照政府采购法及实施条例、政府采购质疑和投诉办法的有关规定进行答复。</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15.4招标文件的质疑：详见招标文件第二章。</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16、投诉</w:t>
      </w:r>
    </w:p>
    <w:p>
      <w:pPr>
        <w:pStyle w:val="12"/>
        <w:widowControl/>
        <w:rPr>
          <w:color w:val="auto"/>
          <w:highlight w:val="none"/>
        </w:rPr>
      </w:pPr>
      <w:r>
        <w:rPr>
          <w:rFonts w:hint="eastAsia" w:ascii="宋体" w:hAnsi="宋体" w:eastAsia="宋体" w:cs="宋体"/>
          <w:color w:val="auto"/>
          <w:highlight w:val="none"/>
        </w:rPr>
        <w:t>16.1若对质疑答复不满意或质疑答复未在答复期限内作出，质疑人可在答复期限届满之日起</w:t>
      </w:r>
      <w:r>
        <w:rPr>
          <w:rFonts w:ascii="Calibri" w:hAnsi="Calibri" w:eastAsia="宋体" w:cs="Calibri"/>
          <w:color w:val="auto"/>
          <w:highlight w:val="none"/>
        </w:rPr>
        <w:t>15</w:t>
      </w:r>
      <w:r>
        <w:rPr>
          <w:rFonts w:hint="eastAsia" w:ascii="宋体" w:hAnsi="宋体" w:eastAsia="宋体" w:cs="宋体"/>
          <w:color w:val="auto"/>
          <w:highlight w:val="none"/>
        </w:rPr>
        <w:t>个工作日内按照有关规定向招标文件第二章载明的本项目监督管理部门提起投诉。</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16.2投诉应有明确的请求和必要的证明材料，投诉的事项不得超出已质疑事项的范围。</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2"/>
        <w:widowControl/>
        <w:spacing w:before="75" w:beforeAutospacing="0" w:after="75" w:afterAutospacing="0"/>
        <w:jc w:val="center"/>
        <w:outlineLvl w:val="1"/>
        <w:rPr>
          <w:color w:val="auto"/>
          <w:highlight w:val="none"/>
        </w:rPr>
      </w:pPr>
      <w:r>
        <w:rPr>
          <w:rStyle w:val="16"/>
          <w:rFonts w:hint="eastAsia" w:ascii="宋体" w:hAnsi="宋体" w:eastAsia="宋体" w:cs="宋体"/>
          <w:color w:val="auto"/>
          <w:highlight w:val="none"/>
        </w:rPr>
        <w:t>八、政府采购政策</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17、政府采购政策由财政部根据国家的经济和社会发展政策并会同国家有关部委制定，包括但不限于下列具体政策要求：</w:t>
      </w:r>
    </w:p>
    <w:p>
      <w:pPr>
        <w:pStyle w:val="12"/>
        <w:widowControl/>
        <w:spacing w:before="75" w:beforeAutospacing="0" w:after="75" w:afterAutospacing="0"/>
        <w:ind w:firstLine="480"/>
        <w:rPr>
          <w:rFonts w:ascii="宋体" w:hAnsi="宋体" w:eastAsia="宋体" w:cs="宋体"/>
          <w:color w:val="auto"/>
          <w:highlight w:val="none"/>
        </w:rPr>
      </w:pPr>
      <w:r>
        <w:rPr>
          <w:rFonts w:hint="eastAsia" w:ascii="宋体" w:hAnsi="宋体" w:eastAsia="宋体" w:cs="宋体"/>
          <w:color w:val="auto"/>
          <w:highlight w:val="none"/>
        </w:rPr>
        <w:t>17.1信用记录指由财政部确定的有关网站提供的相关主体信用信息。信用记录的查询及使用应符合财政部文件（财库</w:t>
      </w:r>
      <w:r>
        <w:rPr>
          <w:rFonts w:ascii="Calibri" w:hAnsi="Calibri" w:cs="Calibri"/>
          <w:color w:val="auto"/>
          <w:highlight w:val="none"/>
        </w:rPr>
        <w:t>[2016]125</w:t>
      </w:r>
      <w:r>
        <w:rPr>
          <w:rFonts w:hint="eastAsia" w:ascii="宋体" w:hAnsi="宋体" w:eastAsia="宋体" w:cs="宋体"/>
          <w:color w:val="auto"/>
          <w:highlight w:val="none"/>
        </w:rPr>
        <w:t>号）规定。</w:t>
      </w:r>
    </w:p>
    <w:p>
      <w:pPr>
        <w:pStyle w:val="12"/>
        <w:widowControl/>
        <w:spacing w:before="75" w:beforeAutospacing="0" w:after="75" w:afterAutospacing="0"/>
        <w:ind w:firstLine="480"/>
        <w:rPr>
          <w:rFonts w:ascii="宋体" w:hAnsi="宋体" w:eastAsia="宋体" w:cs="宋体"/>
          <w:color w:val="auto"/>
          <w:highlight w:val="none"/>
        </w:rPr>
      </w:pPr>
      <w:r>
        <w:rPr>
          <w:rFonts w:hint="eastAsia" w:ascii="宋体" w:hAnsi="宋体" w:eastAsia="宋体" w:cs="宋体"/>
          <w:color w:val="auto"/>
          <w:highlight w:val="none"/>
        </w:rPr>
        <w:t>17.2为落实政府采购政策需满足的要求：详见招标文件第一章。</w:t>
      </w:r>
    </w:p>
    <w:p>
      <w:pPr>
        <w:pStyle w:val="12"/>
        <w:widowControl/>
        <w:spacing w:before="75" w:beforeAutospacing="0" w:after="75" w:afterAutospacing="0"/>
        <w:rPr>
          <w:color w:val="auto"/>
          <w:highlight w:val="none"/>
        </w:rPr>
      </w:pP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2"/>
        <w:widowControl/>
        <w:spacing w:before="75" w:beforeAutospacing="0" w:after="75" w:afterAutospacing="0"/>
        <w:jc w:val="center"/>
        <w:outlineLvl w:val="1"/>
        <w:rPr>
          <w:color w:val="auto"/>
          <w:highlight w:val="none"/>
        </w:rPr>
      </w:pPr>
      <w:r>
        <w:rPr>
          <w:rStyle w:val="16"/>
          <w:rFonts w:hint="eastAsia" w:ascii="宋体" w:hAnsi="宋体" w:eastAsia="宋体" w:cs="宋体"/>
          <w:color w:val="auto"/>
          <w:highlight w:val="none"/>
        </w:rPr>
        <w:t>九、本项目的有关信息</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18、本项目的有关信息，包括但不限于：招标公告、更正公告（若有）、招标文件、招标文件的澄清或修改（若有）、中标公告、终止公告（若有）、废标公告（若有）等都将在招标文件载明的指定媒体发布。</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18.1指定媒体：详见招标文件第二章。</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18.2本项目的潜在投标人或投标人应随时关注指定媒体，否则产生不利后果由其自行承担。</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2"/>
        <w:widowControl/>
        <w:spacing w:before="75" w:beforeAutospacing="0" w:after="75" w:afterAutospacing="0"/>
        <w:jc w:val="center"/>
        <w:outlineLvl w:val="1"/>
        <w:rPr>
          <w:color w:val="auto"/>
          <w:highlight w:val="none"/>
        </w:rPr>
      </w:pPr>
      <w:r>
        <w:rPr>
          <w:rStyle w:val="16"/>
          <w:rFonts w:hint="eastAsia" w:ascii="宋体" w:hAnsi="宋体" w:eastAsia="宋体" w:cs="宋体"/>
          <w:color w:val="auto"/>
          <w:highlight w:val="none"/>
        </w:rPr>
        <w:t>十、其他事项</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19、其他事项：详见招标文件第二章。</w:t>
      </w:r>
    </w:p>
    <w:p>
      <w:pPr>
        <w:pStyle w:val="12"/>
        <w:widowControl/>
        <w:spacing w:before="75" w:beforeAutospacing="0" w:after="75" w:afterAutospacing="0"/>
        <w:jc w:val="center"/>
        <w:rPr>
          <w:color w:val="auto"/>
          <w:highlight w:val="none"/>
        </w:rPr>
      </w:pPr>
      <w:r>
        <w:rPr>
          <w:color w:val="auto"/>
          <w:highlight w:val="none"/>
        </w:rPr>
        <w:t> </w:t>
      </w:r>
    </w:p>
    <w:p>
      <w:pPr>
        <w:pStyle w:val="12"/>
        <w:widowControl/>
        <w:spacing w:before="75" w:beforeAutospacing="0" w:after="75" w:afterAutospacing="0"/>
        <w:rPr>
          <w:color w:val="auto"/>
          <w:highlight w:val="none"/>
        </w:rPr>
      </w:pPr>
      <w:r>
        <w:rPr>
          <w:color w:val="auto"/>
          <w:highlight w:val="none"/>
        </w:rPr>
        <w:t> </w:t>
      </w:r>
    </w:p>
    <w:p>
      <w:pPr>
        <w:pStyle w:val="12"/>
        <w:widowControl/>
        <w:spacing w:before="75" w:beforeAutospacing="0" w:after="240" w:afterAutospacing="0"/>
        <w:rPr>
          <w:color w:val="auto"/>
          <w:highlight w:val="none"/>
        </w:rPr>
      </w:pPr>
      <w:r>
        <w:rPr>
          <w:rFonts w:ascii="Calibri" w:hAnsi="Calibri" w:cs="Calibri"/>
          <w:color w:val="auto"/>
          <w:highlight w:val="none"/>
        </w:rPr>
        <w:t> </w:t>
      </w:r>
    </w:p>
    <w:p>
      <w:pPr>
        <w:rPr>
          <w:rStyle w:val="16"/>
          <w:rFonts w:ascii="宋体" w:hAnsi="宋体" w:eastAsia="宋体" w:cs="宋体"/>
          <w:color w:val="auto"/>
          <w:sz w:val="31"/>
          <w:szCs w:val="31"/>
          <w:highlight w:val="none"/>
        </w:rPr>
      </w:pPr>
      <w:r>
        <w:rPr>
          <w:rStyle w:val="16"/>
          <w:rFonts w:hint="eastAsia" w:ascii="宋体" w:hAnsi="宋体" w:eastAsia="宋体" w:cs="宋体"/>
          <w:color w:val="auto"/>
          <w:sz w:val="31"/>
          <w:szCs w:val="31"/>
          <w:highlight w:val="none"/>
        </w:rPr>
        <w:br w:type="page"/>
      </w:r>
    </w:p>
    <w:p>
      <w:pPr>
        <w:pStyle w:val="12"/>
        <w:widowControl/>
        <w:spacing w:before="75" w:beforeAutospacing="0" w:after="75" w:afterAutospacing="0"/>
        <w:jc w:val="center"/>
        <w:outlineLvl w:val="0"/>
        <w:rPr>
          <w:color w:val="auto"/>
          <w:highlight w:val="none"/>
        </w:rPr>
      </w:pPr>
      <w:r>
        <w:rPr>
          <w:rStyle w:val="16"/>
          <w:rFonts w:hint="eastAsia" w:ascii="宋体" w:hAnsi="宋体" w:eastAsia="宋体" w:cs="宋体"/>
          <w:color w:val="auto"/>
          <w:sz w:val="31"/>
          <w:szCs w:val="31"/>
          <w:highlight w:val="none"/>
        </w:rPr>
        <w:t>第四章   资格审查与评标</w:t>
      </w:r>
    </w:p>
    <w:p>
      <w:pPr>
        <w:pStyle w:val="12"/>
        <w:widowControl/>
        <w:spacing w:before="75" w:beforeAutospacing="0" w:after="75" w:afterAutospacing="0"/>
        <w:jc w:val="center"/>
        <w:rPr>
          <w:color w:val="auto"/>
          <w:highlight w:val="none"/>
        </w:rPr>
      </w:pPr>
      <w:r>
        <w:rPr>
          <w:color w:val="auto"/>
          <w:highlight w:val="none"/>
        </w:rPr>
        <w:t> </w:t>
      </w:r>
    </w:p>
    <w:p>
      <w:pPr>
        <w:pStyle w:val="12"/>
        <w:widowControl/>
        <w:numPr>
          <w:ilvl w:val="0"/>
          <w:numId w:val="1"/>
        </w:numPr>
        <w:spacing w:before="75" w:beforeAutospacing="0" w:after="75" w:afterAutospacing="0"/>
        <w:jc w:val="center"/>
        <w:outlineLvl w:val="1"/>
        <w:rPr>
          <w:rStyle w:val="16"/>
          <w:rFonts w:ascii="宋体" w:hAnsi="宋体" w:eastAsia="宋体" w:cs="宋体"/>
          <w:color w:val="auto"/>
          <w:highlight w:val="none"/>
        </w:rPr>
      </w:pPr>
      <w:r>
        <w:rPr>
          <w:rStyle w:val="16"/>
          <w:rFonts w:hint="eastAsia" w:ascii="宋体" w:hAnsi="宋体" w:eastAsia="宋体" w:cs="宋体"/>
          <w:color w:val="auto"/>
          <w:highlight w:val="none"/>
        </w:rPr>
        <w:t>资格审查</w:t>
      </w:r>
    </w:p>
    <w:p>
      <w:pPr>
        <w:pStyle w:val="12"/>
        <w:widowControl/>
        <w:spacing w:before="75" w:beforeAutospacing="0" w:after="75" w:afterAutospacing="0"/>
        <w:rPr>
          <w:rFonts w:ascii="宋体" w:hAnsi="宋体" w:eastAsia="宋体" w:cs="宋体"/>
          <w:color w:val="auto"/>
          <w:highlight w:val="none"/>
        </w:rPr>
      </w:pP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1、开标结束后，由</w:t>
      </w:r>
      <w:r>
        <w:rPr>
          <w:rFonts w:hint="eastAsia" w:ascii="宋体" w:hAnsi="宋体" w:eastAsia="宋体" w:cs="宋体"/>
          <w:color w:val="auto"/>
          <w:highlight w:val="none"/>
          <w:u w:val="single"/>
        </w:rPr>
        <w:t>福建丰盛项目管理有限公司</w:t>
      </w:r>
      <w:r>
        <w:rPr>
          <w:rFonts w:hint="eastAsia" w:ascii="宋体" w:hAnsi="宋体" w:eastAsia="宋体" w:cs="宋体"/>
          <w:color w:val="auto"/>
          <w:highlight w:val="none"/>
        </w:rPr>
        <w:t>负责资格审查小组的组建及资格审查工作的组织。</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1.1资格审查小组由</w:t>
      </w:r>
      <w:r>
        <w:rPr>
          <w:rFonts w:ascii="Calibri" w:hAnsi="Calibri" w:cs="Calibri"/>
          <w:color w:val="auto"/>
          <w:highlight w:val="none"/>
        </w:rPr>
        <w:t>3</w:t>
      </w:r>
      <w:r>
        <w:rPr>
          <w:rFonts w:hint="eastAsia" w:ascii="宋体" w:hAnsi="宋体" w:eastAsia="宋体" w:cs="宋体"/>
          <w:color w:val="auto"/>
          <w:highlight w:val="none"/>
        </w:rPr>
        <w:t>人组成，并负责具体审查事务，其中：由</w:t>
      </w:r>
      <w:r>
        <w:rPr>
          <w:rFonts w:hint="eastAsia" w:ascii="宋体" w:hAnsi="宋体" w:eastAsia="宋体" w:cs="宋体"/>
          <w:color w:val="auto"/>
          <w:highlight w:val="none"/>
          <w:lang w:eastAsia="zh-CN"/>
        </w:rPr>
        <w:t>招标人</w:t>
      </w:r>
      <w:r>
        <w:rPr>
          <w:rFonts w:hint="eastAsia" w:ascii="宋体" w:hAnsi="宋体" w:eastAsia="宋体" w:cs="宋体"/>
          <w:color w:val="auto"/>
          <w:highlight w:val="none"/>
        </w:rPr>
        <w:t>派出的</w:t>
      </w:r>
      <w:r>
        <w:rPr>
          <w:rFonts w:hint="eastAsia" w:ascii="宋体" w:hAnsi="宋体" w:eastAsia="宋体" w:cs="宋体"/>
          <w:color w:val="auto"/>
          <w:highlight w:val="none"/>
          <w:lang w:eastAsia="zh-CN"/>
        </w:rPr>
        <w:t>招标人</w:t>
      </w:r>
      <w:r>
        <w:rPr>
          <w:rFonts w:hint="eastAsia" w:ascii="宋体" w:hAnsi="宋体" w:eastAsia="宋体" w:cs="宋体"/>
          <w:color w:val="auto"/>
          <w:highlight w:val="none"/>
        </w:rPr>
        <w:t>代表至少</w:t>
      </w:r>
      <w:r>
        <w:rPr>
          <w:rFonts w:hint="eastAsia" w:ascii="宋体" w:hAnsi="宋体" w:eastAsia="宋体" w:cs="宋体"/>
          <w:color w:val="auto"/>
          <w:highlight w:val="none"/>
          <w:u w:val="single"/>
          <w:lang w:val="en-US" w:eastAsia="zh-CN"/>
        </w:rPr>
        <w:t>1</w:t>
      </w:r>
      <w:r>
        <w:rPr>
          <w:rFonts w:hint="eastAsia" w:ascii="宋体" w:hAnsi="宋体" w:eastAsia="宋体" w:cs="宋体"/>
          <w:color w:val="auto"/>
          <w:highlight w:val="none"/>
        </w:rPr>
        <w:t>人，由</w:t>
      </w:r>
      <w:r>
        <w:rPr>
          <w:rFonts w:hint="eastAsia" w:ascii="宋体" w:hAnsi="宋体" w:eastAsia="宋体" w:cs="宋体"/>
          <w:color w:val="auto"/>
          <w:highlight w:val="none"/>
          <w:u w:val="single"/>
        </w:rPr>
        <w:t>福建丰盛项目管理有限公司</w:t>
      </w:r>
      <w:r>
        <w:rPr>
          <w:rFonts w:hint="eastAsia" w:ascii="宋体" w:hAnsi="宋体" w:eastAsia="宋体" w:cs="宋体"/>
          <w:color w:val="auto"/>
          <w:highlight w:val="none"/>
        </w:rPr>
        <w:t>派出的工作人员至少</w:t>
      </w:r>
      <w:r>
        <w:rPr>
          <w:rFonts w:hint="eastAsia" w:ascii="宋体" w:hAnsi="宋体" w:eastAsia="宋体" w:cs="宋体"/>
          <w:color w:val="auto"/>
          <w:highlight w:val="none"/>
          <w:u w:val="single"/>
        </w:rPr>
        <w:t>1</w:t>
      </w:r>
      <w:r>
        <w:rPr>
          <w:rFonts w:hint="eastAsia" w:ascii="宋体" w:hAnsi="宋体" w:eastAsia="宋体" w:cs="宋体"/>
          <w:color w:val="auto"/>
          <w:highlight w:val="none"/>
        </w:rPr>
        <w:t>人，其余</w:t>
      </w:r>
      <w:r>
        <w:rPr>
          <w:rFonts w:hint="eastAsia" w:ascii="宋体" w:hAnsi="宋体" w:eastAsia="宋体" w:cs="宋体"/>
          <w:color w:val="auto"/>
          <w:highlight w:val="none"/>
          <w:u w:val="single"/>
          <w:lang w:val="en-US" w:eastAsia="zh-CN"/>
        </w:rPr>
        <w:t>1</w:t>
      </w:r>
      <w:r>
        <w:rPr>
          <w:rFonts w:hint="eastAsia" w:ascii="宋体" w:hAnsi="宋体" w:eastAsia="宋体" w:cs="宋体"/>
          <w:color w:val="auto"/>
          <w:highlight w:val="none"/>
        </w:rPr>
        <w:t>人可为</w:t>
      </w:r>
      <w:r>
        <w:rPr>
          <w:rFonts w:hint="eastAsia" w:ascii="宋体" w:hAnsi="宋体" w:eastAsia="宋体" w:cs="宋体"/>
          <w:color w:val="auto"/>
          <w:highlight w:val="none"/>
          <w:lang w:eastAsia="zh-CN"/>
        </w:rPr>
        <w:t>招标人</w:t>
      </w:r>
      <w:r>
        <w:rPr>
          <w:rFonts w:hint="eastAsia" w:ascii="宋体" w:hAnsi="宋体" w:eastAsia="宋体" w:cs="宋体"/>
          <w:color w:val="auto"/>
          <w:highlight w:val="none"/>
        </w:rPr>
        <w:t>代表或</w:t>
      </w:r>
      <w:r>
        <w:rPr>
          <w:rFonts w:hint="eastAsia" w:ascii="宋体" w:hAnsi="宋体" w:eastAsia="宋体" w:cs="宋体"/>
          <w:color w:val="auto"/>
          <w:highlight w:val="none"/>
          <w:u w:val="single"/>
        </w:rPr>
        <w:t>福建丰盛项目管理有限公司</w:t>
      </w:r>
      <w:r>
        <w:rPr>
          <w:rFonts w:hint="eastAsia" w:ascii="宋体" w:hAnsi="宋体" w:eastAsia="宋体" w:cs="宋体"/>
          <w:color w:val="auto"/>
          <w:highlight w:val="none"/>
        </w:rPr>
        <w:t>的工作人员。</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1.2资格审查的依据是招标文件和投标文件。</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1.3资格审查的范围及内容：投标文件（资格及资信证明部分），具体如下：</w:t>
      </w:r>
    </w:p>
    <w:p>
      <w:pPr>
        <w:pStyle w:val="12"/>
        <w:widowControl/>
        <w:rPr>
          <w:color w:val="auto"/>
          <w:highlight w:val="none"/>
        </w:rPr>
      </w:pPr>
      <w:r>
        <w:rPr>
          <w:rFonts w:hint="eastAsia" w:ascii="宋体" w:hAnsi="宋体" w:eastAsia="宋体" w:cs="宋体"/>
          <w:color w:val="auto"/>
          <w:highlight w:val="none"/>
        </w:rPr>
        <w:t>  （1）“投标函”；</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（2）“投标人的资格及资信证明文件”</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①一般资格证明文件：</w:t>
      </w:r>
    </w:p>
    <w:tbl>
      <w:tblPr>
        <w:tblStyle w:val="13"/>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225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color w:val="auto"/>
                <w:highlight w:val="none"/>
              </w:rPr>
            </w:pPr>
            <w:r>
              <w:rPr>
                <w:rFonts w:ascii="宋体" w:hAnsi="宋体" w:eastAsia="宋体" w:cs="宋体"/>
                <w:b/>
                <w:color w:val="auto"/>
                <w:kern w:val="0"/>
                <w:sz w:val="24"/>
                <w:highlight w:val="none"/>
                <w:lang w:bidi="ar"/>
              </w:rPr>
              <w:t>明细</w:t>
            </w:r>
          </w:p>
        </w:tc>
        <w:tc>
          <w:tcPr>
            <w:tcW w:w="275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color w:val="auto"/>
                <w:highlight w:val="none"/>
              </w:rPr>
            </w:pPr>
            <w:r>
              <w:rPr>
                <w:rFonts w:ascii="宋体" w:hAnsi="宋体" w:eastAsia="宋体" w:cs="宋体"/>
                <w:b/>
                <w:color w:val="auto"/>
                <w:kern w:val="0"/>
                <w:sz w:val="24"/>
                <w:highlight w:val="none"/>
                <w:lang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s="宋体"/>
                <w:color w:val="auto"/>
                <w:kern w:val="0"/>
                <w:sz w:val="24"/>
                <w:highlight w:val="none"/>
                <w:lang w:bidi="ar"/>
              </w:rPr>
              <w:t>单位负责人授权书（若有）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s="宋体"/>
                <w:color w:val="auto"/>
                <w:kern w:val="0"/>
                <w:sz w:val="24"/>
                <w:highlight w:val="none"/>
                <w:lang w:bidi="ar"/>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投标人（自然人除外）：若投标人代表为单位负责人授权的委托代理人，应提供本授权书；若投标人代表为单位负责人，应在此项下提交其身份证正反面复印件，可不提供本授权书。4、投标人为自然人的，可不填写本授权书。5、纸质投标文件正本中的本授权书（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s="宋体"/>
                <w:color w:val="auto"/>
                <w:kern w:val="0"/>
                <w:sz w:val="24"/>
                <w:highlight w:val="none"/>
                <w:lang w:bidi="ar"/>
              </w:rPr>
              <w:t>营业执照等证明文件</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s="宋体"/>
                <w:color w:val="auto"/>
                <w:kern w:val="0"/>
                <w:sz w:val="24"/>
                <w:highlight w:val="none"/>
                <w:lang w:bidi="ar"/>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2、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s="宋体"/>
                <w:color w:val="auto"/>
                <w:kern w:val="0"/>
                <w:sz w:val="24"/>
                <w:highlight w:val="none"/>
                <w:lang w:bidi="ar"/>
              </w:rPr>
              <w:t>财务状况报告（财务报告、或资信证明、或投标担保函）</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s="宋体"/>
                <w:color w:val="auto"/>
                <w:kern w:val="0"/>
                <w:sz w:val="24"/>
                <w:highlight w:val="none"/>
                <w:lang w:bidi="ar"/>
              </w:rPr>
              <w:t>1、投标人提供的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无法按照第1.1、1.2条规定提供财务报告复印件的投标人（包括但不限于：成立年限满1年及以上的投标人、成立年限满半年但不足1年的投标人、成立年限不足半年的投标人），应选择提供资信证明复印件或投标担保函复印件，其中：非自然人的投标人选择提供资信证明的，还应附上其开户（基本存款账户）许可证复印件。 2、“财政部门认可的政府采购专业担保机构”应符合《财政部关于开展政府采购信用担保试点工作方案》（财库[2011]124号）的规定。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s="宋体"/>
                <w:color w:val="auto"/>
                <w:kern w:val="0"/>
                <w:sz w:val="24"/>
                <w:highlight w:val="none"/>
                <w:lang w:bidi="ar"/>
              </w:rPr>
              <w:t>依法缴纳税收证明材料</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s="宋体"/>
                <w:color w:val="auto"/>
                <w:kern w:val="0"/>
                <w:sz w:val="24"/>
                <w:highlight w:val="none"/>
                <w:lang w:bidi="ar"/>
              </w:rPr>
              <w:t>1、投标人提供的税收凭据复印件应符合下列规定：1.1投标截止时间前（不含投标截止时间的当月）已依法缴纳税收的投标人，提供投标截止时间前六个月（不含投标截止时间的当月）中任一月份的税收凭据复印件。1.2投标截止时间的当月成立且已依法缴纳税收的投标人，提供投标截止时间当月的税收凭据复印件。1.3投标截止时间的当月成立但因税务机关原因导致其尚未依法缴纳税收的投标人，提供依法缴纳税收承诺书原件（格式自拟），该承诺书视同税收凭据。2、“依法缴纳税收证明材料”有欠缴记录的，视为未依法缴纳税收。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s="宋体"/>
                <w:color w:val="auto"/>
                <w:kern w:val="0"/>
                <w:sz w:val="24"/>
                <w:highlight w:val="none"/>
                <w:lang w:bidi="ar"/>
              </w:rPr>
              <w:t>依法缴纳社会保障资金证明材料</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s="宋体"/>
                <w:color w:val="auto"/>
                <w:kern w:val="0"/>
                <w:sz w:val="24"/>
                <w:highlight w:val="none"/>
                <w:lang w:bidi="ar"/>
              </w:rPr>
              <w:t>1、投标人提供的社会保险凭据复印件应符合下列规定：1.1投标截止时间前（不含投标截止时间的当月）已依法缴纳社会保障资金的投标人，提供投标截止时间前六个月（不含投标截止时间的当月）中任一月份的社会保险凭据复印件。1.2投标截止时间的当月成立且已依法缴纳社会保障资金的投标人，提供投标截止时间当月的社会保险凭据复印件。1.3投标截止时间的当月成立但因税务机关/社会保障资金管理机关原因导致其尚未依法缴纳社会保障资金的投标人，提供依法缴纳社会保障资金承诺书原件（格式自拟），该承诺书视同社会保险凭据。2、“依法缴纳社会保障资金证明材料”有欠缴记录的，视为未依法缴纳社会保障资金。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s="宋体"/>
                <w:color w:val="auto"/>
                <w:kern w:val="0"/>
                <w:sz w:val="24"/>
                <w:highlight w:val="none"/>
                <w:lang w:bidi="ar"/>
              </w:rPr>
              <w:t>具备履行合同所必需设备和专业技术能力的声明函（若有）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s="宋体"/>
                <w:color w:val="auto"/>
                <w:kern w:val="0"/>
                <w:sz w:val="24"/>
                <w:highlight w:val="none"/>
                <w:lang w:bidi="ar"/>
              </w:rPr>
              <w:t>1、招标文件未要求投标人提供“具备履行合同所必需的设备和专业技术能力专项证明材料”的，投标人应提供本声明函。2、招标文件要求投标人提供“具备履行合同所必需的设备和专业技术能力专项证明材料”的，投标人可不提供本声明函。3、纸质投标文件正本中的本声明函（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s="宋体"/>
                <w:color w:val="auto"/>
                <w:kern w:val="0"/>
                <w:sz w:val="24"/>
                <w:highlight w:val="none"/>
                <w:lang w:bidi="ar"/>
              </w:rPr>
              <w:t>参加采购活动前三年内在经营活动中没有重大违法记录书面声明</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s="宋体"/>
                <w:color w:val="auto"/>
                <w:kern w:val="0"/>
                <w:sz w:val="24"/>
                <w:highlight w:val="none"/>
                <w:lang w:bidi="ar"/>
              </w:rPr>
              <w:t>1、“重大违法记录”指投标人因违法经营受到刑事处罚或责令停产停业、吊销许可证或执照、较大数额罚款等行政处罚。2、无法提供有效期内检察机关行贿犯罪档案查询结果告知函的，也应对近三年无行贿犯罪记录进行声明。3、纸质投标文件正本中的本声明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s="宋体"/>
                <w:color w:val="auto"/>
                <w:kern w:val="0"/>
                <w:sz w:val="24"/>
                <w:highlight w:val="none"/>
                <w:lang w:bidi="ar"/>
              </w:rPr>
              <w:t>信用记录查询结果</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s="宋体"/>
                <w:color w:val="auto"/>
                <w:kern w:val="0"/>
                <w:sz w:val="24"/>
                <w:highlight w:val="none"/>
                <w:lang w:bidi="ar"/>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s="宋体"/>
                <w:color w:val="auto"/>
                <w:kern w:val="0"/>
                <w:sz w:val="24"/>
                <w:highlight w:val="none"/>
                <w:lang w:bidi="ar"/>
              </w:rPr>
              <w:t>中小企业声明函（专门面向中小企业或小型、微型企业适用，若有）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s="宋体"/>
                <w:color w:val="auto"/>
                <w:kern w:val="0"/>
                <w:sz w:val="24"/>
                <w:highlight w:val="none"/>
                <w:lang w:bidi="ar"/>
              </w:rPr>
              <w:t>1、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2、投标人为监狱企业的，可不填写本声明函，根据其提供的由省级以上监狱管理局、戒毒管理局（含新疆生产建设兵团）出具的属于监狱企业的证明文件进行认定，监狱企业视同小型、微型企业。3、投标人为残疾人福利性单位的，可不填写本声明函，根据其提供的《残疾人福利性单位声明函》进行认定，残疾人福利性单位视同小型、微型企业。4、纸质投标文件正本中的本声明函（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s="宋体"/>
                <w:color w:val="auto"/>
                <w:kern w:val="0"/>
                <w:sz w:val="24"/>
                <w:highlight w:val="none"/>
                <w:lang w:bidi="ar"/>
              </w:rPr>
              <w:t>联合体协议（若有）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s="宋体"/>
                <w:color w:val="auto"/>
                <w:kern w:val="0"/>
                <w:sz w:val="24"/>
                <w:highlight w:val="none"/>
                <w:lang w:bidi="ar"/>
              </w:rPr>
              <w:t>1、招标文件接受联合体投标且投标人为联合体的，投标人应提供本协议；否则无须提供。2、本协议由委托代理人签字或盖章的，应按照招标文件第七章载明的格式提供“单位负责人授权书”。3、纸质投标文件正本中的本协议（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s="宋体"/>
                <w:color w:val="auto"/>
                <w:kern w:val="0"/>
                <w:sz w:val="24"/>
                <w:highlight w:val="none"/>
                <w:lang w:bidi="ar"/>
              </w:rPr>
              <w:t>检察机关行贿犯罪档案查询结果告知函（若有）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s="宋体"/>
                <w:color w:val="auto"/>
                <w:kern w:val="0"/>
                <w:sz w:val="24"/>
                <w:highlight w:val="none"/>
                <w:lang w:bidi="ar"/>
              </w:rPr>
              <w:t>1、未提供行贿犯罪档案查询结果或查询结果表明投标人有行贿犯罪记录的，投标无效。2、无法提供有效期内检察机关行贿犯罪档案查询结果告知函的，也应对近三年无行贿犯罪记录进行声明。3、告知函应在有效期内且内容完整、清晰、整洁，否则投标无效。4、有效期内的告知函复印件（含扫描件）及符合招标文件第七章规定的打印件（或截图），无论内容中是否注明“复印件无效”，均视同有效。5、无法获取有效期内检察机关行贿犯罪档案查询结果告知函的，应在a7《参加采购活动前三年内在经营活动中没有重大违法记录书面声明》中对近三年无行贿犯罪记录进行声明。※投标人应按照招标文件第七章规定提供。</w:t>
            </w:r>
          </w:p>
        </w:tc>
      </w:tr>
    </w:tbl>
    <w:p>
      <w:pPr>
        <w:widowControl/>
        <w:jc w:val="left"/>
        <w:rPr>
          <w:color w:val="auto"/>
          <w:highlight w:val="none"/>
        </w:rPr>
      </w:pPr>
      <w:r>
        <w:rPr>
          <w:rFonts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②.其他资格证明文件：</w:t>
      </w:r>
    </w:p>
    <w:p>
      <w:pPr>
        <w:pStyle w:val="12"/>
        <w:widowControl/>
        <w:spacing w:before="75" w:beforeAutospacing="0" w:after="75" w:afterAutospacing="0"/>
        <w:ind w:firstLine="480"/>
        <w:rPr>
          <w:color w:val="auto"/>
          <w:highlight w:val="none"/>
        </w:rPr>
      </w:pPr>
      <w:r>
        <w:rPr>
          <w:rStyle w:val="16"/>
          <w:color w:val="auto"/>
          <w:highlight w:val="none"/>
        </w:rPr>
        <w:t>包：1</w:t>
      </w:r>
      <w:r>
        <w:rPr>
          <w:color w:val="auto"/>
          <w:highlight w:val="none"/>
        </w:rPr>
        <w:t xml:space="preserve"> </w:t>
      </w:r>
    </w:p>
    <w:p>
      <w:pPr>
        <w:widowControl/>
        <w:jc w:val="left"/>
        <w:rPr>
          <w:color w:val="auto"/>
          <w:highlight w:val="none"/>
        </w:rPr>
      </w:pPr>
      <w:r>
        <w:rPr>
          <w:rFonts w:hint="eastAsia" w:ascii="宋体" w:hAnsi="宋体" w:eastAsia="宋体" w:cs="宋体"/>
          <w:b/>
          <w:bCs/>
          <w:color w:val="auto"/>
          <w:kern w:val="0"/>
          <w:sz w:val="24"/>
          <w:highlight w:val="none"/>
          <w:lang w:eastAsia="zh-CN" w:bidi="ar"/>
        </w:rPr>
        <w:t>无</w:t>
      </w:r>
      <w:r>
        <w:rPr>
          <w:rFonts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（3）投标保证金。</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1.4有下列情形之一的，</w:t>
      </w:r>
      <w:r>
        <w:rPr>
          <w:rStyle w:val="16"/>
          <w:rFonts w:hint="eastAsia" w:ascii="宋体" w:hAnsi="宋体" w:eastAsia="宋体" w:cs="宋体"/>
          <w:color w:val="auto"/>
          <w:highlight w:val="none"/>
        </w:rPr>
        <w:t>资格审查不合格：</w:t>
      </w:r>
      <w:r>
        <w:rPr>
          <w:rStyle w:val="16"/>
          <w:rFonts w:hint="eastAsia" w:ascii="宋体" w:hAnsi="宋体" w:eastAsia="宋体" w:cs="宋体"/>
          <w:color w:val="auto"/>
          <w:highlight w:val="none"/>
        </w:rPr>
        <w:br w:type="textWrapping"/>
      </w:r>
      <w:r>
        <w:rPr>
          <w:rFonts w:hint="eastAsia" w:ascii="宋体" w:hAnsi="宋体" w:eastAsia="宋体" w:cs="宋体"/>
          <w:color w:val="auto"/>
          <w:highlight w:val="none"/>
        </w:rPr>
        <w:t>  （1）一般情形：</w:t>
      </w:r>
    </w:p>
    <w:tbl>
      <w:tblPr>
        <w:tblStyle w:val="13"/>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color w:val="auto"/>
                <w:highlight w:val="none"/>
              </w:rPr>
            </w:pPr>
            <w:r>
              <w:rPr>
                <w:rFonts w:ascii="宋体" w:hAnsi="宋体" w:eastAsia="宋体" w:cs="宋体"/>
                <w:b/>
                <w:color w:val="auto"/>
                <w:kern w:val="0"/>
                <w:sz w:val="24"/>
                <w:highlight w:val="none"/>
                <w:lang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s="宋体"/>
                <w:color w:val="auto"/>
                <w:kern w:val="0"/>
                <w:sz w:val="24"/>
                <w:highlight w:val="none"/>
                <w:lang w:bidi="ar"/>
              </w:rPr>
              <w:t>未按照招标文件规定提交投标函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s="宋体"/>
                <w:color w:val="auto"/>
                <w:kern w:val="0"/>
                <w:sz w:val="24"/>
                <w:highlight w:val="none"/>
                <w:lang w:bidi="ar"/>
              </w:rPr>
              <w:t>未按照招标文件规定提交投标人的资格及资信文件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s="宋体"/>
                <w:color w:val="auto"/>
                <w:kern w:val="0"/>
                <w:sz w:val="24"/>
                <w:highlight w:val="none"/>
                <w:lang w:bidi="ar"/>
              </w:rPr>
              <w:t>未按照招标文件规定提交投标保证金</w:t>
            </w:r>
          </w:p>
        </w:tc>
      </w:tr>
    </w:tbl>
    <w:p>
      <w:pPr>
        <w:widowControl/>
        <w:jc w:val="left"/>
        <w:rPr>
          <w:color w:val="auto"/>
          <w:highlight w:val="none"/>
        </w:rPr>
      </w:pPr>
      <w:r>
        <w:rPr>
          <w:rFonts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（2）本项目规定的其他情形：</w:t>
      </w:r>
    </w:p>
    <w:p>
      <w:pPr>
        <w:pStyle w:val="12"/>
        <w:widowControl/>
        <w:ind w:firstLine="480"/>
        <w:rPr>
          <w:color w:val="auto"/>
          <w:highlight w:val="none"/>
        </w:rPr>
      </w:pPr>
      <w:r>
        <w:rPr>
          <w:rStyle w:val="16"/>
          <w:color w:val="auto"/>
          <w:highlight w:val="none"/>
        </w:rPr>
        <w:t>包：1</w:t>
      </w:r>
      <w:r>
        <w:rPr>
          <w:color w:val="auto"/>
          <w:highlight w:val="none"/>
        </w:rPr>
        <w:t xml:space="preserve"> </w:t>
      </w:r>
      <w:r>
        <w:rPr>
          <w:color w:val="auto"/>
          <w:highlight w:val="none"/>
        </w:rPr>
        <w:br w:type="textWrapping"/>
      </w:r>
      <w:r>
        <w:rPr>
          <w:rStyle w:val="16"/>
          <w:color w:val="auto"/>
          <w:highlight w:val="none"/>
        </w:rPr>
        <w:t>         无</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1.5若本项目接受联合体投标且投标人为联合体，联合体中有同类资质的供应商按照联合体分工承担相同工作的，应先按照资质等级较低的供应商确定资质等级，再按照本章第</w:t>
      </w:r>
      <w:r>
        <w:rPr>
          <w:rFonts w:ascii="Calibri" w:hAnsi="Calibri" w:cs="Calibri"/>
          <w:color w:val="auto"/>
          <w:highlight w:val="none"/>
        </w:rPr>
        <w:t>1.2</w:t>
      </w:r>
      <w:r>
        <w:rPr>
          <w:rFonts w:hint="eastAsia" w:ascii="宋体" w:hAnsi="宋体" w:eastAsia="宋体" w:cs="宋体"/>
          <w:color w:val="auto"/>
          <w:highlight w:val="none"/>
        </w:rPr>
        <w:t>、</w:t>
      </w:r>
      <w:r>
        <w:rPr>
          <w:rFonts w:ascii="Calibri" w:hAnsi="Calibri" w:cs="Calibri"/>
          <w:color w:val="auto"/>
          <w:highlight w:val="none"/>
        </w:rPr>
        <w:t>1.3</w:t>
      </w:r>
      <w:r>
        <w:rPr>
          <w:rFonts w:hint="eastAsia" w:ascii="宋体" w:hAnsi="宋体" w:eastAsia="宋体" w:cs="宋体"/>
          <w:color w:val="auto"/>
          <w:highlight w:val="none"/>
        </w:rPr>
        <w:t>、</w:t>
      </w:r>
      <w:r>
        <w:rPr>
          <w:rFonts w:ascii="Calibri" w:hAnsi="Calibri" w:cs="Calibri"/>
          <w:color w:val="auto"/>
          <w:highlight w:val="none"/>
        </w:rPr>
        <w:t>1.4</w:t>
      </w:r>
      <w:r>
        <w:rPr>
          <w:rFonts w:hint="eastAsia" w:ascii="宋体" w:hAnsi="宋体" w:eastAsia="宋体" w:cs="宋体"/>
          <w:color w:val="auto"/>
          <w:highlight w:val="none"/>
        </w:rPr>
        <w:t>条规定进行资格审查。</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2、资格审查情况不得私自外泄，有关信息由</w:t>
      </w:r>
      <w:r>
        <w:rPr>
          <w:rFonts w:hint="eastAsia" w:ascii="宋体" w:hAnsi="宋体" w:eastAsia="宋体" w:cs="宋体"/>
          <w:color w:val="auto"/>
          <w:highlight w:val="none"/>
          <w:u w:val="single"/>
        </w:rPr>
        <w:t>福建丰盛项目管理有限公司</w:t>
      </w:r>
      <w:r>
        <w:rPr>
          <w:rFonts w:hint="eastAsia" w:ascii="宋体" w:hAnsi="宋体" w:eastAsia="宋体" w:cs="宋体"/>
          <w:color w:val="auto"/>
          <w:highlight w:val="none"/>
        </w:rPr>
        <w:t>统一对外发布。</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3、资格审查合格的投标人不足三家的，不进行评标。同时，本次</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活动结束，</w:t>
      </w:r>
      <w:r>
        <w:rPr>
          <w:rFonts w:hint="eastAsia" w:ascii="宋体" w:hAnsi="宋体" w:eastAsia="宋体" w:cs="宋体"/>
          <w:color w:val="auto"/>
          <w:highlight w:val="none"/>
          <w:u w:val="single"/>
        </w:rPr>
        <w:t>福建丰盛项目管理有限公司</w:t>
      </w:r>
      <w:r>
        <w:rPr>
          <w:rFonts w:hint="eastAsia" w:ascii="宋体" w:hAnsi="宋体" w:eastAsia="宋体" w:cs="宋体"/>
          <w:color w:val="auto"/>
          <w:highlight w:val="none"/>
        </w:rPr>
        <w:t>将依法组织后续</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活动（包括但不限于：重新招标、采用其他方式</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等）。</w:t>
      </w:r>
    </w:p>
    <w:p>
      <w:pPr>
        <w:pStyle w:val="12"/>
        <w:widowControl/>
        <w:spacing w:before="75" w:beforeAutospacing="0" w:after="75" w:afterAutospacing="0"/>
        <w:rPr>
          <w:color w:val="auto"/>
          <w:highlight w:val="none"/>
        </w:rPr>
      </w:pPr>
      <w:r>
        <w:rPr>
          <w:color w:val="auto"/>
          <w:highlight w:val="none"/>
        </w:rPr>
        <w:t> </w:t>
      </w:r>
    </w:p>
    <w:p>
      <w:pPr>
        <w:pStyle w:val="12"/>
        <w:widowControl/>
        <w:spacing w:before="75" w:beforeAutospacing="0" w:after="75" w:afterAutospacing="0"/>
        <w:jc w:val="center"/>
        <w:outlineLvl w:val="1"/>
        <w:rPr>
          <w:color w:val="auto"/>
          <w:highlight w:val="none"/>
        </w:rPr>
      </w:pPr>
      <w:r>
        <w:rPr>
          <w:rStyle w:val="16"/>
          <w:rFonts w:hint="eastAsia" w:ascii="宋体" w:hAnsi="宋体" w:eastAsia="宋体" w:cs="宋体"/>
          <w:color w:val="auto"/>
          <w:highlight w:val="none"/>
        </w:rPr>
        <w:t>二、评标</w:t>
      </w:r>
    </w:p>
    <w:p>
      <w:pPr>
        <w:pStyle w:val="12"/>
        <w:widowControl/>
        <w:spacing w:before="75" w:beforeAutospacing="0" w:after="75" w:afterAutospacing="0"/>
        <w:rPr>
          <w:rFonts w:ascii="宋体" w:hAnsi="宋体" w:eastAsia="宋体" w:cs="宋体"/>
          <w:color w:val="auto"/>
          <w:highlight w:val="none"/>
        </w:rPr>
      </w:pP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4、资格审查结束后，由福建丰盛项目管理有限公司负责评标委员会的组建及评标工作的组织。</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5、评标委员会</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5.1</w:t>
      </w:r>
      <w:r>
        <w:rPr>
          <w:rFonts w:hint="eastAsia" w:ascii="宋体" w:hAnsi="宋体" w:cs="宋体"/>
          <w:color w:val="auto"/>
          <w:highlight w:val="none"/>
        </w:rPr>
        <w:t>评标委员会由</w:t>
      </w:r>
      <w:r>
        <w:rPr>
          <w:rFonts w:hint="eastAsia" w:ascii="宋体" w:hAnsi="宋体" w:cs="宋体"/>
          <w:color w:val="auto"/>
          <w:highlight w:val="none"/>
          <w:lang w:eastAsia="zh-CN"/>
        </w:rPr>
        <w:t>招标人</w:t>
      </w:r>
      <w:r>
        <w:rPr>
          <w:rFonts w:hint="eastAsia" w:ascii="宋体" w:hAnsi="宋体" w:cs="宋体"/>
          <w:color w:val="auto"/>
          <w:highlight w:val="none"/>
        </w:rPr>
        <w:t>代表和评标专家两部分共</w:t>
      </w:r>
      <w:r>
        <w:rPr>
          <w:rFonts w:hint="eastAsia" w:ascii="宋体" w:hAnsi="宋体" w:cs="宋体"/>
          <w:color w:val="auto"/>
          <w:highlight w:val="none"/>
          <w:u w:val="single"/>
        </w:rPr>
        <w:t>5</w:t>
      </w:r>
      <w:r>
        <w:rPr>
          <w:rFonts w:hint="eastAsia" w:ascii="宋体" w:hAnsi="宋体" w:cs="宋体"/>
          <w:color w:val="auto"/>
          <w:highlight w:val="none"/>
        </w:rPr>
        <w:t>人（以下简称“评委”）组成，其中：由</w:t>
      </w:r>
      <w:r>
        <w:rPr>
          <w:rFonts w:hint="eastAsia" w:ascii="宋体" w:hAnsi="宋体" w:cs="宋体"/>
          <w:color w:val="auto"/>
          <w:highlight w:val="none"/>
          <w:lang w:eastAsia="zh-CN"/>
        </w:rPr>
        <w:t>招标人</w:t>
      </w:r>
      <w:r>
        <w:rPr>
          <w:rFonts w:hint="eastAsia" w:ascii="宋体" w:hAnsi="宋体" w:cs="宋体"/>
          <w:color w:val="auto"/>
          <w:highlight w:val="none"/>
        </w:rPr>
        <w:t>派出的</w:t>
      </w:r>
      <w:r>
        <w:rPr>
          <w:rFonts w:hint="eastAsia" w:ascii="宋体" w:hAnsi="宋体" w:cs="宋体"/>
          <w:color w:val="auto"/>
          <w:highlight w:val="none"/>
          <w:lang w:eastAsia="zh-CN"/>
        </w:rPr>
        <w:t>招标人</w:t>
      </w:r>
      <w:r>
        <w:rPr>
          <w:rFonts w:hint="eastAsia" w:ascii="宋体" w:hAnsi="宋体" w:cs="宋体"/>
          <w:color w:val="auto"/>
          <w:highlight w:val="none"/>
        </w:rPr>
        <w:t>代表</w:t>
      </w:r>
      <w:r>
        <w:rPr>
          <w:rFonts w:hint="eastAsia" w:ascii="宋体" w:hAnsi="宋体" w:cs="宋体"/>
          <w:color w:val="auto"/>
          <w:highlight w:val="none"/>
          <w:u w:val="single"/>
        </w:rPr>
        <w:t>1</w:t>
      </w:r>
      <w:r>
        <w:rPr>
          <w:rFonts w:hint="eastAsia" w:ascii="宋体" w:hAnsi="宋体" w:cs="宋体"/>
          <w:color w:val="auto"/>
          <w:highlight w:val="none"/>
        </w:rPr>
        <w:t>人，由代理机构评审专家库产生的评标专家</w:t>
      </w:r>
      <w:r>
        <w:rPr>
          <w:rFonts w:hint="eastAsia" w:ascii="宋体" w:hAnsi="宋体" w:cs="宋体"/>
          <w:color w:val="auto"/>
          <w:highlight w:val="none"/>
          <w:u w:val="single"/>
        </w:rPr>
        <w:t>4</w:t>
      </w:r>
      <w:r>
        <w:rPr>
          <w:rFonts w:hint="eastAsia" w:ascii="宋体" w:hAnsi="宋体" w:cs="宋体"/>
          <w:color w:val="auto"/>
          <w:highlight w:val="none"/>
        </w:rPr>
        <w:t>人，</w:t>
      </w:r>
      <w:r>
        <w:rPr>
          <w:rFonts w:hint="eastAsia" w:ascii="宋体" w:hAnsi="宋体" w:cs="宋体"/>
          <w:color w:val="auto"/>
          <w:highlight w:val="none"/>
          <w:lang w:eastAsia="zh-CN"/>
        </w:rPr>
        <w:t>招标人</w:t>
      </w:r>
      <w:r>
        <w:rPr>
          <w:rFonts w:hint="eastAsia" w:ascii="宋体" w:hAnsi="宋体" w:cs="宋体"/>
          <w:color w:val="auto"/>
          <w:highlight w:val="none"/>
        </w:rPr>
        <w:t>代表未派出的，评标委员会则全部由评标专家组成</w:t>
      </w:r>
      <w:r>
        <w:rPr>
          <w:rFonts w:hint="eastAsia" w:ascii="宋体" w:hAnsi="宋体" w:eastAsia="宋体" w:cs="宋体"/>
          <w:color w:val="auto"/>
          <w:highlight w:val="none"/>
        </w:rPr>
        <w:t>。</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5.2评标委员会负责具体评标事务，并按照下列原则依法独立履行有关职责：</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（1）评标应保护国家利益、社会公共利益和各方当事人合法权益，提高</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效益，保证项目质量。</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（2）评标应遵循公平、公正、科学、严谨和择优原则。</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（3）评标的依据是招标文件和投标文件。</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（4）应按照招标文件规定推荐中标候选人或确定中标人。</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（5）评标应遵守下列评标纪律：</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①评标情况不得私自外泄，有关信息由</w:t>
      </w:r>
      <w:r>
        <w:rPr>
          <w:rFonts w:hint="eastAsia" w:ascii="宋体" w:hAnsi="宋体" w:eastAsia="宋体" w:cs="宋体"/>
          <w:color w:val="auto"/>
          <w:highlight w:val="none"/>
          <w:u w:val="single"/>
        </w:rPr>
        <w:t>福建丰盛项目管理有限公司</w:t>
      </w:r>
      <w:r>
        <w:rPr>
          <w:rFonts w:hint="eastAsia" w:ascii="宋体" w:hAnsi="宋体" w:eastAsia="宋体" w:cs="宋体"/>
          <w:color w:val="auto"/>
          <w:highlight w:val="none"/>
        </w:rPr>
        <w:t>统一对外发布。</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②对</w:t>
      </w:r>
      <w:r>
        <w:rPr>
          <w:rFonts w:hint="eastAsia" w:ascii="宋体" w:hAnsi="宋体" w:eastAsia="宋体" w:cs="宋体"/>
          <w:color w:val="auto"/>
          <w:highlight w:val="none"/>
          <w:u w:val="single"/>
        </w:rPr>
        <w:t>福建丰盛项目管理有限公司</w:t>
      </w:r>
      <w:r>
        <w:rPr>
          <w:rFonts w:hint="eastAsia" w:ascii="宋体" w:hAnsi="宋体" w:eastAsia="宋体" w:cs="宋体"/>
          <w:color w:val="auto"/>
          <w:highlight w:val="none"/>
        </w:rPr>
        <w:t>或投标人提供的要求保密的资料，不得摘记翻印和外传。</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③不得收受投标人或有关人员的任何礼物，不得串联鼓动其他人袒护某投标人。若与投标人存在利害关系，则应主动声明并回避。</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④全体评委应按照招标文件规定进行评标，一切认定事项应查有实据且不得弄虚作假。</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⑤评标中应充分发扬民主，推荐中标候选人或确定中标人后要服从评标报告。</w:t>
      </w:r>
    </w:p>
    <w:p>
      <w:pPr>
        <w:pStyle w:val="12"/>
        <w:widowControl/>
        <w:spacing w:before="75" w:beforeAutospacing="0" w:after="75" w:afterAutospacing="0"/>
        <w:ind w:firstLine="480"/>
        <w:rPr>
          <w:color w:val="auto"/>
          <w:highlight w:val="none"/>
        </w:rPr>
      </w:pPr>
      <w:r>
        <w:rPr>
          <w:rStyle w:val="16"/>
          <w:rFonts w:hint="eastAsia" w:ascii="宋体" w:hAnsi="宋体" w:eastAsia="宋体" w:cs="宋体"/>
          <w:color w:val="auto"/>
          <w:highlight w:val="none"/>
        </w:rPr>
        <w:t>※对违反评标纪律的评委，将取消其评委资格，对评标工作造成严重损失者将予以通报批评乃至追究法律责任。</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6、评标程序</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6.1评标前的准备工作</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（1）全体评委应认真审阅招标文件，了解评委应履行或遵守的职责、义务和评标纪律。</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（2）参加评标委员会的</w:t>
      </w:r>
      <w:r>
        <w:rPr>
          <w:rFonts w:hint="eastAsia" w:ascii="宋体" w:hAnsi="宋体" w:eastAsia="宋体" w:cs="宋体"/>
          <w:color w:val="auto"/>
          <w:highlight w:val="none"/>
          <w:lang w:eastAsia="zh-CN"/>
        </w:rPr>
        <w:t>招标人</w:t>
      </w:r>
      <w:r>
        <w:rPr>
          <w:rFonts w:hint="eastAsia" w:ascii="宋体" w:hAnsi="宋体" w:eastAsia="宋体" w:cs="宋体"/>
          <w:color w:val="auto"/>
          <w:highlight w:val="none"/>
        </w:rPr>
        <w:t>代表可对本项目的背景和</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需求进行介绍，介绍材料应以书面形式提交（随</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文件一并存档），介绍内容不得含有歧视性、倾向性意见，不得超出招标文件所述范围。</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6.2符合性审查</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（1）评标委员会依据招标文件的实质性要求，对通过资格审查的投标文件进行符合性审查，以确定其是否满足招标文件的实质性要求。</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（2）满足招标文件的实质性要求指投标文件对招标文件实质性要求的响应不存在重大偏差或保留。</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（3）重大偏差或保留指影响到招标文件规定的合同范围、合同履行及影响关键质量和性能，或限制了</w:t>
      </w:r>
      <w:r>
        <w:rPr>
          <w:rFonts w:hint="eastAsia" w:ascii="宋体" w:hAnsi="宋体" w:eastAsia="宋体" w:cs="宋体"/>
          <w:color w:val="auto"/>
          <w:highlight w:val="none"/>
          <w:lang w:eastAsia="zh-CN"/>
        </w:rPr>
        <w:t>招标人</w:t>
      </w:r>
      <w:r>
        <w:rPr>
          <w:rFonts w:hint="eastAsia" w:ascii="宋体" w:hAnsi="宋体" w:eastAsia="宋体" w:cs="宋体"/>
          <w:color w:val="auto"/>
          <w:highlight w:val="none"/>
        </w:rPr>
        <w:t>的权利，或反对、减少投标人的义务，而纠正这些重大偏差或保留将影响到其他提交实质性响应投标的投标人的公平竞争地位。</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（5）评标委员会对所有投标人都执行相同的程序和标准。</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（6）有下列情形之一的，</w:t>
      </w:r>
      <w:r>
        <w:rPr>
          <w:rStyle w:val="16"/>
          <w:rFonts w:hint="eastAsia" w:ascii="宋体" w:hAnsi="宋体" w:eastAsia="宋体" w:cs="宋体"/>
          <w:color w:val="auto"/>
          <w:highlight w:val="none"/>
        </w:rPr>
        <w:t>符合性审查不合格：</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①项目一般情形：</w:t>
      </w:r>
    </w:p>
    <w:tbl>
      <w:tblPr>
        <w:tblStyle w:val="13"/>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color w:val="auto"/>
                <w:highlight w:val="none"/>
              </w:rPr>
            </w:pPr>
            <w:r>
              <w:rPr>
                <w:rFonts w:ascii="宋体" w:hAnsi="宋体" w:eastAsia="宋体" w:cs="宋体"/>
                <w:b/>
                <w:color w:val="auto"/>
                <w:kern w:val="0"/>
                <w:sz w:val="24"/>
                <w:highlight w:val="none"/>
                <w:lang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s="宋体"/>
                <w:color w:val="auto"/>
                <w:kern w:val="0"/>
                <w:sz w:val="24"/>
                <w:highlight w:val="none"/>
                <w:lang w:bidi="ar"/>
              </w:rPr>
              <w:t>违反招标文件中载明“投标无效”条款的规定；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s="宋体"/>
                <w:color w:val="auto"/>
                <w:kern w:val="0"/>
                <w:sz w:val="24"/>
                <w:highlight w:val="none"/>
                <w:lang w:bidi="ar"/>
              </w:rPr>
              <w:t>属于招标文件第三章第10.12条规定的投标无效情形；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s="宋体"/>
                <w:color w:val="auto"/>
                <w:kern w:val="0"/>
                <w:sz w:val="24"/>
                <w:highlight w:val="none"/>
                <w:lang w:bidi="ar"/>
              </w:rPr>
              <w:t>投标文件对招标文件实质性要求的响应存在重大偏离或保留。</w:t>
            </w:r>
          </w:p>
        </w:tc>
      </w:tr>
    </w:tbl>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②本项目规定的其他情形：</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包：1 </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包一般情形 </w:t>
      </w:r>
      <w:r>
        <w:rPr>
          <w:color w:val="auto"/>
          <w:highlight w:val="none"/>
        </w:rPr>
        <w:br w:type="textWrapping"/>
      </w:r>
      <w:r>
        <w:rPr>
          <w:rStyle w:val="16"/>
          <w:color w:val="auto"/>
          <w:highlight w:val="none"/>
        </w:rPr>
        <w:t>         无</w:t>
      </w:r>
    </w:p>
    <w:p>
      <w:pPr>
        <w:widowControl/>
        <w:jc w:val="left"/>
        <w:rPr>
          <w:color w:val="auto"/>
          <w:highlight w:val="none"/>
        </w:rPr>
      </w:pPr>
      <w:r>
        <w:rPr>
          <w:rFonts w:ascii="宋体" w:hAnsi="宋体" w:eastAsia="宋体" w:cs="宋体"/>
          <w:color w:val="auto"/>
          <w:kern w:val="0"/>
          <w:sz w:val="24"/>
          <w:highlight w:val="none"/>
          <w:lang w:bidi="ar"/>
        </w:rPr>
        <w:br w:type="textWrapping"/>
      </w:r>
      <w:r>
        <w:rPr>
          <w:rFonts w:ascii="宋体" w:hAnsi="宋体" w:eastAsia="宋体" w:cs="宋体"/>
          <w:color w:val="auto"/>
          <w:kern w:val="0"/>
          <w:sz w:val="24"/>
          <w:highlight w:val="none"/>
          <w:lang w:bidi="ar"/>
        </w:rPr>
        <w:t xml:space="preserve">技术符合性 </w:t>
      </w:r>
    </w:p>
    <w:tbl>
      <w:tblPr>
        <w:tblStyle w:val="13"/>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color w:val="auto"/>
                <w:highlight w:val="none"/>
              </w:rPr>
            </w:pPr>
            <w:r>
              <w:rPr>
                <w:rFonts w:ascii="宋体" w:hAnsi="宋体" w:eastAsia="宋体" w:cs="宋体"/>
                <w:b/>
                <w:color w:val="auto"/>
                <w:kern w:val="0"/>
                <w:sz w:val="24"/>
                <w:highlight w:val="none"/>
                <w:lang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hint="eastAsia"/>
                <w:color w:val="auto"/>
                <w:sz w:val="24"/>
                <w:highlight w:val="none"/>
              </w:rPr>
              <w:t>投标响应须全部满足基本技术要求；任何一项不满足为</w:t>
            </w:r>
            <w:r>
              <w:rPr>
                <w:rFonts w:hint="eastAsia"/>
                <w:b/>
                <w:bCs/>
                <w:color w:val="auto"/>
                <w:sz w:val="24"/>
                <w:highlight w:val="none"/>
              </w:rPr>
              <w:t>无效投标</w:t>
            </w:r>
          </w:p>
        </w:tc>
      </w:tr>
    </w:tbl>
    <w:p>
      <w:pPr>
        <w:widowControl/>
        <w:jc w:val="left"/>
        <w:rPr>
          <w:color w:val="auto"/>
          <w:highlight w:val="none"/>
        </w:rPr>
      </w:pPr>
      <w:r>
        <w:rPr>
          <w:rFonts w:ascii="宋体" w:hAnsi="宋体" w:eastAsia="宋体" w:cs="宋体"/>
          <w:color w:val="auto"/>
          <w:kern w:val="0"/>
          <w:sz w:val="24"/>
          <w:highlight w:val="none"/>
          <w:lang w:bidi="ar"/>
        </w:rPr>
        <w:br w:type="textWrapping"/>
      </w:r>
      <w:r>
        <w:rPr>
          <w:rFonts w:ascii="宋体" w:hAnsi="宋体" w:eastAsia="宋体" w:cs="宋体"/>
          <w:color w:val="auto"/>
          <w:kern w:val="0"/>
          <w:sz w:val="24"/>
          <w:highlight w:val="none"/>
          <w:lang w:bidi="ar"/>
        </w:rPr>
        <w:t xml:space="preserve">商务符合性 </w:t>
      </w:r>
    </w:p>
    <w:tbl>
      <w:tblPr>
        <w:tblStyle w:val="13"/>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color w:val="auto"/>
                <w:highlight w:val="none"/>
              </w:rPr>
            </w:pPr>
            <w:r>
              <w:rPr>
                <w:rFonts w:ascii="宋体" w:hAnsi="宋体" w:eastAsia="宋体" w:cs="宋体"/>
                <w:b/>
                <w:color w:val="auto"/>
                <w:kern w:val="0"/>
                <w:sz w:val="24"/>
                <w:highlight w:val="none"/>
                <w:lang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s="宋体"/>
                <w:color w:val="auto"/>
                <w:kern w:val="0"/>
                <w:sz w:val="24"/>
                <w:highlight w:val="none"/>
                <w:lang w:bidi="ar"/>
              </w:rPr>
              <w:t>无</w:t>
            </w:r>
          </w:p>
        </w:tc>
      </w:tr>
    </w:tbl>
    <w:p>
      <w:pPr>
        <w:widowControl/>
        <w:jc w:val="left"/>
        <w:rPr>
          <w:color w:val="auto"/>
          <w:highlight w:val="none"/>
        </w:rPr>
      </w:pPr>
      <w:r>
        <w:rPr>
          <w:rFonts w:ascii="宋体" w:hAnsi="宋体" w:eastAsia="宋体" w:cs="宋体"/>
          <w:color w:val="auto"/>
          <w:kern w:val="0"/>
          <w:sz w:val="24"/>
          <w:highlight w:val="none"/>
          <w:lang w:bidi="ar"/>
        </w:rPr>
        <w:br w:type="textWrapping"/>
      </w:r>
      <w:r>
        <w:rPr>
          <w:rFonts w:ascii="宋体" w:hAnsi="宋体" w:eastAsia="宋体" w:cs="宋体"/>
          <w:color w:val="auto"/>
          <w:kern w:val="0"/>
          <w:sz w:val="24"/>
          <w:highlight w:val="none"/>
          <w:lang w:bidi="ar"/>
        </w:rPr>
        <w:t>附加符合性</w:t>
      </w:r>
      <w:r>
        <w:rPr>
          <w:rFonts w:ascii="宋体" w:hAnsi="宋体" w:eastAsia="宋体" w:cs="宋体"/>
          <w:color w:val="auto"/>
          <w:kern w:val="0"/>
          <w:sz w:val="24"/>
          <w:highlight w:val="none"/>
          <w:lang w:bidi="ar"/>
        </w:rPr>
        <w:br w:type="textWrapping"/>
      </w:r>
      <w:r>
        <w:rPr>
          <w:rStyle w:val="16"/>
          <w:rFonts w:ascii="宋体" w:hAnsi="宋体" w:eastAsia="宋体" w:cs="宋体"/>
          <w:color w:val="auto"/>
          <w:kern w:val="0"/>
          <w:sz w:val="24"/>
          <w:highlight w:val="none"/>
          <w:lang w:bidi="ar"/>
        </w:rPr>
        <w:t>         无</w:t>
      </w:r>
      <w:r>
        <w:rPr>
          <w:rFonts w:ascii="宋体" w:hAnsi="宋体" w:eastAsia="宋体" w:cs="宋体"/>
          <w:color w:val="auto"/>
          <w:kern w:val="0"/>
          <w:sz w:val="24"/>
          <w:highlight w:val="none"/>
          <w:lang w:bidi="ar"/>
        </w:rPr>
        <w:br w:type="textWrapping"/>
      </w:r>
      <w:r>
        <w:rPr>
          <w:rFonts w:ascii="宋体" w:hAnsi="宋体" w:eastAsia="宋体" w:cs="宋体"/>
          <w:color w:val="auto"/>
          <w:kern w:val="0"/>
          <w:sz w:val="24"/>
          <w:highlight w:val="none"/>
          <w:lang w:bidi="ar"/>
        </w:rPr>
        <w:br w:type="textWrapping"/>
      </w:r>
      <w:r>
        <w:rPr>
          <w:rFonts w:ascii="宋体" w:hAnsi="宋体" w:eastAsia="宋体" w:cs="宋体"/>
          <w:color w:val="auto"/>
          <w:kern w:val="0"/>
          <w:sz w:val="24"/>
          <w:highlight w:val="none"/>
          <w:lang w:bidi="ar"/>
        </w:rPr>
        <w:t xml:space="preserve">价格符合性 </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6.3澄清有关问题</w:t>
      </w:r>
    </w:p>
    <w:p>
      <w:pPr>
        <w:pStyle w:val="12"/>
        <w:widowControl/>
        <w:spacing w:before="75" w:beforeAutospacing="0" w:after="75" w:afterAutospacing="0"/>
        <w:ind w:firstLine="420"/>
        <w:rPr>
          <w:color w:val="auto"/>
          <w:highlight w:val="none"/>
        </w:rPr>
      </w:pPr>
      <w:r>
        <w:rPr>
          <w:rFonts w:hint="eastAsia" w:ascii="宋体" w:hAnsi="宋体" w:eastAsia="宋体" w:cs="宋体"/>
          <w:color w:val="auto"/>
          <w:highlight w:val="none"/>
        </w:rPr>
        <w:t>（1）对通过符合性审查的投标文件中含义不明确、同类问题表述不一致或有明显文字和计算错误的内容，评标委员会将以书面形式要求投标人作出必要的澄清、说明或补正。</w:t>
      </w:r>
    </w:p>
    <w:p>
      <w:pPr>
        <w:pStyle w:val="12"/>
        <w:widowControl/>
        <w:spacing w:before="75" w:beforeAutospacing="0" w:after="75" w:afterAutospacing="0"/>
        <w:ind w:firstLine="420"/>
        <w:rPr>
          <w:color w:val="auto"/>
          <w:highlight w:val="none"/>
        </w:rPr>
      </w:pPr>
      <w:r>
        <w:rPr>
          <w:rFonts w:hint="eastAsia" w:ascii="宋体" w:hAnsi="宋体" w:eastAsia="宋体" w:cs="宋体"/>
          <w:color w:val="auto"/>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（3）投标文件报价出现前后不一致的，除招标文件另有规定外，按照下列规定修正：</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①开标一览表内容与投标文件中相应内容不一致的，以开标一览表为准；</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②大写金额和小写金额不一致的，以大写金额为准；</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③单价金额小数点或百分比有明显错位的，以开标一览表的总价为准，并修改单价；</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④总价金额与按照单价汇总金额不一致的，以单价金额计算结果为准。</w:t>
      </w:r>
    </w:p>
    <w:p>
      <w:pPr>
        <w:pStyle w:val="12"/>
        <w:widowControl/>
        <w:spacing w:before="75" w:beforeAutospacing="0" w:after="75" w:afterAutospacing="0"/>
        <w:ind w:firstLine="480"/>
        <w:rPr>
          <w:color w:val="auto"/>
          <w:highlight w:val="none"/>
        </w:rPr>
      </w:pPr>
      <w:r>
        <w:rPr>
          <w:rStyle w:val="16"/>
          <w:rFonts w:hint="eastAsia" w:ascii="宋体" w:hAnsi="宋体" w:eastAsia="宋体" w:cs="宋体"/>
          <w:color w:val="auto"/>
          <w:highlight w:val="none"/>
        </w:rPr>
        <w:t>※同时出现两种以上不一致的，按照前款规定的顺序修正。修正后的报价应按照本章第</w:t>
      </w:r>
      <w:r>
        <w:rPr>
          <w:rStyle w:val="16"/>
          <w:rFonts w:ascii="Calibri" w:hAnsi="Calibri" w:cs="Calibri"/>
          <w:color w:val="auto"/>
          <w:highlight w:val="none"/>
        </w:rPr>
        <w:t>6.3</w:t>
      </w:r>
      <w:r>
        <w:rPr>
          <w:rStyle w:val="16"/>
          <w:rFonts w:hint="eastAsia" w:ascii="宋体" w:hAnsi="宋体" w:eastAsia="宋体" w:cs="宋体"/>
          <w:color w:val="auto"/>
          <w:highlight w:val="none"/>
        </w:rPr>
        <w:t>条第（</w:t>
      </w:r>
      <w:r>
        <w:rPr>
          <w:rStyle w:val="16"/>
          <w:rFonts w:ascii="Calibri" w:hAnsi="Calibri" w:cs="Calibri"/>
          <w:color w:val="auto"/>
          <w:highlight w:val="none"/>
        </w:rPr>
        <w:t>1</w:t>
      </w:r>
      <w:r>
        <w:rPr>
          <w:rStyle w:val="16"/>
          <w:rFonts w:hint="eastAsia" w:ascii="宋体" w:hAnsi="宋体" w:eastAsia="宋体" w:cs="宋体"/>
          <w:color w:val="auto"/>
          <w:highlight w:val="none"/>
        </w:rPr>
        <w:t>）、（</w:t>
      </w:r>
      <w:r>
        <w:rPr>
          <w:rStyle w:val="16"/>
          <w:rFonts w:ascii="Calibri" w:hAnsi="Calibri" w:cs="Calibri"/>
          <w:color w:val="auto"/>
          <w:highlight w:val="none"/>
        </w:rPr>
        <w:t>2</w:t>
      </w:r>
      <w:r>
        <w:rPr>
          <w:rStyle w:val="16"/>
          <w:rFonts w:hint="eastAsia" w:ascii="宋体" w:hAnsi="宋体" w:eastAsia="宋体" w:cs="宋体"/>
          <w:color w:val="auto"/>
          <w:highlight w:val="none"/>
        </w:rPr>
        <w:t>）款规定经投标人确认后产生约束力，投标人不确认的，其投标无效。</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（4）关于细微偏差</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②评标委员会将以书面形式要求存在细微偏差的投标人在评标委员会规定的时间内予以补正。若无法补正，则评标委员会将按照不利于投标人的内容进行认定。</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（5）关于投标描述（即投标文件中描述的内容）</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①投标描述前后不一致且不涉及证明材料的：按照本章第</w:t>
      </w:r>
      <w:r>
        <w:rPr>
          <w:rFonts w:ascii="Calibri" w:hAnsi="Calibri" w:cs="Calibri"/>
          <w:color w:val="auto"/>
          <w:highlight w:val="none"/>
        </w:rPr>
        <w:t>6.3</w:t>
      </w:r>
      <w:r>
        <w:rPr>
          <w:rFonts w:hint="eastAsia" w:ascii="宋体" w:hAnsi="宋体" w:eastAsia="宋体" w:cs="宋体"/>
          <w:color w:val="auto"/>
          <w:highlight w:val="none"/>
        </w:rPr>
        <w:t>条第（</w:t>
      </w:r>
      <w:r>
        <w:rPr>
          <w:rFonts w:ascii="Calibri" w:hAnsi="Calibri" w:cs="Calibri"/>
          <w:color w:val="auto"/>
          <w:highlight w:val="none"/>
        </w:rPr>
        <w:t>1</w:t>
      </w:r>
      <w:r>
        <w:rPr>
          <w:rFonts w:hint="eastAsia" w:ascii="宋体" w:hAnsi="宋体" w:eastAsia="宋体" w:cs="宋体"/>
          <w:color w:val="auto"/>
          <w:highlight w:val="none"/>
        </w:rPr>
        <w:t>）、（</w:t>
      </w:r>
      <w:r>
        <w:rPr>
          <w:rFonts w:ascii="Calibri" w:hAnsi="Calibri" w:cs="Calibri"/>
          <w:color w:val="auto"/>
          <w:highlight w:val="none"/>
        </w:rPr>
        <w:t>2</w:t>
      </w:r>
      <w:r>
        <w:rPr>
          <w:rFonts w:hint="eastAsia" w:ascii="宋体" w:hAnsi="宋体" w:eastAsia="宋体" w:cs="宋体"/>
          <w:color w:val="auto"/>
          <w:highlight w:val="none"/>
        </w:rPr>
        <w:t>）款规定执行。</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②投标描述与证明材料不一致或多份证明材料之间不一致的：</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a.评标委员会将要求投标人进行书面澄清，并按照不利于投标人的内容进行评标。</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b.投标人按照要求进行澄清的，</w:t>
      </w:r>
      <w:r>
        <w:rPr>
          <w:rFonts w:hint="eastAsia" w:ascii="宋体" w:hAnsi="宋体" w:eastAsia="宋体" w:cs="宋体"/>
          <w:color w:val="auto"/>
          <w:highlight w:val="none"/>
          <w:lang w:eastAsia="zh-CN"/>
        </w:rPr>
        <w:t>招标人</w:t>
      </w:r>
      <w:r>
        <w:rPr>
          <w:rFonts w:hint="eastAsia" w:ascii="宋体" w:hAnsi="宋体" w:eastAsia="宋体" w:cs="宋体"/>
          <w:color w:val="auto"/>
          <w:highlight w:val="none"/>
        </w:rPr>
        <w:t>以澄清内容为准进行验收；投标人未按照要求进行澄清的，</w:t>
      </w:r>
      <w:r>
        <w:rPr>
          <w:rFonts w:hint="eastAsia" w:ascii="宋体" w:hAnsi="宋体" w:eastAsia="宋体" w:cs="宋体"/>
          <w:color w:val="auto"/>
          <w:highlight w:val="none"/>
          <w:lang w:eastAsia="zh-CN"/>
        </w:rPr>
        <w:t>招标人</w:t>
      </w:r>
      <w:r>
        <w:rPr>
          <w:rFonts w:hint="eastAsia" w:ascii="宋体" w:hAnsi="宋体" w:eastAsia="宋体" w:cs="宋体"/>
          <w:color w:val="auto"/>
          <w:highlight w:val="none"/>
        </w:rPr>
        <w:t>以投标描述或证明材料中有利于</w:t>
      </w:r>
      <w:r>
        <w:rPr>
          <w:rFonts w:hint="eastAsia" w:ascii="宋体" w:hAnsi="宋体" w:eastAsia="宋体" w:cs="宋体"/>
          <w:color w:val="auto"/>
          <w:highlight w:val="none"/>
          <w:lang w:eastAsia="zh-CN"/>
        </w:rPr>
        <w:t>招标人</w:t>
      </w:r>
      <w:r>
        <w:rPr>
          <w:rFonts w:hint="eastAsia" w:ascii="宋体" w:hAnsi="宋体" w:eastAsia="宋体" w:cs="宋体"/>
          <w:color w:val="auto"/>
          <w:highlight w:val="none"/>
        </w:rPr>
        <w:t>的内容进行验收。投标人应对证明材料的真实性、有效性承担责任。</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③若中标人的投标描述存在前后不一致、与证明材料不一致或多份证明材料之间不一致情形之一但在评标中未能发现，则</w:t>
      </w:r>
      <w:r>
        <w:rPr>
          <w:rFonts w:hint="eastAsia" w:ascii="宋体" w:hAnsi="宋体" w:eastAsia="宋体" w:cs="宋体"/>
          <w:color w:val="auto"/>
          <w:highlight w:val="none"/>
          <w:lang w:eastAsia="zh-CN"/>
        </w:rPr>
        <w:t>招标人</w:t>
      </w:r>
      <w:r>
        <w:rPr>
          <w:rFonts w:hint="eastAsia" w:ascii="宋体" w:hAnsi="宋体" w:eastAsia="宋体" w:cs="宋体"/>
          <w:color w:val="auto"/>
          <w:highlight w:val="none"/>
        </w:rPr>
        <w:t>将以投标描述或证明材料中有利于</w:t>
      </w:r>
      <w:r>
        <w:rPr>
          <w:rFonts w:hint="eastAsia" w:ascii="宋体" w:hAnsi="宋体" w:eastAsia="宋体" w:cs="宋体"/>
          <w:color w:val="auto"/>
          <w:highlight w:val="none"/>
          <w:lang w:eastAsia="zh-CN"/>
        </w:rPr>
        <w:t>招标人</w:t>
      </w:r>
      <w:r>
        <w:rPr>
          <w:rFonts w:hint="eastAsia" w:ascii="宋体" w:hAnsi="宋体" w:eastAsia="宋体" w:cs="宋体"/>
          <w:color w:val="auto"/>
          <w:highlight w:val="none"/>
        </w:rPr>
        <w:t>的内容进行验收，中标人应自行承担由此产生的风险及费用。</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6.4比较与评价</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（1）按照本章第</w:t>
      </w:r>
      <w:r>
        <w:rPr>
          <w:rFonts w:ascii="Calibri" w:hAnsi="Calibri" w:cs="Calibri"/>
          <w:color w:val="auto"/>
          <w:highlight w:val="none"/>
        </w:rPr>
        <w:t>7</w:t>
      </w:r>
      <w:r>
        <w:rPr>
          <w:rFonts w:hint="eastAsia" w:ascii="宋体" w:hAnsi="宋体" w:eastAsia="宋体" w:cs="宋体"/>
          <w:color w:val="auto"/>
          <w:highlight w:val="none"/>
        </w:rPr>
        <w:t>条载明的评标方法和标准，对符合性审查合格的投标文件进行比较与评价。</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（2）关于相同品牌产品</w:t>
      </w:r>
      <w:r>
        <w:rPr>
          <w:rStyle w:val="16"/>
          <w:rFonts w:hint="eastAsia" w:ascii="宋体" w:hAnsi="宋体" w:eastAsia="宋体" w:cs="宋体"/>
          <w:color w:val="auto"/>
          <w:highlight w:val="none"/>
        </w:rPr>
        <w:t>（服务类项目不适用本条款规定</w:t>
      </w:r>
      <w:r>
        <w:rPr>
          <w:rStyle w:val="16"/>
          <w:rFonts w:hint="eastAsia" w:ascii="宋体" w:hAnsi="宋体" w:eastAsia="宋体" w:cs="宋体"/>
          <w:color w:val="auto"/>
          <w:highlight w:val="none"/>
          <w:lang w:val="en-US" w:eastAsia="zh-CN"/>
        </w:rPr>
        <w:t>,本项目不适用</w:t>
      </w:r>
      <w:r>
        <w:rPr>
          <w:rStyle w:val="16"/>
          <w:rFonts w:hint="eastAsia" w:ascii="宋体" w:hAnsi="宋体" w:eastAsia="宋体" w:cs="宋体"/>
          <w:color w:val="auto"/>
          <w:highlight w:val="none"/>
        </w:rPr>
        <w:t>）</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a.招标文件规定的方式：</w:t>
      </w:r>
      <w:r>
        <w:rPr>
          <w:color w:val="auto"/>
          <w:highlight w:val="none"/>
          <w:u w:val="single"/>
        </w:rPr>
        <w:t>无</w:t>
      </w:r>
      <w:r>
        <w:rPr>
          <w:rFonts w:hint="eastAsia" w:ascii="宋体" w:hAnsi="宋体" w:eastAsia="宋体" w:cs="宋体"/>
          <w:color w:val="auto"/>
          <w:highlight w:val="none"/>
        </w:rPr>
        <w:t>。</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b.招标文件未规定的，采取随机抽取方式确定，其他</w:t>
      </w:r>
      <w:r>
        <w:rPr>
          <w:rStyle w:val="16"/>
          <w:rFonts w:hint="eastAsia" w:ascii="宋体" w:hAnsi="宋体" w:eastAsia="宋体" w:cs="宋体"/>
          <w:color w:val="auto"/>
          <w:highlight w:val="none"/>
        </w:rPr>
        <w:t>投标无效。</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a.招标文件规定的方式：</w:t>
      </w:r>
      <w:r>
        <w:rPr>
          <w:color w:val="auto"/>
          <w:highlight w:val="none"/>
          <w:u w:val="single"/>
        </w:rPr>
        <w:t>无</w:t>
      </w:r>
      <w:r>
        <w:rPr>
          <w:rFonts w:hint="eastAsia" w:ascii="宋体" w:hAnsi="宋体" w:eastAsia="宋体" w:cs="宋体"/>
          <w:color w:val="auto"/>
          <w:highlight w:val="none"/>
        </w:rPr>
        <w:t>。</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b.招标文件未规定的，采取随机抽取方式确定，其他同品牌投标人不作为中标候选人。</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③非单一产品采购项目，多家投标人提供的核心产品品牌相同的，按照本章第</w:t>
      </w:r>
      <w:r>
        <w:rPr>
          <w:rFonts w:ascii="Calibri" w:hAnsi="Calibri" w:cs="Calibri"/>
          <w:color w:val="auto"/>
          <w:highlight w:val="none"/>
        </w:rPr>
        <w:t>6.4</w:t>
      </w:r>
      <w:r>
        <w:rPr>
          <w:rFonts w:hint="eastAsia" w:ascii="宋体" w:hAnsi="宋体" w:eastAsia="宋体" w:cs="宋体"/>
          <w:color w:val="auto"/>
          <w:highlight w:val="none"/>
        </w:rPr>
        <w:t>条第（</w:t>
      </w:r>
      <w:r>
        <w:rPr>
          <w:rFonts w:ascii="Calibri" w:hAnsi="Calibri" w:cs="Calibri"/>
          <w:color w:val="auto"/>
          <w:highlight w:val="none"/>
        </w:rPr>
        <w:t>2</w:t>
      </w:r>
      <w:r>
        <w:rPr>
          <w:rFonts w:hint="eastAsia" w:ascii="宋体" w:hAnsi="宋体" w:eastAsia="宋体" w:cs="宋体"/>
          <w:color w:val="auto"/>
          <w:highlight w:val="none"/>
        </w:rPr>
        <w:t>）款第①、②规定处理。</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（3）漏（缺）项</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①招标文件中要求列入报价的费用（含配置、功能），漏（缺）项的报价视为已经包括在投标总价中。</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②对多报项及赠送项的价格评标时不予核减，全部进入评标价评议。</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6.5推荐中标候选人：详见本章第</w:t>
      </w:r>
      <w:r>
        <w:rPr>
          <w:rFonts w:ascii="Calibri" w:hAnsi="Calibri" w:cs="Calibri"/>
          <w:color w:val="auto"/>
          <w:highlight w:val="none"/>
        </w:rPr>
        <w:t>7.2</w:t>
      </w:r>
      <w:r>
        <w:rPr>
          <w:rFonts w:hint="eastAsia" w:ascii="宋体" w:hAnsi="宋体" w:eastAsia="宋体" w:cs="宋体"/>
          <w:color w:val="auto"/>
          <w:highlight w:val="none"/>
        </w:rPr>
        <w:t>条规定。</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6.6编写评标报告</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（1）评标报告由评标委员会负责编写。</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（2）评标报告应包括下列内容：</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①招标公告刊登的媒体名称、开标日期和地点；</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②投标人名单和评标委员会成员名单；</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③评标方法和标准；</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④开标记录和评标情况及说明，包括无效投标人名单及原因；</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⑤评标结果，包括中标候选人名单或确定的中标人；</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⑥其他需要说明的情况，包括但不限于：评标过程中投标人的澄清、说明或补正，评委更换等。</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Style w:val="16"/>
          <w:rFonts w:hint="eastAsia" w:ascii="宋体" w:hAnsi="宋体" w:eastAsia="宋体" w:cs="宋体"/>
          <w:color w:val="auto"/>
          <w:highlight w:val="none"/>
        </w:rPr>
        <w:t>投标无效</w:t>
      </w:r>
      <w:r>
        <w:rPr>
          <w:rFonts w:hint="eastAsia" w:ascii="宋体" w:hAnsi="宋体" w:eastAsia="宋体" w:cs="宋体"/>
          <w:color w:val="auto"/>
          <w:highlight w:val="none"/>
        </w:rPr>
        <w:t>处理。</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6.8评委对需要共同认定的事项存在争议的，应按照少数服从多数的原则进行认定。</w:t>
      </w:r>
      <w:r>
        <w:rPr>
          <w:rStyle w:val="16"/>
          <w:rFonts w:hint="eastAsia" w:ascii="宋体" w:hAnsi="宋体" w:eastAsia="宋体" w:cs="宋体"/>
          <w:color w:val="auto"/>
          <w:highlight w:val="none"/>
        </w:rPr>
        <w:t>持不同意见的评委应在评标报告上签署不同意见及理由，否则视为同意评标报告。</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6.9在评标过程中发现投标人有下列情形之一的，评标委员会应认定其</w:t>
      </w:r>
      <w:r>
        <w:rPr>
          <w:rStyle w:val="16"/>
          <w:rFonts w:hint="eastAsia" w:ascii="宋体" w:hAnsi="宋体" w:eastAsia="宋体" w:cs="宋体"/>
          <w:color w:val="auto"/>
          <w:highlight w:val="none"/>
        </w:rPr>
        <w:t>投标无效</w:t>
      </w:r>
      <w:r>
        <w:rPr>
          <w:rFonts w:hint="eastAsia" w:ascii="宋体" w:hAnsi="宋体" w:eastAsia="宋体" w:cs="宋体"/>
          <w:color w:val="auto"/>
          <w:highlight w:val="none"/>
        </w:rPr>
        <w:t>，并书面报告本项目监督管理部门：</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（1）恶意串通（包括但不限于招标文件第三章第</w:t>
      </w:r>
      <w:r>
        <w:rPr>
          <w:rFonts w:ascii="Calibri" w:hAnsi="Calibri" w:cs="Calibri"/>
          <w:color w:val="auto"/>
          <w:highlight w:val="none"/>
        </w:rPr>
        <w:t>9.7</w:t>
      </w:r>
      <w:r>
        <w:rPr>
          <w:rFonts w:hint="eastAsia" w:ascii="宋体" w:hAnsi="宋体" w:eastAsia="宋体" w:cs="宋体"/>
          <w:color w:val="auto"/>
          <w:highlight w:val="none"/>
        </w:rPr>
        <w:t>条规定情形）；</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（2）妨碍其他投标人的竞争行为；</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（3）损害</w:t>
      </w:r>
      <w:r>
        <w:rPr>
          <w:rFonts w:hint="eastAsia" w:ascii="宋体" w:hAnsi="宋体" w:eastAsia="宋体" w:cs="宋体"/>
          <w:color w:val="auto"/>
          <w:highlight w:val="none"/>
          <w:lang w:eastAsia="zh-CN"/>
        </w:rPr>
        <w:t>招标人</w:t>
      </w:r>
      <w:r>
        <w:rPr>
          <w:rFonts w:hint="eastAsia" w:ascii="宋体" w:hAnsi="宋体" w:eastAsia="宋体" w:cs="宋体"/>
          <w:color w:val="auto"/>
          <w:highlight w:val="none"/>
        </w:rPr>
        <w:t>或其他投标人的合法权益。</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6.10评标过程中，有下列情形之一的，应予废标：</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（1）符合性审查合格的投标人不足三家的；</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（2）有关法律、法规和规章规定废标的情形。</w:t>
      </w:r>
    </w:p>
    <w:p>
      <w:pPr>
        <w:pStyle w:val="12"/>
        <w:widowControl/>
        <w:spacing w:before="75" w:beforeAutospacing="0" w:after="75" w:afterAutospacing="0"/>
        <w:ind w:firstLine="480"/>
        <w:rPr>
          <w:color w:val="auto"/>
          <w:highlight w:val="none"/>
        </w:rPr>
      </w:pPr>
      <w:r>
        <w:rPr>
          <w:rStyle w:val="16"/>
          <w:rFonts w:hint="eastAsia" w:ascii="宋体" w:hAnsi="宋体" w:eastAsia="宋体" w:cs="宋体"/>
          <w:color w:val="auto"/>
          <w:highlight w:val="none"/>
        </w:rPr>
        <w:t>※若废标，则本次</w:t>
      </w:r>
      <w:r>
        <w:rPr>
          <w:rStyle w:val="16"/>
          <w:rFonts w:hint="eastAsia" w:ascii="宋体" w:hAnsi="宋体" w:eastAsia="宋体" w:cs="宋体"/>
          <w:color w:val="auto"/>
          <w:highlight w:val="none"/>
          <w:lang w:eastAsia="zh-CN"/>
        </w:rPr>
        <w:t>招标</w:t>
      </w:r>
      <w:r>
        <w:rPr>
          <w:rStyle w:val="16"/>
          <w:rFonts w:hint="eastAsia" w:ascii="宋体" w:hAnsi="宋体" w:eastAsia="宋体" w:cs="宋体"/>
          <w:color w:val="auto"/>
          <w:highlight w:val="none"/>
        </w:rPr>
        <w:t>活动结束，</w:t>
      </w:r>
      <w:r>
        <w:rPr>
          <w:rFonts w:hint="eastAsia" w:ascii="宋体" w:hAnsi="宋体" w:eastAsia="宋体" w:cs="宋体"/>
          <w:color w:val="auto"/>
          <w:highlight w:val="none"/>
          <w:u w:val="single"/>
        </w:rPr>
        <w:t>福建丰盛项目管理有限公司</w:t>
      </w:r>
      <w:r>
        <w:rPr>
          <w:rStyle w:val="16"/>
          <w:rFonts w:hint="eastAsia" w:ascii="宋体" w:hAnsi="宋体" w:eastAsia="宋体" w:cs="宋体"/>
          <w:color w:val="auto"/>
          <w:highlight w:val="none"/>
        </w:rPr>
        <w:t>将依法组织后续</w:t>
      </w:r>
      <w:r>
        <w:rPr>
          <w:rStyle w:val="16"/>
          <w:rFonts w:hint="eastAsia" w:ascii="宋体" w:hAnsi="宋体" w:eastAsia="宋体" w:cs="宋体"/>
          <w:color w:val="auto"/>
          <w:highlight w:val="none"/>
          <w:lang w:eastAsia="zh-CN"/>
        </w:rPr>
        <w:t>招标</w:t>
      </w:r>
      <w:r>
        <w:rPr>
          <w:rStyle w:val="16"/>
          <w:rFonts w:hint="eastAsia" w:ascii="宋体" w:hAnsi="宋体" w:eastAsia="宋体" w:cs="宋体"/>
          <w:color w:val="auto"/>
          <w:highlight w:val="none"/>
        </w:rPr>
        <w:t>活动（包括但不限于：重新招标、采用其他方式</w:t>
      </w:r>
      <w:r>
        <w:rPr>
          <w:rStyle w:val="16"/>
          <w:rFonts w:hint="eastAsia" w:ascii="宋体" w:hAnsi="宋体" w:eastAsia="宋体" w:cs="宋体"/>
          <w:color w:val="auto"/>
          <w:highlight w:val="none"/>
          <w:lang w:eastAsia="zh-CN"/>
        </w:rPr>
        <w:t>招标</w:t>
      </w:r>
      <w:r>
        <w:rPr>
          <w:rStyle w:val="16"/>
          <w:rFonts w:hint="eastAsia" w:ascii="宋体" w:hAnsi="宋体" w:eastAsia="宋体" w:cs="宋体"/>
          <w:color w:val="auto"/>
          <w:highlight w:val="none"/>
        </w:rPr>
        <w:t>等）。</w:t>
      </w:r>
    </w:p>
    <w:p>
      <w:pPr>
        <w:pStyle w:val="12"/>
        <w:widowControl/>
        <w:spacing w:before="75" w:beforeAutospacing="0" w:after="75" w:afterAutospacing="0"/>
        <w:outlineLvl w:val="2"/>
        <w:rPr>
          <w:color w:val="auto"/>
          <w:highlight w:val="none"/>
        </w:rPr>
      </w:pPr>
      <w:r>
        <w:rPr>
          <w:rFonts w:hint="eastAsia" w:ascii="宋体" w:hAnsi="宋体" w:eastAsia="宋体" w:cs="宋体"/>
          <w:color w:val="auto"/>
          <w:highlight w:val="none"/>
        </w:rPr>
        <w:t>7、评标方法和标准</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7.1评标方法：</w:t>
      </w:r>
      <w:r>
        <w:rPr>
          <w:color w:val="auto"/>
          <w:highlight w:val="none"/>
        </w:rPr>
        <w:t xml:space="preserve"> 合同包1采用综合评分法。</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7.2评标标准</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2"/>
        <w:widowControl/>
        <w:shd w:val="clear" w:color="auto" w:fill="FFFFFF"/>
        <w:spacing w:beforeAutospacing="0" w:after="150" w:afterAutospacing="0"/>
        <w:rPr>
          <w:rFonts w:ascii="微软雅黑" w:hAnsi="微软雅黑" w:eastAsia="微软雅黑" w:cs="微软雅黑"/>
          <w:color w:val="auto"/>
          <w:sz w:val="19"/>
          <w:szCs w:val="19"/>
          <w:highlight w:val="none"/>
        </w:rPr>
      </w:pPr>
      <w:r>
        <w:rPr>
          <w:rStyle w:val="16"/>
          <w:rFonts w:hint="eastAsia" w:ascii="宋体" w:hAnsi="宋体" w:eastAsia="宋体" w:cs="宋体"/>
          <w:color w:val="auto"/>
          <w:highlight w:val="none"/>
          <w:shd w:val="clear" w:color="auto" w:fill="FFFFFF"/>
        </w:rPr>
        <w:t>合同包1采用综合评分法</w:t>
      </w:r>
      <w:r>
        <w:rPr>
          <w:rFonts w:hint="eastAsia" w:ascii="宋体" w:hAnsi="宋体" w:eastAsia="宋体" w:cs="宋体"/>
          <w:color w:val="auto"/>
          <w:highlight w:val="none"/>
          <w:shd w:val="clear" w:color="auto" w:fill="FFFFFF"/>
        </w:rPr>
        <w:t>：</w:t>
      </w:r>
      <w:r>
        <w:rPr>
          <w:rFonts w:hint="eastAsia" w:ascii="微软雅黑" w:hAnsi="微软雅黑" w:eastAsia="微软雅黑" w:cs="微软雅黑"/>
          <w:color w:val="auto"/>
          <w:sz w:val="19"/>
          <w:szCs w:val="19"/>
          <w:highlight w:val="none"/>
          <w:shd w:val="clear" w:color="auto" w:fill="FFFFFF"/>
        </w:rPr>
        <w:t xml:space="preserve"> </w:t>
      </w:r>
    </w:p>
    <w:p>
      <w:pPr>
        <w:pStyle w:val="12"/>
        <w:widowControl/>
        <w:ind w:firstLine="480"/>
        <w:rPr>
          <w:color w:val="auto"/>
          <w:highlight w:val="none"/>
        </w:rPr>
      </w:pPr>
      <w:r>
        <w:rPr>
          <w:rFonts w:hint="eastAsia" w:ascii="宋体" w:hAnsi="宋体" w:eastAsia="宋体" w:cs="宋体"/>
          <w:color w:val="auto"/>
          <w:highlight w:val="none"/>
        </w:rPr>
        <w:t>（1）投标文件满足招标文件全部实质性要求，且按照评审因素的量化指标评审得分（即评标总得分）最高的投标人为中标候选人。</w:t>
      </w:r>
      <w:r>
        <w:rPr>
          <w:color w:val="auto"/>
          <w:highlight w:val="none"/>
        </w:rPr>
        <w:t xml:space="preserve"> </w:t>
      </w:r>
    </w:p>
    <w:p>
      <w:pPr>
        <w:pStyle w:val="12"/>
        <w:widowControl/>
        <w:ind w:firstLine="480"/>
        <w:rPr>
          <w:color w:val="auto"/>
          <w:highlight w:val="none"/>
        </w:rPr>
      </w:pPr>
      <w:r>
        <w:rPr>
          <w:rFonts w:hint="eastAsia" w:ascii="宋体" w:hAnsi="宋体" w:eastAsia="宋体" w:cs="宋体"/>
          <w:color w:val="auto"/>
          <w:highlight w:val="none"/>
        </w:rPr>
        <w:t>（2）采用综合评分法确定中标候选供应商。综合评议总分均为100分。分值分配如下表：</w:t>
      </w:r>
    </w:p>
    <w:tbl>
      <w:tblPr>
        <w:tblStyle w:val="13"/>
        <w:tblpPr w:leftFromText="180" w:rightFromText="180" w:vertAnchor="text" w:horzAnchor="margin" w:tblpXSpec="center" w:tblpY="481"/>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3780"/>
        <w:gridCol w:w="2520"/>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944" w:type="dxa"/>
            <w:vMerge w:val="restart"/>
            <w:vAlign w:val="center"/>
          </w:tcPr>
          <w:p>
            <w:pPr>
              <w:snapToGrid w:val="0"/>
              <w:spacing w:line="348" w:lineRule="auto"/>
              <w:jc w:val="center"/>
              <w:rPr>
                <w:rFonts w:ascii="宋体" w:hAnsi="宋体"/>
                <w:color w:val="auto"/>
                <w:szCs w:val="21"/>
                <w:highlight w:val="none"/>
              </w:rPr>
            </w:pPr>
            <w:r>
              <w:rPr>
                <w:rFonts w:hint="eastAsia" w:ascii="宋体" w:hAnsi="宋体"/>
                <w:color w:val="auto"/>
                <w:szCs w:val="21"/>
                <w:highlight w:val="none"/>
              </w:rPr>
              <w:t>评标满分值</w:t>
            </w:r>
          </w:p>
        </w:tc>
        <w:tc>
          <w:tcPr>
            <w:tcW w:w="6300" w:type="dxa"/>
            <w:gridSpan w:val="2"/>
            <w:vAlign w:val="center"/>
          </w:tcPr>
          <w:p>
            <w:pPr>
              <w:snapToGrid w:val="0"/>
              <w:spacing w:line="348" w:lineRule="auto"/>
              <w:jc w:val="center"/>
              <w:rPr>
                <w:rFonts w:ascii="宋体" w:hAnsi="宋体"/>
                <w:color w:val="auto"/>
                <w:szCs w:val="21"/>
                <w:highlight w:val="none"/>
              </w:rPr>
            </w:pPr>
            <w:r>
              <w:rPr>
                <w:rFonts w:hint="eastAsia" w:ascii="宋体" w:hAnsi="宋体"/>
                <w:color w:val="auto"/>
                <w:szCs w:val="21"/>
                <w:highlight w:val="none"/>
              </w:rPr>
              <w:t>技术商务评议分</w:t>
            </w:r>
          </w:p>
        </w:tc>
        <w:tc>
          <w:tcPr>
            <w:tcW w:w="1296" w:type="dxa"/>
            <w:vMerge w:val="restart"/>
            <w:vAlign w:val="center"/>
          </w:tcPr>
          <w:p>
            <w:pPr>
              <w:snapToGrid w:val="0"/>
              <w:spacing w:line="348" w:lineRule="auto"/>
              <w:jc w:val="center"/>
              <w:rPr>
                <w:rFonts w:ascii="宋体" w:hAnsi="宋体"/>
                <w:color w:val="auto"/>
                <w:szCs w:val="21"/>
                <w:highlight w:val="none"/>
              </w:rPr>
            </w:pPr>
            <w:r>
              <w:rPr>
                <w:rFonts w:hint="eastAsia" w:ascii="宋体" w:hAnsi="宋体"/>
                <w:color w:val="auto"/>
                <w:szCs w:val="21"/>
                <w:highlight w:val="none"/>
                <w:lang w:eastAsia="zh-CN"/>
              </w:rPr>
              <w:t>价格</w:t>
            </w:r>
            <w:r>
              <w:rPr>
                <w:rFonts w:hint="eastAsia" w:ascii="宋体" w:hAnsi="宋体"/>
                <w:color w:val="auto"/>
                <w:szCs w:val="21"/>
                <w:highlight w:val="none"/>
              </w:rPr>
              <w:t>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944" w:type="dxa"/>
            <w:vMerge w:val="continue"/>
            <w:vAlign w:val="center"/>
          </w:tcPr>
          <w:p>
            <w:pPr>
              <w:snapToGrid w:val="0"/>
              <w:spacing w:line="348" w:lineRule="auto"/>
              <w:jc w:val="center"/>
              <w:rPr>
                <w:rFonts w:ascii="宋体" w:hAnsi="宋体"/>
                <w:color w:val="auto"/>
                <w:szCs w:val="21"/>
                <w:highlight w:val="none"/>
              </w:rPr>
            </w:pPr>
          </w:p>
        </w:tc>
        <w:tc>
          <w:tcPr>
            <w:tcW w:w="3780" w:type="dxa"/>
            <w:vAlign w:val="center"/>
          </w:tcPr>
          <w:p>
            <w:pPr>
              <w:snapToGrid w:val="0"/>
              <w:spacing w:line="348" w:lineRule="auto"/>
              <w:jc w:val="center"/>
              <w:rPr>
                <w:rFonts w:ascii="宋体" w:hAnsi="宋体"/>
                <w:color w:val="auto"/>
                <w:szCs w:val="21"/>
                <w:highlight w:val="none"/>
              </w:rPr>
            </w:pPr>
            <w:r>
              <w:rPr>
                <w:rFonts w:hint="eastAsia" w:ascii="宋体" w:hAnsi="宋体"/>
                <w:color w:val="auto"/>
                <w:szCs w:val="21"/>
                <w:highlight w:val="none"/>
              </w:rPr>
              <w:t>技术分</w:t>
            </w:r>
          </w:p>
        </w:tc>
        <w:tc>
          <w:tcPr>
            <w:tcW w:w="2520" w:type="dxa"/>
            <w:vAlign w:val="center"/>
          </w:tcPr>
          <w:p>
            <w:pPr>
              <w:snapToGrid w:val="0"/>
              <w:spacing w:line="348" w:lineRule="auto"/>
              <w:jc w:val="center"/>
              <w:rPr>
                <w:rFonts w:ascii="宋体" w:hAnsi="宋体"/>
                <w:color w:val="auto"/>
                <w:szCs w:val="21"/>
                <w:highlight w:val="none"/>
              </w:rPr>
            </w:pPr>
            <w:r>
              <w:rPr>
                <w:rFonts w:hint="eastAsia" w:ascii="宋体" w:hAnsi="宋体"/>
                <w:color w:val="auto"/>
                <w:szCs w:val="21"/>
                <w:highlight w:val="none"/>
              </w:rPr>
              <w:t>商务分</w:t>
            </w:r>
          </w:p>
        </w:tc>
        <w:tc>
          <w:tcPr>
            <w:tcW w:w="1296" w:type="dxa"/>
            <w:vMerge w:val="continue"/>
            <w:vAlign w:val="center"/>
          </w:tcPr>
          <w:p>
            <w:pPr>
              <w:snapToGrid w:val="0"/>
              <w:spacing w:line="34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center"/>
          </w:tcPr>
          <w:p>
            <w:pPr>
              <w:snapToGrid w:val="0"/>
              <w:spacing w:line="348" w:lineRule="auto"/>
              <w:jc w:val="center"/>
              <w:rPr>
                <w:rFonts w:ascii="宋体" w:hAnsi="宋体"/>
                <w:color w:val="auto"/>
                <w:szCs w:val="21"/>
                <w:highlight w:val="none"/>
              </w:rPr>
            </w:pPr>
            <w:r>
              <w:rPr>
                <w:rFonts w:hint="eastAsia" w:ascii="宋体" w:hAnsi="宋体"/>
                <w:color w:val="auto"/>
                <w:szCs w:val="21"/>
                <w:highlight w:val="none"/>
              </w:rPr>
              <w:t>100分</w:t>
            </w:r>
          </w:p>
        </w:tc>
        <w:tc>
          <w:tcPr>
            <w:tcW w:w="3780" w:type="dxa"/>
            <w:vAlign w:val="center"/>
          </w:tcPr>
          <w:p>
            <w:pPr>
              <w:snapToGrid w:val="0"/>
              <w:spacing w:line="348" w:lineRule="auto"/>
              <w:jc w:val="center"/>
              <w:rPr>
                <w:rFonts w:ascii="宋体" w:hAnsi="宋体"/>
                <w:color w:val="auto"/>
                <w:szCs w:val="21"/>
                <w:highlight w:val="none"/>
              </w:rPr>
            </w:pPr>
            <w:r>
              <w:rPr>
                <w:rFonts w:hint="eastAsia" w:ascii="宋体" w:hAnsi="宋体"/>
                <w:color w:val="auto"/>
                <w:szCs w:val="21"/>
                <w:highlight w:val="none"/>
              </w:rPr>
              <w:t xml:space="preserve">  70分</w:t>
            </w:r>
          </w:p>
        </w:tc>
        <w:tc>
          <w:tcPr>
            <w:tcW w:w="2520" w:type="dxa"/>
            <w:vAlign w:val="center"/>
          </w:tcPr>
          <w:p>
            <w:pPr>
              <w:snapToGrid w:val="0"/>
              <w:spacing w:line="348" w:lineRule="auto"/>
              <w:jc w:val="center"/>
              <w:rPr>
                <w:rFonts w:ascii="宋体" w:hAnsi="宋体"/>
                <w:color w:val="auto"/>
                <w:szCs w:val="21"/>
                <w:highlight w:val="none"/>
              </w:rPr>
            </w:pPr>
            <w:r>
              <w:rPr>
                <w:rFonts w:hint="eastAsia" w:ascii="宋体" w:hAnsi="宋体"/>
                <w:color w:val="auto"/>
                <w:szCs w:val="21"/>
                <w:highlight w:val="none"/>
              </w:rPr>
              <w:t xml:space="preserve">  20分</w:t>
            </w:r>
          </w:p>
        </w:tc>
        <w:tc>
          <w:tcPr>
            <w:tcW w:w="1296" w:type="dxa"/>
            <w:vAlign w:val="center"/>
          </w:tcPr>
          <w:p>
            <w:pPr>
              <w:snapToGrid w:val="0"/>
              <w:spacing w:line="348" w:lineRule="auto"/>
              <w:jc w:val="center"/>
              <w:rPr>
                <w:rFonts w:ascii="宋体" w:hAnsi="宋体"/>
                <w:color w:val="auto"/>
                <w:szCs w:val="21"/>
                <w:highlight w:val="none"/>
              </w:rPr>
            </w:pPr>
            <w:r>
              <w:rPr>
                <w:rFonts w:hint="eastAsia" w:ascii="宋体" w:hAnsi="宋体"/>
                <w:color w:val="auto"/>
                <w:szCs w:val="21"/>
                <w:highlight w:val="none"/>
              </w:rPr>
              <w:t>10分</w:t>
            </w:r>
          </w:p>
        </w:tc>
      </w:tr>
    </w:tbl>
    <w:p>
      <w:pPr>
        <w:pStyle w:val="12"/>
        <w:widowControl/>
        <w:ind w:firstLine="480"/>
        <w:rPr>
          <w:color w:val="auto"/>
          <w:highlight w:val="none"/>
        </w:rPr>
      </w:pPr>
      <w:r>
        <w:rPr>
          <w:color w:val="auto"/>
          <w:highlight w:val="none"/>
        </w:rPr>
        <w:t xml:space="preserve"> </w:t>
      </w:r>
    </w:p>
    <w:p>
      <w:pPr>
        <w:pStyle w:val="12"/>
        <w:widowControl/>
        <w:ind w:firstLine="480"/>
        <w:rPr>
          <w:rFonts w:hint="eastAsia" w:eastAsiaTheme="minorEastAsia"/>
          <w:color w:val="auto"/>
          <w:highlight w:val="none"/>
          <w:lang w:eastAsia="zh-CN"/>
        </w:rPr>
      </w:pPr>
      <w:r>
        <w:rPr>
          <w:rFonts w:hint="eastAsia"/>
          <w:color w:val="auto"/>
          <w:highlight w:val="none"/>
          <w:lang w:eastAsia="zh-CN"/>
        </w:rPr>
        <w:t>注：</w:t>
      </w:r>
      <w:r>
        <w:rPr>
          <w:rFonts w:hint="eastAsia" w:ascii="宋体" w:hAnsi="宋体" w:eastAsia="宋体" w:cs="宋体"/>
          <w:color w:val="auto"/>
          <w:highlight w:val="none"/>
        </w:rPr>
        <w:t>每个投标人的评标总得分</w:t>
      </w:r>
      <w:r>
        <w:rPr>
          <w:rFonts w:ascii="Calibri" w:hAnsi="Calibri" w:eastAsia="宋体" w:cs="Calibri"/>
          <w:color w:val="auto"/>
          <w:highlight w:val="none"/>
        </w:rPr>
        <w:t>FA</w:t>
      </w:r>
      <w:r>
        <w:rPr>
          <w:rFonts w:hint="eastAsia" w:ascii="宋体" w:hAnsi="宋体" w:eastAsia="宋体" w:cs="宋体"/>
          <w:color w:val="auto"/>
          <w:highlight w:val="none"/>
        </w:rPr>
        <w:t>＝</w:t>
      </w:r>
      <w:r>
        <w:rPr>
          <w:rFonts w:ascii="Calibri" w:hAnsi="Calibri" w:eastAsia="宋体" w:cs="Calibri"/>
          <w:color w:val="auto"/>
          <w:highlight w:val="none"/>
        </w:rPr>
        <w:t>F1</w:t>
      </w:r>
      <w:r>
        <w:rPr>
          <w:rFonts w:hint="eastAsia" w:ascii="宋体" w:hAnsi="宋体" w:eastAsia="宋体" w:cs="宋体"/>
          <w:color w:val="auto"/>
          <w:highlight w:val="none"/>
        </w:rPr>
        <w:t>×</w:t>
      </w:r>
      <w:r>
        <w:rPr>
          <w:rFonts w:ascii="Calibri" w:hAnsi="Calibri" w:eastAsia="宋体" w:cs="Calibri"/>
          <w:color w:val="auto"/>
          <w:highlight w:val="none"/>
        </w:rPr>
        <w:t>A1</w:t>
      </w:r>
      <w:r>
        <w:rPr>
          <w:rFonts w:hint="eastAsia" w:ascii="宋体" w:hAnsi="宋体" w:eastAsia="宋体" w:cs="宋体"/>
          <w:color w:val="auto"/>
          <w:highlight w:val="none"/>
        </w:rPr>
        <w:t>＋</w:t>
      </w:r>
      <w:r>
        <w:rPr>
          <w:rFonts w:ascii="Calibri" w:hAnsi="Calibri" w:eastAsia="宋体" w:cs="Calibri"/>
          <w:color w:val="auto"/>
          <w:highlight w:val="none"/>
        </w:rPr>
        <w:t>F2</w:t>
      </w:r>
      <w:r>
        <w:rPr>
          <w:rFonts w:hint="eastAsia" w:ascii="宋体" w:hAnsi="宋体" w:eastAsia="宋体" w:cs="宋体"/>
          <w:color w:val="auto"/>
          <w:highlight w:val="none"/>
        </w:rPr>
        <w:t>×</w:t>
      </w:r>
      <w:r>
        <w:rPr>
          <w:rFonts w:ascii="Calibri" w:hAnsi="Calibri" w:eastAsia="宋体" w:cs="Calibri"/>
          <w:color w:val="auto"/>
          <w:highlight w:val="none"/>
        </w:rPr>
        <w:t>A2</w:t>
      </w:r>
      <w:r>
        <w:rPr>
          <w:rFonts w:hint="eastAsia" w:ascii="宋体" w:hAnsi="宋体" w:eastAsia="宋体" w:cs="宋体"/>
          <w:color w:val="auto"/>
          <w:highlight w:val="none"/>
        </w:rPr>
        <w:t>＋</w:t>
      </w:r>
      <w:r>
        <w:rPr>
          <w:rFonts w:ascii="Calibri" w:hAnsi="Calibri" w:eastAsia="宋体" w:cs="Calibri"/>
          <w:color w:val="auto"/>
          <w:highlight w:val="none"/>
        </w:rPr>
        <w:t>F3</w:t>
      </w:r>
      <w:r>
        <w:rPr>
          <w:rFonts w:hint="eastAsia" w:ascii="宋体" w:hAnsi="宋体" w:eastAsia="宋体" w:cs="宋体"/>
          <w:color w:val="auto"/>
          <w:highlight w:val="none"/>
        </w:rPr>
        <w:t>×</w:t>
      </w:r>
      <w:r>
        <w:rPr>
          <w:rFonts w:ascii="Calibri" w:hAnsi="Calibri" w:eastAsia="宋体" w:cs="Calibri"/>
          <w:color w:val="auto"/>
          <w:highlight w:val="none"/>
        </w:rPr>
        <w:t>A3</w:t>
      </w:r>
      <w:r>
        <w:rPr>
          <w:rFonts w:hint="eastAsia" w:ascii="宋体" w:hAnsi="宋体" w:eastAsia="宋体" w:cs="宋体"/>
          <w:color w:val="auto"/>
          <w:highlight w:val="none"/>
        </w:rPr>
        <w:t>＋</w:t>
      </w:r>
      <w:r>
        <w:rPr>
          <w:rFonts w:ascii="Calibri" w:hAnsi="Calibri" w:eastAsia="宋体" w:cs="Calibri"/>
          <w:color w:val="auto"/>
          <w:highlight w:val="none"/>
        </w:rPr>
        <w:t>F4</w:t>
      </w:r>
      <w:r>
        <w:rPr>
          <w:rFonts w:hint="eastAsia" w:ascii="宋体" w:hAnsi="宋体" w:eastAsia="宋体" w:cs="宋体"/>
          <w:color w:val="auto"/>
          <w:highlight w:val="none"/>
        </w:rPr>
        <w:t>×</w:t>
      </w:r>
      <w:r>
        <w:rPr>
          <w:rFonts w:ascii="Calibri" w:hAnsi="Calibri" w:eastAsia="宋体" w:cs="Calibri"/>
          <w:color w:val="auto"/>
          <w:highlight w:val="none"/>
        </w:rPr>
        <w:t>A4</w:t>
      </w:r>
      <w:r>
        <w:rPr>
          <w:rFonts w:hint="eastAsia" w:ascii="宋体" w:hAnsi="宋体" w:eastAsia="宋体" w:cs="宋体"/>
          <w:color w:val="auto"/>
          <w:highlight w:val="none"/>
        </w:rPr>
        <w:t>（若有），其中：</w:t>
      </w:r>
      <w:r>
        <w:rPr>
          <w:rFonts w:ascii="Calibri" w:hAnsi="Calibri" w:eastAsia="宋体" w:cs="Calibri"/>
          <w:color w:val="auto"/>
          <w:highlight w:val="none"/>
        </w:rPr>
        <w:t>F1</w:t>
      </w:r>
      <w:r>
        <w:rPr>
          <w:rFonts w:hint="eastAsia" w:ascii="宋体" w:hAnsi="宋体" w:eastAsia="宋体" w:cs="宋体"/>
          <w:color w:val="auto"/>
          <w:highlight w:val="none"/>
        </w:rPr>
        <w:t>指价格项评审因素得分、</w:t>
      </w:r>
      <w:r>
        <w:rPr>
          <w:rFonts w:ascii="Calibri" w:hAnsi="Calibri" w:eastAsia="宋体" w:cs="Calibri"/>
          <w:color w:val="auto"/>
          <w:highlight w:val="none"/>
        </w:rPr>
        <w:t>F2</w:t>
      </w:r>
      <w:r>
        <w:rPr>
          <w:rFonts w:hint="eastAsia" w:ascii="宋体" w:hAnsi="宋体" w:eastAsia="宋体" w:cs="宋体"/>
          <w:color w:val="auto"/>
          <w:highlight w:val="none"/>
        </w:rPr>
        <w:t>指技术项评审因素得分、</w:t>
      </w:r>
      <w:r>
        <w:rPr>
          <w:rFonts w:ascii="Calibri" w:hAnsi="Calibri" w:eastAsia="宋体" w:cs="Calibri"/>
          <w:color w:val="auto"/>
          <w:highlight w:val="none"/>
        </w:rPr>
        <w:t>F3</w:t>
      </w:r>
      <w:r>
        <w:rPr>
          <w:rFonts w:hint="eastAsia" w:ascii="宋体" w:hAnsi="宋体" w:eastAsia="宋体" w:cs="宋体"/>
          <w:color w:val="auto"/>
          <w:highlight w:val="none"/>
        </w:rPr>
        <w:t>指商务项评审因素得分，</w:t>
      </w:r>
      <w:r>
        <w:rPr>
          <w:rFonts w:ascii="Calibri" w:hAnsi="Calibri" w:eastAsia="宋体" w:cs="Calibri"/>
          <w:color w:val="auto"/>
          <w:highlight w:val="none"/>
        </w:rPr>
        <w:t>A1</w:t>
      </w:r>
      <w:r>
        <w:rPr>
          <w:rFonts w:hint="eastAsia" w:ascii="宋体" w:hAnsi="宋体" w:eastAsia="宋体" w:cs="宋体"/>
          <w:color w:val="auto"/>
          <w:highlight w:val="none"/>
        </w:rPr>
        <w:t>指价格项评审因素所占的权重、</w:t>
      </w:r>
      <w:r>
        <w:rPr>
          <w:rFonts w:ascii="Calibri" w:hAnsi="Calibri" w:eastAsia="宋体" w:cs="Calibri"/>
          <w:color w:val="auto"/>
          <w:highlight w:val="none"/>
        </w:rPr>
        <w:t>A2</w:t>
      </w:r>
      <w:r>
        <w:rPr>
          <w:rFonts w:hint="eastAsia" w:ascii="宋体" w:hAnsi="宋体" w:eastAsia="宋体" w:cs="宋体"/>
          <w:color w:val="auto"/>
          <w:highlight w:val="none"/>
        </w:rPr>
        <w:t>指技术项评审因素所占的权重、</w:t>
      </w:r>
      <w:r>
        <w:rPr>
          <w:rFonts w:ascii="Calibri" w:hAnsi="Calibri" w:eastAsia="宋体" w:cs="Calibri"/>
          <w:color w:val="auto"/>
          <w:highlight w:val="none"/>
        </w:rPr>
        <w:t>A3</w:t>
      </w:r>
      <w:r>
        <w:rPr>
          <w:rFonts w:hint="eastAsia" w:ascii="宋体" w:hAnsi="宋体" w:eastAsia="宋体" w:cs="宋体"/>
          <w:color w:val="auto"/>
          <w:highlight w:val="none"/>
        </w:rPr>
        <w:t>指商务项评审因素所占的权重，</w:t>
      </w:r>
      <w:r>
        <w:rPr>
          <w:rFonts w:ascii="Calibri" w:hAnsi="Calibri" w:eastAsia="宋体" w:cs="Calibri"/>
          <w:color w:val="auto"/>
          <w:highlight w:val="none"/>
        </w:rPr>
        <w:t>A1+A2+A3=1</w:t>
      </w:r>
      <w:r>
        <w:rPr>
          <w:rFonts w:hint="eastAsia" w:ascii="宋体" w:hAnsi="宋体" w:eastAsia="宋体" w:cs="宋体"/>
          <w:color w:val="auto"/>
          <w:highlight w:val="none"/>
        </w:rPr>
        <w:t>、</w:t>
      </w:r>
      <w:r>
        <w:rPr>
          <w:rFonts w:ascii="Calibri" w:hAnsi="Calibri" w:eastAsia="宋体" w:cs="Calibri"/>
          <w:color w:val="auto"/>
          <w:highlight w:val="none"/>
        </w:rPr>
        <w:t>F1</w:t>
      </w:r>
      <w:r>
        <w:rPr>
          <w:rFonts w:hint="eastAsia" w:ascii="宋体" w:hAnsi="宋体" w:eastAsia="宋体" w:cs="宋体"/>
          <w:color w:val="auto"/>
          <w:highlight w:val="none"/>
        </w:rPr>
        <w:t>×</w:t>
      </w:r>
      <w:r>
        <w:rPr>
          <w:rFonts w:ascii="Calibri" w:hAnsi="Calibri" w:eastAsia="宋体" w:cs="Calibri"/>
          <w:color w:val="auto"/>
          <w:highlight w:val="none"/>
        </w:rPr>
        <w:t>A1</w:t>
      </w:r>
      <w:r>
        <w:rPr>
          <w:rFonts w:hint="eastAsia" w:ascii="宋体" w:hAnsi="宋体" w:eastAsia="宋体" w:cs="宋体"/>
          <w:color w:val="auto"/>
          <w:highlight w:val="none"/>
        </w:rPr>
        <w:t>＋</w:t>
      </w:r>
      <w:r>
        <w:rPr>
          <w:rFonts w:ascii="Calibri" w:hAnsi="Calibri" w:eastAsia="宋体" w:cs="Calibri"/>
          <w:color w:val="auto"/>
          <w:highlight w:val="none"/>
        </w:rPr>
        <w:t>F2</w:t>
      </w:r>
      <w:r>
        <w:rPr>
          <w:rFonts w:hint="eastAsia" w:ascii="宋体" w:hAnsi="宋体" w:eastAsia="宋体" w:cs="宋体"/>
          <w:color w:val="auto"/>
          <w:highlight w:val="none"/>
        </w:rPr>
        <w:t>×</w:t>
      </w:r>
      <w:r>
        <w:rPr>
          <w:rFonts w:ascii="Calibri" w:hAnsi="Calibri" w:eastAsia="宋体" w:cs="Calibri"/>
          <w:color w:val="auto"/>
          <w:highlight w:val="none"/>
        </w:rPr>
        <w:t>A2</w:t>
      </w:r>
      <w:r>
        <w:rPr>
          <w:rFonts w:hint="eastAsia" w:ascii="宋体" w:hAnsi="宋体" w:eastAsia="宋体" w:cs="宋体"/>
          <w:color w:val="auto"/>
          <w:highlight w:val="none"/>
        </w:rPr>
        <w:t>＋</w:t>
      </w:r>
      <w:r>
        <w:rPr>
          <w:rFonts w:ascii="Calibri" w:hAnsi="Calibri" w:eastAsia="宋体" w:cs="Calibri"/>
          <w:color w:val="auto"/>
          <w:highlight w:val="none"/>
        </w:rPr>
        <w:t>F3</w:t>
      </w:r>
      <w:r>
        <w:rPr>
          <w:rFonts w:hint="eastAsia" w:ascii="宋体" w:hAnsi="宋体" w:eastAsia="宋体" w:cs="宋体"/>
          <w:color w:val="auto"/>
          <w:highlight w:val="none"/>
        </w:rPr>
        <w:t>×</w:t>
      </w:r>
      <w:r>
        <w:rPr>
          <w:rFonts w:ascii="Calibri" w:hAnsi="Calibri" w:eastAsia="宋体" w:cs="Calibri"/>
          <w:color w:val="auto"/>
          <w:highlight w:val="none"/>
        </w:rPr>
        <w:t>A3=100</w:t>
      </w:r>
      <w:r>
        <w:rPr>
          <w:rFonts w:hint="eastAsia" w:ascii="宋体" w:hAnsi="宋体" w:eastAsia="宋体" w:cs="宋体"/>
          <w:color w:val="auto"/>
          <w:highlight w:val="none"/>
        </w:rPr>
        <w:t>分（满分时）。</w:t>
      </w:r>
    </w:p>
    <w:p>
      <w:pPr>
        <w:pStyle w:val="12"/>
        <w:widowControl/>
        <w:ind w:firstLine="480"/>
        <w:rPr>
          <w:color w:val="auto"/>
          <w:highlight w:val="none"/>
        </w:rPr>
      </w:pPr>
      <w:r>
        <w:rPr>
          <w:rFonts w:hint="eastAsia" w:ascii="宋体" w:hAnsi="宋体" w:eastAsia="宋体" w:cs="宋体"/>
          <w:color w:val="auto"/>
          <w:highlight w:val="none"/>
        </w:rPr>
        <w:t>（3）各项评审因素的设置如下：</w:t>
      </w:r>
      <w:r>
        <w:rPr>
          <w:color w:val="auto"/>
          <w:highlight w:val="none"/>
        </w:rPr>
        <w:t xml:space="preserve"> </w:t>
      </w:r>
    </w:p>
    <w:p>
      <w:pPr>
        <w:pStyle w:val="12"/>
        <w:widowControl/>
        <w:ind w:firstLine="480"/>
        <w:rPr>
          <w:color w:val="auto"/>
          <w:highlight w:val="none"/>
        </w:rPr>
      </w:pPr>
      <w:r>
        <w:rPr>
          <w:rFonts w:hint="eastAsia" w:ascii="宋体" w:hAnsi="宋体" w:eastAsia="宋体" w:cs="宋体"/>
          <w:color w:val="auto"/>
          <w:highlight w:val="none"/>
        </w:rPr>
        <w:t>①价格项（</w:t>
      </w:r>
      <w:r>
        <w:rPr>
          <w:rFonts w:ascii="Calibri" w:hAnsi="Calibri" w:eastAsia="宋体" w:cs="Calibri"/>
          <w:color w:val="auto"/>
          <w:highlight w:val="none"/>
        </w:rPr>
        <w:t>F1</w:t>
      </w:r>
      <w:r>
        <w:rPr>
          <w:rFonts w:hint="eastAsia" w:ascii="宋体" w:hAnsi="宋体" w:eastAsia="宋体" w:cs="宋体"/>
          <w:color w:val="auto"/>
          <w:highlight w:val="none"/>
        </w:rPr>
        <w:t>×</w:t>
      </w:r>
      <w:r>
        <w:rPr>
          <w:rFonts w:ascii="Calibri" w:hAnsi="Calibri" w:eastAsia="宋体" w:cs="Calibri"/>
          <w:color w:val="auto"/>
          <w:highlight w:val="none"/>
        </w:rPr>
        <w:t>A1</w:t>
      </w:r>
      <w:r>
        <w:rPr>
          <w:rFonts w:hint="eastAsia" w:ascii="宋体" w:hAnsi="宋体" w:eastAsia="宋体" w:cs="宋体"/>
          <w:color w:val="auto"/>
          <w:highlight w:val="none"/>
        </w:rPr>
        <w:t>）满分为</w:t>
      </w:r>
      <w:r>
        <w:rPr>
          <w:rFonts w:hint="eastAsia" w:ascii="宋体" w:hAnsi="宋体" w:eastAsia="宋体" w:cs="宋体"/>
          <w:color w:val="auto"/>
          <w:highlight w:val="none"/>
          <w:u w:val="single"/>
        </w:rPr>
        <w:t>10</w:t>
      </w:r>
      <w:r>
        <w:rPr>
          <w:rFonts w:hint="eastAsia" w:ascii="宋体" w:hAnsi="宋体" w:eastAsia="宋体" w:cs="宋体"/>
          <w:color w:val="auto"/>
          <w:highlight w:val="none"/>
        </w:rPr>
        <w:t>分。</w:t>
      </w:r>
    </w:p>
    <w:tbl>
      <w:tblPr>
        <w:tblStyle w:val="13"/>
        <w:tblW w:w="9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7126"/>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607" w:type="dxa"/>
            <w:vAlign w:val="center"/>
          </w:tcPr>
          <w:p>
            <w:pPr>
              <w:snapToGrid w:val="0"/>
              <w:jc w:val="center"/>
              <w:rPr>
                <w:rFonts w:ascii="宋体"/>
                <w:b/>
                <w:color w:val="auto"/>
                <w:szCs w:val="21"/>
                <w:highlight w:val="none"/>
              </w:rPr>
            </w:pPr>
            <w:r>
              <w:rPr>
                <w:rFonts w:hint="eastAsia" w:ascii="宋体" w:hAnsi="宋体"/>
                <w:b/>
                <w:color w:val="auto"/>
                <w:szCs w:val="21"/>
                <w:highlight w:val="none"/>
              </w:rPr>
              <w:t>评标项目</w:t>
            </w:r>
          </w:p>
        </w:tc>
        <w:tc>
          <w:tcPr>
            <w:tcW w:w="7126" w:type="dxa"/>
            <w:vAlign w:val="center"/>
          </w:tcPr>
          <w:p>
            <w:pPr>
              <w:snapToGrid w:val="0"/>
              <w:jc w:val="center"/>
              <w:rPr>
                <w:rFonts w:ascii="宋体"/>
                <w:b/>
                <w:color w:val="auto"/>
                <w:szCs w:val="21"/>
                <w:highlight w:val="none"/>
              </w:rPr>
            </w:pPr>
            <w:r>
              <w:rPr>
                <w:rFonts w:hint="eastAsia" w:ascii="宋体" w:hAnsi="宋体"/>
                <w:b/>
                <w:color w:val="auto"/>
                <w:szCs w:val="21"/>
                <w:highlight w:val="none"/>
              </w:rPr>
              <w:t>评标内容</w:t>
            </w:r>
          </w:p>
        </w:tc>
        <w:tc>
          <w:tcPr>
            <w:tcW w:w="851" w:type="dxa"/>
            <w:vAlign w:val="center"/>
          </w:tcPr>
          <w:p>
            <w:pPr>
              <w:snapToGrid w:val="0"/>
              <w:jc w:val="center"/>
              <w:rPr>
                <w:rFonts w:ascii="宋体"/>
                <w:b/>
                <w:color w:val="auto"/>
                <w:szCs w:val="21"/>
                <w:highlight w:val="none"/>
              </w:rPr>
            </w:pPr>
            <w:r>
              <w:rPr>
                <w:rFonts w:hint="eastAsia" w:ascii="宋体" w:hAnsi="宋体"/>
                <w:b/>
                <w:color w:val="auto"/>
                <w:szCs w:val="21"/>
                <w:highlight w:val="none"/>
              </w:rPr>
              <w:t>最高</w:t>
            </w:r>
          </w:p>
          <w:p>
            <w:pPr>
              <w:snapToGrid w:val="0"/>
              <w:jc w:val="center"/>
              <w:rPr>
                <w:rFonts w:ascii="宋体"/>
                <w:b/>
                <w:color w:val="auto"/>
                <w:szCs w:val="21"/>
                <w:highlight w:val="none"/>
              </w:rPr>
            </w:pPr>
            <w:r>
              <w:rPr>
                <w:rFonts w:hint="eastAsia" w:ascii="宋体" w:hAnsi="宋体"/>
                <w:b/>
                <w:color w:val="auto"/>
                <w:szCs w:val="21"/>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607" w:type="dxa"/>
            <w:vAlign w:val="center"/>
          </w:tcPr>
          <w:p>
            <w:pPr>
              <w:widowControl/>
              <w:snapToGrid w:val="0"/>
              <w:jc w:val="center"/>
              <w:rPr>
                <w:rFonts w:hint="eastAsia" w:ascii="宋体" w:hAnsi="宋体"/>
                <w:color w:val="auto"/>
                <w:kern w:val="0"/>
                <w:szCs w:val="21"/>
                <w:highlight w:val="none"/>
              </w:rPr>
            </w:pPr>
            <w:r>
              <w:rPr>
                <w:rFonts w:hint="eastAsia" w:ascii="宋体" w:hAnsi="宋体"/>
                <w:color w:val="auto"/>
                <w:kern w:val="0"/>
                <w:szCs w:val="21"/>
                <w:highlight w:val="none"/>
              </w:rPr>
              <w:t>装修投入</w:t>
            </w:r>
          </w:p>
          <w:p>
            <w:pPr>
              <w:widowControl/>
              <w:snapToGrid w:val="0"/>
              <w:jc w:val="center"/>
              <w:rPr>
                <w:rFonts w:hint="eastAsia" w:ascii="宋体" w:hAnsi="宋体" w:cs="宋体"/>
                <w:color w:val="auto"/>
                <w:kern w:val="0"/>
                <w:szCs w:val="21"/>
                <w:highlight w:val="none"/>
              </w:rPr>
            </w:pPr>
            <w:r>
              <w:rPr>
                <w:rFonts w:hint="eastAsia" w:ascii="宋体" w:hAnsi="宋体"/>
                <w:color w:val="auto"/>
                <w:kern w:val="0"/>
                <w:szCs w:val="21"/>
                <w:highlight w:val="none"/>
              </w:rPr>
              <w:t>（满分10分)</w:t>
            </w:r>
          </w:p>
        </w:tc>
        <w:tc>
          <w:tcPr>
            <w:tcW w:w="7126" w:type="dxa"/>
            <w:vAlign w:val="center"/>
          </w:tcPr>
          <w:p>
            <w:pPr>
              <w:widowControl/>
              <w:spacing w:line="360" w:lineRule="auto"/>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根据投标人</w:t>
            </w:r>
            <w:r>
              <w:rPr>
                <w:rFonts w:hint="eastAsia" w:ascii="宋体" w:hAnsi="宋体" w:cs="宋体"/>
                <w:color w:val="auto"/>
                <w:kern w:val="0"/>
                <w:szCs w:val="21"/>
                <w:highlight w:val="none"/>
                <w:lang w:eastAsia="zh-CN"/>
              </w:rPr>
              <w:t>提供的《泉州师范学院第五餐厅经营权承包项目招标</w:t>
            </w:r>
          </w:p>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费用承诺书》，投标人</w:t>
            </w:r>
            <w:r>
              <w:rPr>
                <w:rFonts w:hint="eastAsia" w:ascii="宋体" w:hAnsi="宋体" w:cs="宋体"/>
                <w:color w:val="auto"/>
                <w:kern w:val="0"/>
                <w:szCs w:val="21"/>
                <w:highlight w:val="none"/>
              </w:rPr>
              <w:t>承诺在装修改造和设施设备添置的投入情况，承诺资金投入费用满足800万元的得0分，每增加10万元加1分，投标人未承诺或承诺资金低于800万元的视为无效报价。（满分10分）</w:t>
            </w:r>
          </w:p>
        </w:tc>
        <w:tc>
          <w:tcPr>
            <w:tcW w:w="851" w:type="dxa"/>
            <w:vAlign w:val="center"/>
          </w:tcPr>
          <w:p>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w:t>
            </w:r>
          </w:p>
        </w:tc>
      </w:tr>
    </w:tbl>
    <w:p>
      <w:pPr>
        <w:pStyle w:val="12"/>
        <w:widowControl/>
        <w:ind w:firstLine="480"/>
        <w:rPr>
          <w:color w:val="auto"/>
          <w:highlight w:val="none"/>
        </w:rPr>
      </w:pPr>
      <w:r>
        <w:rPr>
          <w:color w:val="auto"/>
          <w:highlight w:val="none"/>
        </w:rPr>
        <w:t xml:space="preserve"> </w:t>
      </w:r>
    </w:p>
    <w:p>
      <w:pPr>
        <w:pStyle w:val="12"/>
        <w:widowControl/>
        <w:ind w:firstLine="480"/>
        <w:rPr>
          <w:rFonts w:hint="eastAsia" w:ascii="宋体" w:hAnsi="宋体" w:eastAsia="宋体" w:cs="宋体"/>
          <w:color w:val="auto"/>
          <w:highlight w:val="none"/>
        </w:rPr>
      </w:pPr>
      <w:r>
        <w:rPr>
          <w:rFonts w:hint="eastAsia" w:ascii="宋体" w:hAnsi="宋体" w:eastAsia="宋体" w:cs="宋体"/>
          <w:color w:val="auto"/>
          <w:highlight w:val="none"/>
        </w:rPr>
        <w:t>②技术项（</w:t>
      </w:r>
      <w:r>
        <w:rPr>
          <w:rFonts w:ascii="Calibri" w:hAnsi="Calibri" w:eastAsia="宋体" w:cs="Calibri"/>
          <w:color w:val="auto"/>
          <w:highlight w:val="none"/>
        </w:rPr>
        <w:t>F2</w:t>
      </w:r>
      <w:r>
        <w:rPr>
          <w:rFonts w:hint="eastAsia" w:ascii="宋体" w:hAnsi="宋体" w:eastAsia="宋体" w:cs="宋体"/>
          <w:color w:val="auto"/>
          <w:highlight w:val="none"/>
        </w:rPr>
        <w:t>×</w:t>
      </w:r>
      <w:r>
        <w:rPr>
          <w:rFonts w:ascii="Calibri" w:hAnsi="Calibri" w:eastAsia="宋体" w:cs="Calibri"/>
          <w:color w:val="auto"/>
          <w:highlight w:val="none"/>
        </w:rPr>
        <w:t>A2</w:t>
      </w:r>
      <w:r>
        <w:rPr>
          <w:rFonts w:hint="eastAsia" w:ascii="宋体" w:hAnsi="宋体" w:eastAsia="宋体" w:cs="宋体"/>
          <w:color w:val="auto"/>
          <w:highlight w:val="none"/>
        </w:rPr>
        <w:t>）满分为</w:t>
      </w:r>
      <w:r>
        <w:rPr>
          <w:rFonts w:hint="eastAsia" w:ascii="宋体" w:hAnsi="宋体" w:eastAsia="宋体" w:cs="宋体"/>
          <w:color w:val="auto"/>
          <w:highlight w:val="none"/>
          <w:u w:val="single"/>
        </w:rPr>
        <w:t>7</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rPr>
        <w:t>分。</w:t>
      </w:r>
    </w:p>
    <w:tbl>
      <w:tblPr>
        <w:tblStyle w:val="13"/>
        <w:tblW w:w="9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724"/>
        <w:gridCol w:w="7126"/>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883" w:type="dxa"/>
            <w:vAlign w:val="center"/>
          </w:tcPr>
          <w:p>
            <w:pPr>
              <w:snapToGrid w:val="0"/>
              <w:rPr>
                <w:rFonts w:ascii="宋体" w:hAnsi="宋体"/>
                <w:color w:val="auto"/>
                <w:szCs w:val="21"/>
                <w:highlight w:val="none"/>
              </w:rPr>
            </w:pPr>
            <w:r>
              <w:rPr>
                <w:rFonts w:hint="eastAsia" w:ascii="宋体" w:hAnsi="宋体"/>
                <w:color w:val="auto"/>
                <w:szCs w:val="21"/>
                <w:highlight w:val="none"/>
              </w:rPr>
              <w:t>基本要求的符合性</w:t>
            </w:r>
          </w:p>
        </w:tc>
        <w:tc>
          <w:tcPr>
            <w:tcW w:w="724" w:type="dxa"/>
            <w:vAlign w:val="center"/>
          </w:tcPr>
          <w:p>
            <w:pPr>
              <w:snapToGrid w:val="0"/>
              <w:jc w:val="center"/>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5</w:t>
            </w:r>
            <w:r>
              <w:rPr>
                <w:rFonts w:hint="eastAsia" w:ascii="宋体" w:hAnsi="宋体"/>
                <w:color w:val="auto"/>
                <w:szCs w:val="21"/>
                <w:highlight w:val="none"/>
              </w:rPr>
              <w:t>分</w:t>
            </w:r>
          </w:p>
        </w:tc>
        <w:tc>
          <w:tcPr>
            <w:tcW w:w="7126" w:type="dxa"/>
            <w:vAlign w:val="center"/>
          </w:tcPr>
          <w:p>
            <w:pPr>
              <w:pStyle w:val="24"/>
              <w:snapToGrid w:val="0"/>
              <w:rPr>
                <w:rFonts w:cs="宋体"/>
                <w:color w:val="auto"/>
                <w:sz w:val="21"/>
                <w:szCs w:val="21"/>
                <w:highlight w:val="none"/>
              </w:rPr>
            </w:pPr>
            <w:r>
              <w:rPr>
                <w:rFonts w:hint="eastAsia" w:cs="宋体"/>
                <w:color w:val="auto"/>
                <w:sz w:val="21"/>
                <w:szCs w:val="21"/>
                <w:highlight w:val="none"/>
              </w:rPr>
              <w:t>投标人全部响应《招标文件》第二部分的“基本要求”的得3</w:t>
            </w:r>
            <w:r>
              <w:rPr>
                <w:rFonts w:hint="eastAsia" w:cs="宋体"/>
                <w:color w:val="auto"/>
                <w:sz w:val="21"/>
                <w:szCs w:val="21"/>
                <w:highlight w:val="none"/>
                <w:lang w:val="en-US" w:eastAsia="zh-CN"/>
              </w:rPr>
              <w:t>5</w:t>
            </w:r>
            <w:r>
              <w:rPr>
                <w:rFonts w:hint="eastAsia" w:cs="宋体"/>
                <w:color w:val="auto"/>
                <w:sz w:val="21"/>
                <w:szCs w:val="21"/>
                <w:highlight w:val="none"/>
              </w:rPr>
              <w:t>分；有负偏离的为无效投标。</w:t>
            </w:r>
          </w:p>
        </w:tc>
        <w:tc>
          <w:tcPr>
            <w:tcW w:w="851" w:type="dxa"/>
            <w:vAlign w:val="center"/>
          </w:tcPr>
          <w:p>
            <w:pPr>
              <w:snapToGrid w:val="0"/>
              <w:jc w:val="center"/>
              <w:rPr>
                <w:rFonts w:hint="eastAsia" w:ascii="宋体" w:hAnsi="宋体" w:eastAsiaTheme="minorEastAsia"/>
                <w:color w:val="auto"/>
                <w:szCs w:val="21"/>
                <w:highlight w:val="none"/>
                <w:lang w:eastAsia="zh-CN"/>
              </w:rPr>
            </w:pPr>
            <w:r>
              <w:rPr>
                <w:rFonts w:hint="eastAsia" w:ascii="宋体" w:hAnsi="宋体"/>
                <w:color w:val="auto"/>
                <w:szCs w:val="21"/>
                <w:highlight w:val="none"/>
              </w:rPr>
              <w:t>3</w:t>
            </w:r>
            <w:r>
              <w:rPr>
                <w:rFonts w:hint="eastAsia" w:ascii="宋体" w:hAnsi="宋体"/>
                <w:color w:val="auto"/>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883" w:type="dxa"/>
            <w:vMerge w:val="restart"/>
            <w:vAlign w:val="center"/>
          </w:tcPr>
          <w:p>
            <w:pPr>
              <w:snapToGrid w:val="0"/>
              <w:rPr>
                <w:rFonts w:ascii="宋体" w:hAnsi="宋体"/>
                <w:color w:val="auto"/>
                <w:szCs w:val="21"/>
                <w:highlight w:val="none"/>
              </w:rPr>
            </w:pPr>
            <w:r>
              <w:rPr>
                <w:rFonts w:hint="eastAsia" w:ascii="宋体" w:hAnsi="宋体"/>
                <w:color w:val="auto"/>
                <w:szCs w:val="21"/>
                <w:highlight w:val="none"/>
              </w:rPr>
              <w:t>装修方案（满分15分）</w:t>
            </w:r>
          </w:p>
          <w:p>
            <w:pPr>
              <w:snapToGrid w:val="0"/>
              <w:rPr>
                <w:rFonts w:ascii="宋体" w:hAnsi="宋体"/>
                <w:color w:val="auto"/>
                <w:szCs w:val="21"/>
                <w:highlight w:val="none"/>
              </w:rPr>
            </w:pPr>
          </w:p>
          <w:p>
            <w:pPr>
              <w:snapToGrid w:val="0"/>
              <w:rPr>
                <w:rFonts w:ascii="宋体" w:hAnsi="宋体"/>
                <w:color w:val="auto"/>
                <w:szCs w:val="21"/>
                <w:highlight w:val="none"/>
              </w:rPr>
            </w:pPr>
          </w:p>
          <w:p>
            <w:pPr>
              <w:snapToGrid w:val="0"/>
              <w:rPr>
                <w:rFonts w:ascii="宋体" w:hAnsi="宋体"/>
                <w:color w:val="auto"/>
                <w:szCs w:val="21"/>
                <w:highlight w:val="none"/>
              </w:rPr>
            </w:pPr>
          </w:p>
          <w:p>
            <w:pPr>
              <w:snapToGrid w:val="0"/>
              <w:rPr>
                <w:rFonts w:ascii="宋体"/>
                <w:color w:val="auto"/>
                <w:szCs w:val="21"/>
                <w:highlight w:val="none"/>
              </w:rPr>
            </w:pPr>
          </w:p>
        </w:tc>
        <w:tc>
          <w:tcPr>
            <w:tcW w:w="724" w:type="dxa"/>
            <w:vAlign w:val="center"/>
          </w:tcPr>
          <w:p>
            <w:pPr>
              <w:snapToGrid w:val="0"/>
              <w:jc w:val="center"/>
              <w:rPr>
                <w:rFonts w:ascii="宋体" w:hAnsi="宋体"/>
                <w:color w:val="auto"/>
                <w:szCs w:val="21"/>
                <w:highlight w:val="none"/>
              </w:rPr>
            </w:pPr>
            <w:r>
              <w:rPr>
                <w:rFonts w:hint="eastAsia" w:ascii="宋体" w:hAnsi="宋体"/>
                <w:color w:val="auto"/>
                <w:szCs w:val="21"/>
                <w:highlight w:val="none"/>
              </w:rPr>
              <w:t>平面功能划分</w:t>
            </w:r>
          </w:p>
        </w:tc>
        <w:tc>
          <w:tcPr>
            <w:tcW w:w="7126" w:type="dxa"/>
            <w:vAlign w:val="center"/>
          </w:tcPr>
          <w:p>
            <w:pPr>
              <w:widowControl/>
              <w:spacing w:line="360" w:lineRule="auto"/>
              <w:jc w:val="left"/>
              <w:rPr>
                <w:rFonts w:hint="eastAsia" w:ascii="宋体" w:hAnsi="宋体" w:cs="宋体"/>
                <w:b/>
                <w:bCs/>
                <w:color w:val="auto"/>
                <w:kern w:val="0"/>
                <w:szCs w:val="21"/>
                <w:highlight w:val="none"/>
                <w:lang w:eastAsia="zh-CN"/>
              </w:rPr>
            </w:pPr>
            <w:r>
              <w:rPr>
                <w:rFonts w:hint="eastAsia" w:ascii="宋体" w:hAnsi="宋体" w:cs="宋体"/>
                <w:color w:val="auto"/>
                <w:kern w:val="0"/>
                <w:szCs w:val="21"/>
                <w:highlight w:val="none"/>
              </w:rPr>
              <w:t>根据投标人提供的平面改造设计图的平面功能划分设计情况进行评审，平面改造设计图至少须包含有平面布置图、人流疏散路线、食材原料输送动线、半成品输送线、出品输送动线、碗碟回收动线、天花材料图、地面材料图</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水电布局、厨余排污布局、空调布局及冻库等内容，设计方案内容丰富且完整、可行性强的得3分，设计方案内容比较简易但完整、可行性较强的得2分，设计方案内容比较简易但完整、可行性一般的得1分，未按要求提供设计图或图纸内包含的内容不完整的不得分。（满分3分）</w:t>
            </w:r>
          </w:p>
          <w:p>
            <w:pPr>
              <w:widowControl/>
              <w:spacing w:line="360" w:lineRule="auto"/>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注：</w:t>
            </w:r>
            <w:r>
              <w:rPr>
                <w:rFonts w:hint="eastAsia" w:ascii="宋体" w:hAnsi="宋体" w:cs="宋体"/>
                <w:color w:val="auto"/>
                <w:kern w:val="0"/>
                <w:szCs w:val="21"/>
                <w:highlight w:val="none"/>
                <w:lang w:eastAsia="zh-CN"/>
              </w:rPr>
              <w:t>因投标文件统一要求为A4幅面纸张打印装订，若相关图纸因幅面原因无法详细、清晰的体现相关内容，投标人须另外单独提供内容详细、清晰的图纸原件并装订成册作为附件材料以供评委现场评审，否则视为未按要求提供图纸且相应的评审项目不得分。</w:t>
            </w:r>
          </w:p>
        </w:tc>
        <w:tc>
          <w:tcPr>
            <w:tcW w:w="851" w:type="dxa"/>
            <w:vAlign w:val="center"/>
          </w:tcPr>
          <w:p>
            <w:pPr>
              <w:snapToGrid w:val="0"/>
              <w:jc w:val="center"/>
              <w:rPr>
                <w:rFonts w:ascii="宋体" w:hAnsi="宋体"/>
                <w:color w:val="auto"/>
                <w:szCs w:val="21"/>
                <w:highlight w:val="none"/>
              </w:rPr>
            </w:pPr>
            <w:r>
              <w:rPr>
                <w:rFonts w:hint="eastAsia" w:ascii="宋体" w:hAnsi="宋体"/>
                <w:color w:val="auto"/>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883" w:type="dxa"/>
            <w:vMerge w:val="continue"/>
            <w:vAlign w:val="center"/>
          </w:tcPr>
          <w:p>
            <w:pPr>
              <w:snapToGrid w:val="0"/>
              <w:rPr>
                <w:rFonts w:ascii="宋体" w:hAnsi="宋体"/>
                <w:color w:val="auto"/>
                <w:szCs w:val="21"/>
                <w:highlight w:val="none"/>
              </w:rPr>
            </w:pPr>
          </w:p>
        </w:tc>
        <w:tc>
          <w:tcPr>
            <w:tcW w:w="724" w:type="dxa"/>
            <w:vAlign w:val="center"/>
          </w:tcPr>
          <w:p>
            <w:pPr>
              <w:snapToGrid w:val="0"/>
              <w:jc w:val="center"/>
              <w:rPr>
                <w:rFonts w:ascii="宋体" w:hAnsi="宋体"/>
                <w:color w:val="auto"/>
                <w:szCs w:val="21"/>
                <w:highlight w:val="none"/>
              </w:rPr>
            </w:pPr>
            <w:r>
              <w:rPr>
                <w:rFonts w:hint="eastAsia" w:ascii="宋体" w:hAnsi="宋体"/>
                <w:color w:val="auto"/>
                <w:szCs w:val="21"/>
                <w:highlight w:val="none"/>
              </w:rPr>
              <w:t>各空间效果风格</w:t>
            </w:r>
          </w:p>
        </w:tc>
        <w:tc>
          <w:tcPr>
            <w:tcW w:w="7126" w:type="dxa"/>
            <w:vAlign w:val="center"/>
          </w:tcPr>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根据投标人提供的餐厅布置效果图及风格定位图进行评审，效果图内容需包含自助餐区，大众餐区，包厢，特色餐厅，其他区域等部分，同时每部分须包含地面、墙面、天花装修效果，风格定位准确、设计方案内容丰富且完整、可行性强的得3分，设计方案内容比较简易但完整、可行性较强的得2分，设计方案内容比较简易但完整、可行性一般的得1分，未按要求提供设计图或图纸内包含的内容不完整的不得分。（满分3分）</w:t>
            </w:r>
          </w:p>
          <w:p>
            <w:pPr>
              <w:widowControl/>
              <w:spacing w:line="360" w:lineRule="auto"/>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注：</w:t>
            </w:r>
            <w:r>
              <w:rPr>
                <w:rFonts w:hint="eastAsia" w:ascii="宋体" w:hAnsi="宋体" w:cs="宋体"/>
                <w:color w:val="auto"/>
                <w:kern w:val="0"/>
                <w:szCs w:val="21"/>
                <w:highlight w:val="none"/>
                <w:lang w:eastAsia="zh-CN"/>
              </w:rPr>
              <w:t>因投标文件统一要求为A4幅面纸张打印装订，若相关图纸因幅面原因无法详细、清晰的体现相关内容，投标人须另外单独提供内容详细、清晰的图纸原件并装订成册作为附件材料以供评委现场评审，否则视为未按要求提供图纸且相应的评审项目不得分。</w:t>
            </w:r>
          </w:p>
        </w:tc>
        <w:tc>
          <w:tcPr>
            <w:tcW w:w="851" w:type="dxa"/>
            <w:vAlign w:val="center"/>
          </w:tcPr>
          <w:p>
            <w:pPr>
              <w:snapToGrid w:val="0"/>
              <w:jc w:val="center"/>
              <w:rPr>
                <w:rFonts w:ascii="宋体" w:hAnsi="宋体"/>
                <w:color w:val="auto"/>
                <w:szCs w:val="21"/>
                <w:highlight w:val="none"/>
              </w:rPr>
            </w:pPr>
            <w:r>
              <w:rPr>
                <w:rFonts w:hint="eastAsia" w:ascii="宋体" w:hAnsi="宋体"/>
                <w:color w:val="auto"/>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883" w:type="dxa"/>
            <w:vMerge w:val="continue"/>
            <w:vAlign w:val="center"/>
          </w:tcPr>
          <w:p>
            <w:pPr>
              <w:snapToGrid w:val="0"/>
              <w:rPr>
                <w:rFonts w:ascii="宋体" w:hAnsi="宋体"/>
                <w:color w:val="auto"/>
                <w:szCs w:val="21"/>
                <w:highlight w:val="none"/>
              </w:rPr>
            </w:pPr>
          </w:p>
        </w:tc>
        <w:tc>
          <w:tcPr>
            <w:tcW w:w="724" w:type="dxa"/>
            <w:vAlign w:val="center"/>
          </w:tcPr>
          <w:p>
            <w:pPr>
              <w:snapToGrid w:val="0"/>
              <w:jc w:val="center"/>
              <w:rPr>
                <w:rFonts w:ascii="宋体" w:hAnsi="宋体"/>
                <w:color w:val="auto"/>
                <w:szCs w:val="21"/>
                <w:highlight w:val="none"/>
              </w:rPr>
            </w:pPr>
            <w:r>
              <w:rPr>
                <w:rFonts w:hint="eastAsia" w:ascii="宋体" w:hAnsi="宋体"/>
                <w:color w:val="auto"/>
                <w:szCs w:val="21"/>
                <w:highlight w:val="none"/>
              </w:rPr>
              <w:t>主要空间立面及材料</w:t>
            </w:r>
          </w:p>
        </w:tc>
        <w:tc>
          <w:tcPr>
            <w:tcW w:w="7126" w:type="dxa"/>
            <w:vAlign w:val="center"/>
          </w:tcPr>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主要空间(自助餐区、大众餐区立面、特色餐厅、档口内部）应提供立面及材料分析图，立面图需包含立面造型、尺寸标注，材料(硬装材料、五金洁具）明细及材料规格，设计方案内容丰富且完整、可行性强的得3分，设计方案内容比较简易但完整、可行性较强的得2分，设计方案内容比较简易但完整、可行性一般的得1分,未按要求提供设计图或图纸内包含的内容不完整的不得分。（满分3分）</w:t>
            </w:r>
          </w:p>
          <w:p>
            <w:pPr>
              <w:widowControl/>
              <w:spacing w:line="360" w:lineRule="auto"/>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注：</w:t>
            </w:r>
            <w:r>
              <w:rPr>
                <w:rFonts w:hint="eastAsia" w:ascii="宋体" w:hAnsi="宋体" w:cs="宋体"/>
                <w:color w:val="auto"/>
                <w:kern w:val="0"/>
                <w:szCs w:val="21"/>
                <w:highlight w:val="none"/>
                <w:lang w:eastAsia="zh-CN"/>
              </w:rPr>
              <w:t>因投标文件统一要求为A4幅面纸张打印装订，若相关图纸因幅面原因无法详细、清晰的体现相关内容，投标人须另外单独提供内容详细、清晰的图纸原件并装订成册作为附件材料以供评委现场评审，否则视为未按要求提供图纸且相应的评审项目不得分。</w:t>
            </w:r>
          </w:p>
        </w:tc>
        <w:tc>
          <w:tcPr>
            <w:tcW w:w="851" w:type="dxa"/>
            <w:vAlign w:val="center"/>
          </w:tcPr>
          <w:p>
            <w:pPr>
              <w:snapToGrid w:val="0"/>
              <w:jc w:val="center"/>
              <w:rPr>
                <w:rFonts w:ascii="宋体" w:hAnsi="宋体"/>
                <w:color w:val="auto"/>
                <w:szCs w:val="21"/>
                <w:highlight w:val="none"/>
              </w:rPr>
            </w:pPr>
            <w:r>
              <w:rPr>
                <w:rFonts w:hint="eastAsia" w:ascii="宋体" w:hAnsi="宋体"/>
                <w:color w:val="auto"/>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883" w:type="dxa"/>
            <w:vMerge w:val="continue"/>
            <w:vAlign w:val="center"/>
          </w:tcPr>
          <w:p>
            <w:pPr>
              <w:snapToGrid w:val="0"/>
              <w:rPr>
                <w:rFonts w:ascii="宋体" w:hAnsi="宋体"/>
                <w:color w:val="auto"/>
                <w:szCs w:val="21"/>
                <w:highlight w:val="none"/>
              </w:rPr>
            </w:pPr>
          </w:p>
        </w:tc>
        <w:tc>
          <w:tcPr>
            <w:tcW w:w="724" w:type="dxa"/>
            <w:vAlign w:val="center"/>
          </w:tcPr>
          <w:p>
            <w:pPr>
              <w:snapToGrid w:val="0"/>
              <w:jc w:val="center"/>
              <w:rPr>
                <w:rFonts w:ascii="宋体" w:hAnsi="宋体"/>
                <w:color w:val="auto"/>
                <w:szCs w:val="21"/>
                <w:highlight w:val="none"/>
              </w:rPr>
            </w:pPr>
            <w:r>
              <w:rPr>
                <w:rFonts w:hint="eastAsia" w:ascii="宋体" w:hAnsi="宋体"/>
                <w:color w:val="auto"/>
                <w:szCs w:val="21"/>
                <w:highlight w:val="none"/>
              </w:rPr>
              <w:t>明厨亮灶</w:t>
            </w:r>
          </w:p>
        </w:tc>
        <w:tc>
          <w:tcPr>
            <w:tcW w:w="7126" w:type="dxa"/>
            <w:vAlign w:val="center"/>
          </w:tcPr>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根据投标人提供与智慧食堂系统相衔接的餐厅、后厨监控方案、布点、明厨亮灶情况等方案进行评审，方案内容丰富且完整、可行性强的得3分，方案内容比较简易但完整、可行性较强的得2分，方案内容比较简易但完整、可行性一般的得1分，未按要求提供方案或方案内包含的内容不完整的不得分。（满分3分）</w:t>
            </w:r>
          </w:p>
        </w:tc>
        <w:tc>
          <w:tcPr>
            <w:tcW w:w="851" w:type="dxa"/>
            <w:vAlign w:val="center"/>
          </w:tcPr>
          <w:p>
            <w:pPr>
              <w:snapToGrid w:val="0"/>
              <w:jc w:val="center"/>
              <w:rPr>
                <w:rFonts w:ascii="宋体" w:hAnsi="宋体"/>
                <w:color w:val="auto"/>
                <w:szCs w:val="21"/>
                <w:highlight w:val="none"/>
              </w:rPr>
            </w:pPr>
            <w:r>
              <w:rPr>
                <w:rFonts w:hint="eastAsia" w:ascii="宋体" w:hAnsi="宋体"/>
                <w:color w:val="auto"/>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jc w:val="center"/>
        </w:trPr>
        <w:tc>
          <w:tcPr>
            <w:tcW w:w="883" w:type="dxa"/>
            <w:vMerge w:val="continue"/>
            <w:vAlign w:val="center"/>
          </w:tcPr>
          <w:p>
            <w:pPr>
              <w:snapToGrid w:val="0"/>
              <w:rPr>
                <w:rFonts w:ascii="宋体" w:hAnsi="宋体"/>
                <w:color w:val="auto"/>
                <w:szCs w:val="21"/>
                <w:highlight w:val="none"/>
              </w:rPr>
            </w:pPr>
          </w:p>
        </w:tc>
        <w:tc>
          <w:tcPr>
            <w:tcW w:w="724" w:type="dxa"/>
            <w:vAlign w:val="center"/>
          </w:tcPr>
          <w:p>
            <w:pPr>
              <w:widowControl/>
              <w:jc w:val="left"/>
              <w:rPr>
                <w:rFonts w:ascii="宋体" w:hAnsi="宋体" w:cs="宋体"/>
                <w:color w:val="auto"/>
                <w:kern w:val="0"/>
                <w:szCs w:val="21"/>
                <w:highlight w:val="none"/>
              </w:rPr>
            </w:pPr>
            <w:r>
              <w:rPr>
                <w:rFonts w:hint="eastAsia" w:ascii="宋体" w:hAnsi="宋体"/>
                <w:color w:val="auto"/>
                <w:szCs w:val="21"/>
                <w:highlight w:val="none"/>
              </w:rPr>
              <w:t>档口布局的情况</w:t>
            </w:r>
          </w:p>
        </w:tc>
        <w:tc>
          <w:tcPr>
            <w:tcW w:w="7126" w:type="dxa"/>
            <w:vAlign w:val="center"/>
          </w:tcPr>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根据投标人提供的档口布局方案以及相关平面布局设计图进行评审，每个档口须单独提供设计图，要求包含10个以上特色风味档口种类、每个档口面积不高于20㎡不低于12㎡，每个档口设备须以各个品类进行布局设计，且应与后厨区域设备相衔接并合理利用。布局方案及设计图内容丰富且完整、可行性强的得3分，布局方案及设计图内容比较简易但完整、可行性较强的得2分，布局方案及设计图内容比较简易但完整、可行性一般的得1分，未按要求提供平面布局设计图及方案或图纸及方案内包含的内容不完整的不得分。（满分3分）</w:t>
            </w:r>
          </w:p>
          <w:p>
            <w:pPr>
              <w:widowControl/>
              <w:spacing w:line="360" w:lineRule="auto"/>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注：</w:t>
            </w:r>
            <w:r>
              <w:rPr>
                <w:rFonts w:hint="eastAsia" w:ascii="宋体" w:hAnsi="宋体" w:cs="宋体"/>
                <w:color w:val="auto"/>
                <w:kern w:val="0"/>
                <w:szCs w:val="21"/>
                <w:highlight w:val="none"/>
                <w:lang w:eastAsia="zh-CN"/>
              </w:rPr>
              <w:t>因投标文件统一要求为A4幅面纸张打印装订，若相关图纸因幅面原因无法详细、清晰的体现相关内容，投标人须另外单独提供内容详细、清晰的图纸原件并装订成册作为附件材料以供评委现场评审，否则视为未按要求提供图纸且相应的评审项目不得分。</w:t>
            </w:r>
          </w:p>
        </w:tc>
        <w:tc>
          <w:tcPr>
            <w:tcW w:w="851" w:type="dxa"/>
            <w:vAlign w:val="center"/>
          </w:tcPr>
          <w:p>
            <w:pPr>
              <w:snapToGrid w:val="0"/>
              <w:jc w:val="center"/>
              <w:rPr>
                <w:rFonts w:ascii="宋体" w:hAnsi="宋体"/>
                <w:color w:val="auto"/>
                <w:szCs w:val="21"/>
                <w:highlight w:val="none"/>
              </w:rPr>
            </w:pPr>
            <w:r>
              <w:rPr>
                <w:rFonts w:hint="eastAsia" w:ascii="宋体" w:hAnsi="宋体"/>
                <w:color w:val="auto"/>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jc w:val="center"/>
        </w:trPr>
        <w:tc>
          <w:tcPr>
            <w:tcW w:w="883" w:type="dxa"/>
            <w:vMerge w:val="restart"/>
            <w:vAlign w:val="center"/>
          </w:tcPr>
          <w:p>
            <w:pPr>
              <w:snapToGrid w:val="0"/>
              <w:rPr>
                <w:rFonts w:ascii="宋体" w:hAnsi="宋体"/>
                <w:color w:val="auto"/>
                <w:szCs w:val="21"/>
                <w:highlight w:val="none"/>
              </w:rPr>
            </w:pPr>
            <w:r>
              <w:rPr>
                <w:rFonts w:hint="eastAsia" w:ascii="宋体" w:hAnsi="宋体"/>
                <w:color w:val="auto"/>
                <w:szCs w:val="21"/>
                <w:highlight w:val="none"/>
              </w:rPr>
              <w:t>智慧食堂系统方案(满分6分</w:t>
            </w:r>
            <w:r>
              <w:rPr>
                <w:rFonts w:ascii="宋体" w:hAnsi="宋体"/>
                <w:color w:val="auto"/>
                <w:szCs w:val="21"/>
                <w:highlight w:val="none"/>
              </w:rPr>
              <w:t>）</w:t>
            </w:r>
          </w:p>
        </w:tc>
        <w:tc>
          <w:tcPr>
            <w:tcW w:w="724" w:type="dxa"/>
            <w:vAlign w:val="center"/>
          </w:tcPr>
          <w:p>
            <w:pPr>
              <w:snapToGrid w:val="0"/>
              <w:jc w:val="center"/>
              <w:rPr>
                <w:rFonts w:ascii="宋体" w:hAnsi="宋体"/>
                <w:color w:val="auto"/>
                <w:szCs w:val="21"/>
                <w:highlight w:val="none"/>
              </w:rPr>
            </w:pPr>
            <w:r>
              <w:rPr>
                <w:rFonts w:hint="eastAsia" w:ascii="宋体" w:hAnsi="宋体"/>
                <w:color w:val="auto"/>
                <w:szCs w:val="21"/>
                <w:highlight w:val="none"/>
              </w:rPr>
              <w:t>产品功能划分</w:t>
            </w:r>
          </w:p>
          <w:p>
            <w:pPr>
              <w:snapToGrid w:val="0"/>
              <w:jc w:val="center"/>
              <w:rPr>
                <w:rFonts w:ascii="宋体" w:hAnsi="宋体"/>
                <w:color w:val="auto"/>
                <w:szCs w:val="21"/>
                <w:highlight w:val="none"/>
              </w:rPr>
            </w:pPr>
          </w:p>
        </w:tc>
        <w:tc>
          <w:tcPr>
            <w:tcW w:w="7126" w:type="dxa"/>
            <w:vAlign w:val="center"/>
          </w:tcPr>
          <w:p>
            <w:pPr>
              <w:widowControl/>
              <w:spacing w:line="360" w:lineRule="auto"/>
              <w:jc w:val="left"/>
              <w:rPr>
                <w:rFonts w:hint="default" w:ascii="宋体" w:hAnsi="宋体" w:cs="宋体" w:eastAsiaTheme="minorEastAsia"/>
                <w:color w:val="auto"/>
                <w:kern w:val="0"/>
                <w:szCs w:val="21"/>
                <w:highlight w:val="none"/>
                <w:lang w:val="en-US" w:eastAsia="zh-CN"/>
              </w:rPr>
            </w:pPr>
            <w:r>
              <w:rPr>
                <w:rFonts w:hint="eastAsia" w:ascii="宋体" w:hAnsi="宋体" w:cs="宋体"/>
                <w:color w:val="auto"/>
                <w:kern w:val="0"/>
                <w:szCs w:val="21"/>
                <w:highlight w:val="none"/>
              </w:rPr>
              <w:t>依据投标人提供的智慧食堂设备清单及产品功能进行评审，产品功能需满足实现超市化的自选菜品功能，免排队式快速结算功能，可堂食也可线上的多样式点餐方式，支持人脸识别、刷卡、扫码等多种支付方式，线上自助充值、订餐、查询、营养分析、健康管理等自助式体验，为广大师生提供组合化管理、营业健康管理、超市化、多样化、自助化的用餐体验。产品设备至少须包括：</w:t>
            </w:r>
            <w:r>
              <w:rPr>
                <w:rFonts w:hint="eastAsia" w:ascii="宋体" w:hAnsi="宋体" w:cs="宋体"/>
                <w:color w:val="auto"/>
                <w:kern w:val="0"/>
                <w:szCs w:val="21"/>
                <w:highlight w:val="none"/>
                <w:lang w:val="en-US" w:eastAsia="zh-CN"/>
              </w:rPr>
              <w:t>视觉</w:t>
            </w:r>
            <w:r>
              <w:rPr>
                <w:rFonts w:hint="eastAsia" w:ascii="宋体" w:hAnsi="宋体" w:cs="宋体"/>
                <w:color w:val="auto"/>
                <w:kern w:val="0"/>
                <w:szCs w:val="21"/>
                <w:highlight w:val="none"/>
              </w:rPr>
              <w:t>识别智慧餐台、双屏人脸消费机、双屏人脸称重机、智能保温取餐柜、AI智能秤、自助售货机、智慧食堂云系统及管理软件等。设备清单及产品功能、参数等</w:t>
            </w:r>
            <w:r>
              <w:rPr>
                <w:rFonts w:hint="eastAsia" w:ascii="宋体" w:hAnsi="宋体"/>
                <w:color w:val="auto"/>
                <w:highlight w:val="none"/>
              </w:rPr>
              <w:t>内容丰富且完整、便捷度高、可行性强的得3分，</w:t>
            </w:r>
            <w:r>
              <w:rPr>
                <w:rFonts w:hint="eastAsia" w:ascii="宋体" w:hAnsi="宋体" w:cs="宋体"/>
                <w:color w:val="auto"/>
                <w:kern w:val="0"/>
                <w:szCs w:val="21"/>
                <w:highlight w:val="none"/>
              </w:rPr>
              <w:t>设备清单及产品功能、参数等</w:t>
            </w:r>
            <w:r>
              <w:rPr>
                <w:rFonts w:hint="eastAsia" w:ascii="宋体" w:hAnsi="宋体"/>
                <w:color w:val="auto"/>
                <w:highlight w:val="none"/>
              </w:rPr>
              <w:t>内容比较简易但完整、便捷度低、可行性较强的得2分，</w:t>
            </w:r>
            <w:r>
              <w:rPr>
                <w:rFonts w:hint="eastAsia" w:ascii="宋体" w:hAnsi="宋体" w:cs="宋体"/>
                <w:color w:val="auto"/>
                <w:kern w:val="0"/>
                <w:szCs w:val="21"/>
                <w:highlight w:val="none"/>
              </w:rPr>
              <w:t>设备清单及产品功能、参数等</w:t>
            </w:r>
            <w:r>
              <w:rPr>
                <w:rFonts w:hint="eastAsia" w:ascii="宋体" w:hAnsi="宋体"/>
                <w:color w:val="auto"/>
                <w:highlight w:val="none"/>
              </w:rPr>
              <w:t>内容比较简易但完整、便捷度低、可行性一般的得1分，未按要求提供方案或方案内容不完整的不得分。</w:t>
            </w:r>
            <w:r>
              <w:rPr>
                <w:rFonts w:hint="eastAsia" w:ascii="宋体" w:hAnsi="宋体"/>
                <w:color w:val="auto"/>
                <w:szCs w:val="21"/>
                <w:highlight w:val="none"/>
              </w:rPr>
              <w:t>（满分3分）</w:t>
            </w:r>
          </w:p>
        </w:tc>
        <w:tc>
          <w:tcPr>
            <w:tcW w:w="851" w:type="dxa"/>
            <w:vAlign w:val="center"/>
          </w:tcPr>
          <w:p>
            <w:pPr>
              <w:snapToGrid w:val="0"/>
              <w:jc w:val="center"/>
              <w:rPr>
                <w:rFonts w:ascii="宋体" w:hAnsi="宋体"/>
                <w:color w:val="auto"/>
                <w:szCs w:val="21"/>
                <w:highlight w:val="none"/>
              </w:rPr>
            </w:pPr>
            <w:r>
              <w:rPr>
                <w:rFonts w:hint="eastAsia" w:ascii="宋体" w:hAnsi="宋体"/>
                <w:color w:val="auto"/>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jc w:val="center"/>
        </w:trPr>
        <w:tc>
          <w:tcPr>
            <w:tcW w:w="883" w:type="dxa"/>
            <w:vMerge w:val="continue"/>
            <w:vAlign w:val="center"/>
          </w:tcPr>
          <w:p>
            <w:pPr>
              <w:snapToGrid w:val="0"/>
              <w:rPr>
                <w:rFonts w:ascii="宋体" w:hAnsi="宋体"/>
                <w:color w:val="auto"/>
                <w:szCs w:val="21"/>
                <w:highlight w:val="none"/>
              </w:rPr>
            </w:pPr>
          </w:p>
        </w:tc>
        <w:tc>
          <w:tcPr>
            <w:tcW w:w="724" w:type="dxa"/>
            <w:vAlign w:val="center"/>
          </w:tcPr>
          <w:p>
            <w:pPr>
              <w:snapToGrid w:val="0"/>
              <w:jc w:val="center"/>
              <w:rPr>
                <w:rFonts w:ascii="宋体" w:hAnsi="宋体"/>
                <w:color w:val="auto"/>
                <w:szCs w:val="21"/>
                <w:highlight w:val="none"/>
              </w:rPr>
            </w:pPr>
            <w:r>
              <w:rPr>
                <w:rFonts w:hint="eastAsia" w:ascii="宋体" w:hAnsi="宋体"/>
                <w:color w:val="auto"/>
                <w:szCs w:val="21"/>
                <w:highlight w:val="none"/>
              </w:rPr>
              <w:t>管理方法划分</w:t>
            </w:r>
          </w:p>
        </w:tc>
        <w:tc>
          <w:tcPr>
            <w:tcW w:w="7126" w:type="dxa"/>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投标人需提供符合当前防疫政策，使用便捷度高，符合安全监管，食品安全溯源可循的智慧食堂管理方案，实现</w:t>
            </w:r>
            <w:r>
              <w:rPr>
                <w:rFonts w:ascii="宋体" w:hAnsi="宋体" w:cs="宋体"/>
                <w:color w:val="auto"/>
                <w:kern w:val="0"/>
                <w:szCs w:val="21"/>
                <w:highlight w:val="none"/>
              </w:rPr>
              <w:t>营养管理、</w:t>
            </w:r>
            <w:r>
              <w:rPr>
                <w:rFonts w:hint="eastAsia" w:ascii="宋体" w:hAnsi="宋体" w:cs="宋体"/>
                <w:color w:val="auto"/>
                <w:kern w:val="0"/>
                <w:szCs w:val="21"/>
                <w:highlight w:val="none"/>
              </w:rPr>
              <w:t>安全监管、库存管理、供应商管理、菜品数据分析、健康档案管理、师生消费分析、经营分析、财务报表管理、体现AI人工智能等方面的方案内容。</w:t>
            </w:r>
          </w:p>
          <w:p>
            <w:pPr>
              <w:widowControl/>
              <w:spacing w:line="360" w:lineRule="auto"/>
              <w:jc w:val="left"/>
              <w:rPr>
                <w:rFonts w:ascii="宋体" w:hAnsi="宋体" w:cs="宋体"/>
                <w:color w:val="auto"/>
                <w:kern w:val="0"/>
                <w:szCs w:val="21"/>
                <w:highlight w:val="none"/>
              </w:rPr>
            </w:pPr>
            <w:r>
              <w:rPr>
                <w:rFonts w:hint="eastAsia" w:ascii="宋体" w:hAnsi="宋体"/>
                <w:color w:val="auto"/>
                <w:highlight w:val="none"/>
              </w:rPr>
              <w:t>管理方案内容丰富且完整、智能化水平高、可行性强的得3分，方案内容比较简易但完整、智能化水平较低、可行性较强的得2分，方案内容比较简易但完整、智能化水平较低、可行性一般的得1分，未按要求提供方案的不得分。</w:t>
            </w:r>
            <w:r>
              <w:rPr>
                <w:rFonts w:hint="eastAsia" w:ascii="宋体" w:hAnsi="宋体"/>
                <w:color w:val="auto"/>
                <w:szCs w:val="21"/>
                <w:highlight w:val="none"/>
              </w:rPr>
              <w:t>（满分3分）</w:t>
            </w:r>
          </w:p>
        </w:tc>
        <w:tc>
          <w:tcPr>
            <w:tcW w:w="851" w:type="dxa"/>
            <w:vAlign w:val="center"/>
          </w:tcPr>
          <w:p>
            <w:pPr>
              <w:snapToGrid w:val="0"/>
              <w:jc w:val="center"/>
              <w:rPr>
                <w:rFonts w:ascii="宋体" w:hAnsi="宋体"/>
                <w:color w:val="auto"/>
                <w:szCs w:val="21"/>
                <w:highlight w:val="none"/>
              </w:rPr>
            </w:pPr>
            <w:r>
              <w:rPr>
                <w:rFonts w:hint="eastAsia" w:ascii="宋体" w:hAnsi="宋体"/>
                <w:color w:val="auto"/>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883" w:type="dxa"/>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拟投入厨房设备清单情况</w:t>
            </w:r>
          </w:p>
        </w:tc>
        <w:tc>
          <w:tcPr>
            <w:tcW w:w="724" w:type="dxa"/>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3分</w:t>
            </w:r>
          </w:p>
        </w:tc>
        <w:tc>
          <w:tcPr>
            <w:tcW w:w="7126" w:type="dxa"/>
            <w:vAlign w:val="center"/>
          </w:tcPr>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根据投标人针对本项目拟投入的厨房设施设备情况由评委进行评议及评分，</w:t>
            </w:r>
            <w:r>
              <w:rPr>
                <w:rFonts w:hint="eastAsia" w:ascii="宋体" w:hAnsi="宋体" w:cs="宋体"/>
                <w:color w:val="auto"/>
                <w:kern w:val="0"/>
                <w:szCs w:val="21"/>
                <w:highlight w:val="none"/>
                <w:lang w:eastAsia="zh-CN"/>
              </w:rPr>
              <w:t>投标人须提交拟投入的设备清单</w:t>
            </w:r>
            <w:r>
              <w:rPr>
                <w:rFonts w:hint="eastAsia" w:ascii="宋体" w:hAnsi="宋体" w:cs="宋体"/>
                <w:color w:val="auto"/>
                <w:kern w:val="0"/>
                <w:szCs w:val="21"/>
                <w:highlight w:val="none"/>
              </w:rPr>
              <w:t>（拟投入</w:t>
            </w:r>
            <w:r>
              <w:rPr>
                <w:rFonts w:hint="eastAsia" w:ascii="宋体" w:hAnsi="宋体" w:cs="宋体"/>
                <w:color w:val="auto"/>
                <w:kern w:val="0"/>
                <w:szCs w:val="21"/>
                <w:highlight w:val="none"/>
                <w:lang w:eastAsia="zh-CN"/>
              </w:rPr>
              <w:t>的设备</w:t>
            </w:r>
            <w:r>
              <w:rPr>
                <w:rFonts w:hint="eastAsia" w:ascii="宋体" w:hAnsi="宋体" w:cs="宋体"/>
                <w:color w:val="auto"/>
                <w:kern w:val="0"/>
                <w:szCs w:val="21"/>
                <w:highlight w:val="none"/>
              </w:rPr>
              <w:t>清单中须详细列明拟投入主要设备的名称、品牌、具体参数及数量等详细信息</w:t>
            </w:r>
            <w:r>
              <w:rPr>
                <w:rFonts w:hint="eastAsia" w:ascii="宋体" w:hAnsi="宋体" w:cs="宋体"/>
                <w:color w:val="auto"/>
                <w:kern w:val="0"/>
                <w:szCs w:val="21"/>
                <w:highlight w:val="none"/>
                <w:lang w:eastAsia="zh-CN"/>
              </w:rPr>
              <w:t>）以及</w:t>
            </w:r>
            <w:r>
              <w:rPr>
                <w:rFonts w:hint="eastAsia" w:ascii="宋体" w:hAnsi="宋体" w:cs="宋体"/>
                <w:color w:val="auto"/>
                <w:kern w:val="0"/>
                <w:szCs w:val="21"/>
                <w:highlight w:val="none"/>
              </w:rPr>
              <w:t>厨房平面布置图及厨房设备平面布置图</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平面图上</w:t>
            </w:r>
            <w:r>
              <w:rPr>
                <w:rFonts w:hint="eastAsia" w:ascii="宋体" w:hAnsi="宋体" w:cs="宋体"/>
                <w:color w:val="auto"/>
                <w:kern w:val="0"/>
                <w:szCs w:val="21"/>
                <w:highlight w:val="none"/>
                <w:lang w:eastAsia="zh-CN"/>
              </w:rPr>
              <w:t>须</w:t>
            </w:r>
            <w:r>
              <w:rPr>
                <w:rFonts w:hint="eastAsia" w:ascii="宋体" w:hAnsi="宋体" w:cs="宋体"/>
                <w:color w:val="auto"/>
                <w:kern w:val="0"/>
                <w:szCs w:val="21"/>
                <w:highlight w:val="none"/>
              </w:rPr>
              <w:t>标明拟投入设备编号</w:t>
            </w:r>
            <w:r>
              <w:rPr>
                <w:rFonts w:hint="eastAsia" w:ascii="宋体" w:hAnsi="宋体" w:cs="宋体"/>
                <w:color w:val="auto"/>
                <w:kern w:val="0"/>
                <w:szCs w:val="21"/>
                <w:highlight w:val="none"/>
                <w:lang w:eastAsia="zh-CN"/>
              </w:rPr>
              <w:t>或名称</w:t>
            </w:r>
            <w:r>
              <w:rPr>
                <w:rFonts w:hint="eastAsia" w:ascii="宋体" w:hAnsi="宋体" w:cs="宋体"/>
                <w:color w:val="auto"/>
                <w:kern w:val="0"/>
                <w:szCs w:val="21"/>
                <w:highlight w:val="none"/>
              </w:rPr>
              <w:t>及所处区域位置</w:t>
            </w:r>
            <w:r>
              <w:rPr>
                <w:rFonts w:hint="eastAsia" w:ascii="宋体" w:hAnsi="宋体" w:cs="宋体"/>
                <w:color w:val="auto"/>
                <w:kern w:val="0"/>
                <w:szCs w:val="21"/>
                <w:highlight w:val="none"/>
                <w:lang w:eastAsia="zh-CN"/>
              </w:rPr>
              <w:t>）做为评审依据，</w:t>
            </w:r>
            <w:r>
              <w:rPr>
                <w:rFonts w:hint="eastAsia" w:ascii="宋体" w:hAnsi="宋体" w:cs="宋体"/>
                <w:color w:val="auto"/>
                <w:kern w:val="0"/>
                <w:szCs w:val="21"/>
                <w:highlight w:val="none"/>
              </w:rPr>
              <w:t>拟投入厨房设备清单及厨房平面图详细、布局合理的得3分；拟投入厨房设备清单及厨房平面图较详细、布局较合理的得2分；拟投入厨房设备清单及厨房平面图简单、布局简单的得1分；未按要求提供厨房平面图和厨房设备清单的不得分。（满分3分）</w:t>
            </w:r>
          </w:p>
          <w:p>
            <w:pPr>
              <w:widowControl/>
              <w:spacing w:line="360" w:lineRule="auto"/>
              <w:jc w:val="left"/>
              <w:rPr>
                <w:rFonts w:hint="eastAsia" w:ascii="宋体" w:hAnsi="宋体" w:eastAsia="宋体" w:cs="宋体"/>
                <w:color w:val="auto"/>
                <w:kern w:val="0"/>
                <w:sz w:val="18"/>
                <w:szCs w:val="21"/>
                <w:highlight w:val="none"/>
                <w:lang w:eastAsia="zh-CN"/>
              </w:rPr>
            </w:pPr>
            <w:r>
              <w:rPr>
                <w:rFonts w:hint="eastAsia" w:ascii="宋体" w:hAnsi="宋体" w:cs="宋体"/>
                <w:color w:val="auto"/>
                <w:kern w:val="0"/>
                <w:szCs w:val="21"/>
                <w:highlight w:val="none"/>
              </w:rPr>
              <w:t>注：</w:t>
            </w:r>
            <w:r>
              <w:rPr>
                <w:rFonts w:hint="eastAsia" w:ascii="宋体" w:hAnsi="宋体" w:cs="宋体"/>
                <w:color w:val="auto"/>
                <w:kern w:val="0"/>
                <w:szCs w:val="21"/>
                <w:highlight w:val="none"/>
                <w:lang w:eastAsia="zh-CN"/>
              </w:rPr>
              <w:t>因投标文件统一要求为A4幅面纸张打印装订，若相关图纸因幅面原因无法详细、清晰的体现相关内容，投标人须另外单独提供内容详细、清晰的图纸原件并装订成册作为附件材料以供评委现场评审，否则视为未按要求提供图纸且相应的评审项目不得分。</w:t>
            </w:r>
          </w:p>
        </w:tc>
        <w:tc>
          <w:tcPr>
            <w:tcW w:w="851" w:type="dxa"/>
            <w:vAlign w:val="center"/>
          </w:tcPr>
          <w:p>
            <w:pPr>
              <w:snapToGrid w:val="0"/>
              <w:jc w:val="center"/>
              <w:rPr>
                <w:rFonts w:ascii="宋体" w:hAnsi="宋体"/>
                <w:color w:val="auto"/>
                <w:szCs w:val="21"/>
                <w:highlight w:val="none"/>
              </w:rPr>
            </w:pPr>
            <w:r>
              <w:rPr>
                <w:rFonts w:hint="eastAsia" w:ascii="宋体" w:hAnsi="宋体"/>
                <w:color w:val="auto"/>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883" w:type="dxa"/>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防疫防控管理</w:t>
            </w:r>
          </w:p>
        </w:tc>
        <w:tc>
          <w:tcPr>
            <w:tcW w:w="724" w:type="dxa"/>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1分</w:t>
            </w:r>
          </w:p>
        </w:tc>
        <w:tc>
          <w:tcPr>
            <w:tcW w:w="7126" w:type="dxa"/>
            <w:vAlign w:val="center"/>
          </w:tcPr>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投标人根据当前政策要求明确各岗位防疫工作流程措施，做好防疫防控工作方案，由评委进行评议并评分：方案齐全、合理、可行性高的得1分；方案不齐全、不合理、可行性一般或未提供的不得分。</w:t>
            </w:r>
          </w:p>
        </w:tc>
        <w:tc>
          <w:tcPr>
            <w:tcW w:w="851" w:type="dxa"/>
            <w:vAlign w:val="center"/>
          </w:tcPr>
          <w:p>
            <w:pPr>
              <w:snapToGrid w:val="0"/>
              <w:jc w:val="center"/>
              <w:rPr>
                <w:rFonts w:ascii="宋体" w:hAnsi="宋体"/>
                <w:color w:val="auto"/>
                <w:szCs w:val="21"/>
                <w:highlight w:val="none"/>
              </w:rPr>
            </w:pPr>
            <w:r>
              <w:rPr>
                <w:rFonts w:hint="eastAsia" w:ascii="宋体" w:hAnsi="宋体"/>
                <w:color w:val="auto"/>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883" w:type="dxa"/>
            <w:vAlign w:val="center"/>
          </w:tcPr>
          <w:p>
            <w:pPr>
              <w:snapToGrid w:val="0"/>
              <w:rPr>
                <w:rFonts w:ascii="宋体" w:hAnsi="宋体"/>
                <w:color w:val="auto"/>
                <w:szCs w:val="21"/>
                <w:highlight w:val="none"/>
              </w:rPr>
            </w:pPr>
            <w:r>
              <w:rPr>
                <w:rFonts w:hint="eastAsia" w:ascii="宋体" w:hAnsi="宋体"/>
                <w:color w:val="auto"/>
                <w:szCs w:val="21"/>
                <w:highlight w:val="none"/>
              </w:rPr>
              <w:t>食堂管理理念和经营定位</w:t>
            </w:r>
          </w:p>
        </w:tc>
        <w:tc>
          <w:tcPr>
            <w:tcW w:w="724" w:type="dxa"/>
            <w:vAlign w:val="center"/>
          </w:tcPr>
          <w:p>
            <w:pPr>
              <w:snapToGrid w:val="0"/>
              <w:jc w:val="center"/>
              <w:rPr>
                <w:rFonts w:ascii="宋体" w:hAnsi="宋体"/>
                <w:color w:val="auto"/>
                <w:szCs w:val="21"/>
                <w:highlight w:val="none"/>
              </w:rPr>
            </w:pPr>
            <w:r>
              <w:rPr>
                <w:rFonts w:hint="eastAsia" w:ascii="宋体" w:hAnsi="宋体"/>
                <w:color w:val="auto"/>
                <w:szCs w:val="21"/>
                <w:highlight w:val="none"/>
              </w:rPr>
              <w:t>1分</w:t>
            </w:r>
          </w:p>
        </w:tc>
        <w:tc>
          <w:tcPr>
            <w:tcW w:w="7126" w:type="dxa"/>
            <w:vAlign w:val="center"/>
          </w:tcPr>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人制定的承包经营总体方案和工作计划，结合自身优势针对本项目提供食堂管理理念、食堂经营定位等情况，由评委进行评议并评分：方案齐全、合理及可行性高的得1分；方案不齐全、不合理、可行性一般或未提供的不得分。</w:t>
            </w:r>
          </w:p>
        </w:tc>
        <w:tc>
          <w:tcPr>
            <w:tcW w:w="851" w:type="dxa"/>
            <w:vAlign w:val="center"/>
          </w:tcPr>
          <w:p>
            <w:pPr>
              <w:snapToGrid w:val="0"/>
              <w:jc w:val="center"/>
              <w:rPr>
                <w:rFonts w:ascii="宋体" w:hAnsi="宋体"/>
                <w:color w:val="auto"/>
                <w:szCs w:val="21"/>
                <w:highlight w:val="none"/>
              </w:rPr>
            </w:pPr>
            <w:r>
              <w:rPr>
                <w:rFonts w:hint="eastAsia" w:ascii="宋体" w:hAnsi="宋体"/>
                <w:color w:val="auto"/>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883" w:type="dxa"/>
            <w:vAlign w:val="center"/>
          </w:tcPr>
          <w:p>
            <w:pPr>
              <w:snapToGrid w:val="0"/>
              <w:rPr>
                <w:rFonts w:ascii="宋体" w:hAnsi="宋体"/>
                <w:color w:val="auto"/>
                <w:szCs w:val="21"/>
                <w:highlight w:val="none"/>
              </w:rPr>
            </w:pPr>
            <w:r>
              <w:rPr>
                <w:rFonts w:ascii="宋体" w:hAnsi="宋体" w:cs="宋体"/>
                <w:color w:val="auto"/>
                <w:kern w:val="0"/>
                <w:szCs w:val="21"/>
                <w:highlight w:val="none"/>
              </w:rPr>
              <w:t>食品安全控制实施方案和监督管理制度</w:t>
            </w:r>
          </w:p>
        </w:tc>
        <w:tc>
          <w:tcPr>
            <w:tcW w:w="724" w:type="dxa"/>
            <w:vAlign w:val="center"/>
          </w:tcPr>
          <w:p>
            <w:pPr>
              <w:snapToGrid w:val="0"/>
              <w:jc w:val="center"/>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分</w:t>
            </w:r>
          </w:p>
        </w:tc>
        <w:tc>
          <w:tcPr>
            <w:tcW w:w="7126" w:type="dxa"/>
            <w:vAlign w:val="center"/>
          </w:tcPr>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根据投标人提供的针对本项目的食品安全控制实施方案和监督管理制度（包括但不仅限于食品卫生安全的预防措施、管理措施、食堂及周边环境保洁措施等）等情况，由评委进行评议并评分：方案内容齐全、可行性强、规范性强的</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分；方案内容不齐全、可行性一般、规范性一般或未提供的不得分。（满分</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分）</w:t>
            </w:r>
          </w:p>
        </w:tc>
        <w:tc>
          <w:tcPr>
            <w:tcW w:w="851" w:type="dxa"/>
            <w:vAlign w:val="center"/>
          </w:tcPr>
          <w:p>
            <w:pPr>
              <w:snapToGrid w:val="0"/>
              <w:jc w:val="center"/>
              <w:rPr>
                <w:rFonts w:hint="eastAsia" w:ascii="宋体" w:hAnsi="宋体" w:eastAsiaTheme="minorEastAsia"/>
                <w:color w:val="auto"/>
                <w:szCs w:val="21"/>
                <w:highlight w:val="none"/>
                <w:lang w:eastAsia="zh-CN"/>
              </w:rPr>
            </w:pPr>
            <w:r>
              <w:rPr>
                <w:rFonts w:hint="eastAsia" w:ascii="宋体" w:hAnsi="宋体"/>
                <w:color w:val="auto"/>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883" w:type="dxa"/>
            <w:vAlign w:val="center"/>
          </w:tcPr>
          <w:p>
            <w:pPr>
              <w:widowControl/>
              <w:jc w:val="left"/>
              <w:rPr>
                <w:color w:val="auto"/>
                <w:szCs w:val="21"/>
                <w:highlight w:val="none"/>
              </w:rPr>
            </w:pPr>
            <w:r>
              <w:rPr>
                <w:rFonts w:ascii="宋体" w:hAnsi="宋体" w:cs="宋体"/>
                <w:color w:val="auto"/>
                <w:kern w:val="0"/>
                <w:szCs w:val="21"/>
                <w:highlight w:val="none"/>
              </w:rPr>
              <w:t>应急预备方案</w:t>
            </w:r>
          </w:p>
        </w:tc>
        <w:tc>
          <w:tcPr>
            <w:tcW w:w="724" w:type="dxa"/>
            <w:vAlign w:val="center"/>
          </w:tcPr>
          <w:p>
            <w:pPr>
              <w:widowControl/>
              <w:jc w:val="left"/>
              <w:rPr>
                <w:color w:val="auto"/>
                <w:highlight w:val="none"/>
              </w:rPr>
            </w:pPr>
            <w:r>
              <w:rPr>
                <w:rFonts w:hint="eastAsia" w:ascii="宋体" w:hAnsi="宋体" w:cs="宋体"/>
                <w:color w:val="auto"/>
                <w:kern w:val="0"/>
                <w:sz w:val="24"/>
                <w:highlight w:val="none"/>
              </w:rPr>
              <w:t>1分</w:t>
            </w:r>
          </w:p>
        </w:tc>
        <w:tc>
          <w:tcPr>
            <w:tcW w:w="7126" w:type="dxa"/>
            <w:vAlign w:val="center"/>
          </w:tcPr>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根据投标人针对本项目所提供的在遇到食物中毒等情况下应急预备方案，由评委进行评议并评分：方案齐全、合理、可行性强的得1分；方案内容不齐全、不合理、可行性一般或未提供的不得分。</w:t>
            </w:r>
          </w:p>
        </w:tc>
        <w:tc>
          <w:tcPr>
            <w:tcW w:w="851" w:type="dxa"/>
            <w:vAlign w:val="center"/>
          </w:tcPr>
          <w:p>
            <w:pPr>
              <w:snapToGrid w:val="0"/>
              <w:jc w:val="center"/>
              <w:rPr>
                <w:rFonts w:ascii="宋体" w:hAnsi="宋体"/>
                <w:color w:val="auto"/>
                <w:szCs w:val="21"/>
                <w:highlight w:val="none"/>
              </w:rPr>
            </w:pPr>
            <w:r>
              <w:rPr>
                <w:rFonts w:hint="eastAsia" w:ascii="宋体" w:hAnsi="宋体"/>
                <w:color w:val="auto"/>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83" w:type="dxa"/>
            <w:vAlign w:val="center"/>
          </w:tcPr>
          <w:p>
            <w:pPr>
              <w:widowControl/>
              <w:jc w:val="left"/>
              <w:rPr>
                <w:color w:val="auto"/>
                <w:szCs w:val="21"/>
                <w:highlight w:val="none"/>
              </w:rPr>
            </w:pPr>
            <w:r>
              <w:rPr>
                <w:rFonts w:ascii="宋体" w:hAnsi="宋体" w:cs="宋体"/>
                <w:color w:val="auto"/>
                <w:kern w:val="0"/>
                <w:szCs w:val="21"/>
                <w:highlight w:val="none"/>
              </w:rPr>
              <w:t>食堂消防安全方案</w:t>
            </w:r>
          </w:p>
        </w:tc>
        <w:tc>
          <w:tcPr>
            <w:tcW w:w="724" w:type="dxa"/>
            <w:vAlign w:val="center"/>
          </w:tcPr>
          <w:p>
            <w:pPr>
              <w:widowControl/>
              <w:jc w:val="left"/>
              <w:rPr>
                <w:color w:val="auto"/>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分</w:t>
            </w:r>
          </w:p>
        </w:tc>
        <w:tc>
          <w:tcPr>
            <w:tcW w:w="7126" w:type="dxa"/>
            <w:vAlign w:val="center"/>
          </w:tcPr>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根据投标人按消防要求提供响应的消防安全方案，明确工作人员消防职责，组织培训、使用消防器材、服从消防安全检查、确保食堂消防安全达标情况，由评委进行评议并评分：方案齐全、合理、可行的得</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分；方案内容不齐全、不合理、可行性一般或未提供的不得分。（满分</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分）</w:t>
            </w:r>
          </w:p>
        </w:tc>
        <w:tc>
          <w:tcPr>
            <w:tcW w:w="851" w:type="dxa"/>
            <w:vAlign w:val="center"/>
          </w:tcPr>
          <w:p>
            <w:pPr>
              <w:snapToGrid w:val="0"/>
              <w:jc w:val="center"/>
              <w:rPr>
                <w:rFonts w:hint="eastAsia" w:ascii="宋体" w:hAnsi="宋体" w:eastAsiaTheme="minorEastAsia"/>
                <w:color w:val="auto"/>
                <w:szCs w:val="21"/>
                <w:highlight w:val="none"/>
                <w:lang w:eastAsia="zh-CN"/>
              </w:rPr>
            </w:pPr>
            <w:r>
              <w:rPr>
                <w:rFonts w:hint="eastAsia" w:ascii="宋体" w:hAnsi="宋体"/>
                <w:color w:val="auto"/>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883" w:type="dxa"/>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物资仓库管理方案</w:t>
            </w:r>
          </w:p>
        </w:tc>
        <w:tc>
          <w:tcPr>
            <w:tcW w:w="724" w:type="dxa"/>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1分</w:t>
            </w:r>
          </w:p>
        </w:tc>
        <w:tc>
          <w:tcPr>
            <w:tcW w:w="7126" w:type="dxa"/>
            <w:vAlign w:val="center"/>
          </w:tcPr>
          <w:p>
            <w:pPr>
              <w:widowControl/>
              <w:spacing w:line="360" w:lineRule="auto"/>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根据投标人针对本项目拟定的物资仓库</w:t>
            </w:r>
            <w:r>
              <w:rPr>
                <w:rFonts w:ascii="宋体" w:hAnsi="宋体" w:cs="宋体"/>
                <w:color w:val="auto"/>
                <w:kern w:val="0"/>
                <w:szCs w:val="21"/>
                <w:highlight w:val="none"/>
              </w:rPr>
              <w:t>、高低温冷库等</w:t>
            </w:r>
            <w:r>
              <w:rPr>
                <w:rFonts w:hint="eastAsia" w:ascii="宋体" w:hAnsi="宋体" w:cs="宋体"/>
                <w:color w:val="auto"/>
                <w:kern w:val="0"/>
                <w:szCs w:val="21"/>
                <w:highlight w:val="none"/>
              </w:rPr>
              <w:t>管理方案，方案应包含相关工作流程、规范操作管理、采购</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冻库管理</w:t>
            </w:r>
            <w:r>
              <w:rPr>
                <w:rFonts w:hint="eastAsia" w:ascii="宋体" w:hAnsi="宋体" w:cs="宋体"/>
                <w:color w:val="auto"/>
                <w:kern w:val="0"/>
                <w:szCs w:val="21"/>
                <w:highlight w:val="none"/>
              </w:rPr>
              <w:t>和出入库管理等方面的内容，由评委进行评议并评分：方案内容齐全、可行性强、规范性强的1分；方案内容不齐全、可行性一般、规范性低或未提供的不得分。</w:t>
            </w:r>
          </w:p>
        </w:tc>
        <w:tc>
          <w:tcPr>
            <w:tcW w:w="851" w:type="dxa"/>
            <w:vAlign w:val="center"/>
          </w:tcPr>
          <w:p>
            <w:pPr>
              <w:snapToGrid w:val="0"/>
              <w:jc w:val="center"/>
              <w:rPr>
                <w:rFonts w:ascii="宋体" w:hAnsi="宋体"/>
                <w:color w:val="auto"/>
                <w:szCs w:val="21"/>
                <w:highlight w:val="none"/>
              </w:rPr>
            </w:pPr>
            <w:r>
              <w:rPr>
                <w:rFonts w:hint="eastAsia" w:ascii="宋体" w:hAnsi="宋体"/>
                <w:color w:val="auto"/>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883" w:type="dxa"/>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卫生管理控制方案</w:t>
            </w:r>
          </w:p>
        </w:tc>
        <w:tc>
          <w:tcPr>
            <w:tcW w:w="724" w:type="dxa"/>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1分</w:t>
            </w:r>
          </w:p>
        </w:tc>
        <w:tc>
          <w:tcPr>
            <w:tcW w:w="7126" w:type="dxa"/>
            <w:vAlign w:val="center"/>
          </w:tcPr>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根据投标人针对本项目拟定的卫生管理控制方案，方案应包含规范相关人员制度、规范操作管理等方面的内容。由评委进行评议并评分：方案内容齐全、可行性强、规范性强的1分；方案内容不齐全、可行性一般、规范性不强或未提供的不得分。</w:t>
            </w:r>
          </w:p>
        </w:tc>
        <w:tc>
          <w:tcPr>
            <w:tcW w:w="851" w:type="dxa"/>
            <w:vAlign w:val="center"/>
          </w:tcPr>
          <w:p>
            <w:pPr>
              <w:snapToGrid w:val="0"/>
              <w:jc w:val="center"/>
              <w:rPr>
                <w:rFonts w:ascii="宋体" w:hAnsi="宋体"/>
                <w:color w:val="auto"/>
                <w:szCs w:val="21"/>
                <w:highlight w:val="none"/>
              </w:rPr>
            </w:pPr>
            <w:r>
              <w:rPr>
                <w:rFonts w:hint="eastAsia" w:ascii="宋体" w:hAnsi="宋体"/>
                <w:color w:val="auto"/>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jc w:val="center"/>
        </w:trPr>
        <w:tc>
          <w:tcPr>
            <w:tcW w:w="883" w:type="dxa"/>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针对本项目采用的“6T”或“4D”实务现场管理方案</w:t>
            </w:r>
          </w:p>
        </w:tc>
        <w:tc>
          <w:tcPr>
            <w:tcW w:w="724" w:type="dxa"/>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分</w:t>
            </w:r>
          </w:p>
        </w:tc>
        <w:tc>
          <w:tcPr>
            <w:tcW w:w="7126" w:type="dxa"/>
            <w:vAlign w:val="center"/>
          </w:tcPr>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根据投标人针对本项目采用的 “4D”管理方案（整理到位、责任到位、培训到位、执行到位）4个方面的方案设计进行评分；或“6T”（天天整合、天天打扫、天天处理、天天规范、天天检查、天天改进）6个方面的方案设计进行评分。</w:t>
            </w:r>
          </w:p>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根据对投标人的管理设计方案进行评分，方案清晰化高、细分化强、规范化强的</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分；方案清晰化一般、细分化一般、规范化一般的1分；方案不完整、细分化差、规范化差或未提供的不得分。（满分</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分）</w:t>
            </w:r>
          </w:p>
        </w:tc>
        <w:tc>
          <w:tcPr>
            <w:tcW w:w="851" w:type="dxa"/>
            <w:vAlign w:val="center"/>
          </w:tcPr>
          <w:p>
            <w:pPr>
              <w:widowControl/>
              <w:jc w:val="center"/>
              <w:rPr>
                <w:rFonts w:hint="eastAsia" w:ascii="宋体" w:hAnsi="宋体" w:cs="宋体" w:eastAsiaTheme="minorEastAsia"/>
                <w:color w:val="auto"/>
                <w:kern w:val="0"/>
                <w:szCs w:val="21"/>
                <w:highlight w:val="none"/>
                <w:lang w:eastAsia="zh-CN"/>
              </w:rPr>
            </w:pPr>
            <w:r>
              <w:rPr>
                <w:rFonts w:hint="eastAsia" w:ascii="宋体" w:hAnsi="宋体" w:cs="宋体"/>
                <w:color w:val="auto"/>
                <w:kern w:val="0"/>
                <w:szCs w:val="21"/>
                <w:highlight w:val="none"/>
                <w:lang w:val="en-US" w:eastAsia="zh-CN"/>
              </w:rPr>
              <w:t>2</w:t>
            </w:r>
          </w:p>
        </w:tc>
      </w:tr>
    </w:tbl>
    <w:p>
      <w:pPr>
        <w:pStyle w:val="12"/>
        <w:widowControl/>
        <w:rPr>
          <w:rFonts w:ascii="宋体" w:hAnsi="宋体" w:eastAsia="宋体" w:cs="宋体"/>
          <w:color w:val="auto"/>
          <w:highlight w:val="none"/>
        </w:rPr>
      </w:pPr>
    </w:p>
    <w:p>
      <w:pPr>
        <w:pStyle w:val="12"/>
        <w:widowControl/>
        <w:rPr>
          <w:rFonts w:ascii="宋体" w:hAnsi="宋体" w:eastAsia="宋体" w:cs="宋体"/>
          <w:color w:val="auto"/>
          <w:highlight w:val="none"/>
        </w:rPr>
      </w:pPr>
    </w:p>
    <w:p>
      <w:pPr>
        <w:pStyle w:val="12"/>
        <w:widowControl/>
        <w:rPr>
          <w:rFonts w:ascii="宋体" w:hAnsi="宋体" w:eastAsia="宋体" w:cs="宋体"/>
          <w:color w:val="auto"/>
          <w:highlight w:val="none"/>
        </w:rPr>
      </w:pPr>
    </w:p>
    <w:p>
      <w:pPr>
        <w:pStyle w:val="12"/>
        <w:widowControl/>
        <w:rPr>
          <w:rFonts w:ascii="宋体" w:hAnsi="宋体" w:eastAsia="宋体" w:cs="宋体"/>
          <w:color w:val="auto"/>
          <w:highlight w:val="none"/>
        </w:rPr>
      </w:pPr>
    </w:p>
    <w:p>
      <w:pPr>
        <w:pStyle w:val="12"/>
        <w:widowControl/>
        <w:ind w:firstLine="480"/>
        <w:rPr>
          <w:rFonts w:ascii="宋体" w:hAnsi="宋体" w:eastAsia="宋体" w:cs="宋体"/>
          <w:color w:val="auto"/>
          <w:highlight w:val="none"/>
        </w:rPr>
      </w:pPr>
      <w:r>
        <w:rPr>
          <w:rFonts w:hint="eastAsia" w:ascii="宋体" w:hAnsi="宋体" w:eastAsia="宋体" w:cs="宋体"/>
          <w:color w:val="auto"/>
          <w:highlight w:val="none"/>
        </w:rPr>
        <w:t>③商务项（</w:t>
      </w:r>
      <w:r>
        <w:rPr>
          <w:rFonts w:ascii="Calibri" w:hAnsi="Calibri" w:eastAsia="宋体" w:cs="Calibri"/>
          <w:color w:val="auto"/>
          <w:highlight w:val="none"/>
        </w:rPr>
        <w:t>F3</w:t>
      </w:r>
      <w:r>
        <w:rPr>
          <w:rFonts w:hint="eastAsia" w:ascii="宋体" w:hAnsi="宋体" w:eastAsia="宋体" w:cs="宋体"/>
          <w:color w:val="auto"/>
          <w:highlight w:val="none"/>
        </w:rPr>
        <w:t>×</w:t>
      </w:r>
      <w:r>
        <w:rPr>
          <w:rFonts w:ascii="Calibri" w:hAnsi="Calibri" w:eastAsia="宋体" w:cs="Calibri"/>
          <w:color w:val="auto"/>
          <w:highlight w:val="none"/>
        </w:rPr>
        <w:t>A3</w:t>
      </w:r>
      <w:r>
        <w:rPr>
          <w:rFonts w:hint="eastAsia" w:ascii="宋体" w:hAnsi="宋体" w:eastAsia="宋体" w:cs="宋体"/>
          <w:color w:val="auto"/>
          <w:highlight w:val="none"/>
        </w:rPr>
        <w:t>）满分为</w:t>
      </w:r>
      <w:r>
        <w:rPr>
          <w:rFonts w:hint="eastAsia" w:ascii="宋体" w:hAnsi="宋体" w:eastAsia="宋体" w:cs="宋体"/>
          <w:color w:val="auto"/>
          <w:highlight w:val="none"/>
          <w:u w:val="single"/>
          <w:lang w:val="en-US" w:eastAsia="zh-CN"/>
        </w:rPr>
        <w:t>20</w:t>
      </w:r>
      <w:r>
        <w:rPr>
          <w:rFonts w:hint="eastAsia" w:ascii="宋体" w:hAnsi="宋体" w:eastAsia="宋体" w:cs="宋体"/>
          <w:color w:val="auto"/>
          <w:highlight w:val="none"/>
        </w:rPr>
        <w:t>分。</w:t>
      </w:r>
    </w:p>
    <w:tbl>
      <w:tblPr>
        <w:tblStyle w:val="13"/>
        <w:tblW w:w="9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7126"/>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607" w:type="dxa"/>
            <w:vAlign w:val="center"/>
          </w:tcPr>
          <w:p>
            <w:pPr>
              <w:snapToGrid w:val="0"/>
              <w:jc w:val="center"/>
              <w:rPr>
                <w:rFonts w:ascii="宋体"/>
                <w:b/>
                <w:color w:val="auto"/>
                <w:szCs w:val="21"/>
                <w:highlight w:val="none"/>
              </w:rPr>
            </w:pPr>
            <w:r>
              <w:rPr>
                <w:rFonts w:hint="eastAsia" w:ascii="宋体" w:hAnsi="宋体"/>
                <w:b/>
                <w:color w:val="auto"/>
                <w:szCs w:val="21"/>
                <w:highlight w:val="none"/>
              </w:rPr>
              <w:t>评标项目</w:t>
            </w:r>
          </w:p>
        </w:tc>
        <w:tc>
          <w:tcPr>
            <w:tcW w:w="7126" w:type="dxa"/>
            <w:vAlign w:val="center"/>
          </w:tcPr>
          <w:p>
            <w:pPr>
              <w:snapToGrid w:val="0"/>
              <w:jc w:val="center"/>
              <w:rPr>
                <w:rFonts w:ascii="宋体"/>
                <w:b/>
                <w:color w:val="auto"/>
                <w:szCs w:val="21"/>
                <w:highlight w:val="none"/>
              </w:rPr>
            </w:pPr>
            <w:r>
              <w:rPr>
                <w:rFonts w:hint="eastAsia" w:ascii="宋体" w:hAnsi="宋体"/>
                <w:b/>
                <w:color w:val="auto"/>
                <w:szCs w:val="21"/>
                <w:highlight w:val="none"/>
              </w:rPr>
              <w:t>评标内容</w:t>
            </w:r>
          </w:p>
        </w:tc>
        <w:tc>
          <w:tcPr>
            <w:tcW w:w="851" w:type="dxa"/>
            <w:vAlign w:val="center"/>
          </w:tcPr>
          <w:p>
            <w:pPr>
              <w:snapToGrid w:val="0"/>
              <w:jc w:val="center"/>
              <w:rPr>
                <w:rFonts w:ascii="宋体"/>
                <w:b/>
                <w:color w:val="auto"/>
                <w:szCs w:val="21"/>
                <w:highlight w:val="none"/>
              </w:rPr>
            </w:pPr>
            <w:r>
              <w:rPr>
                <w:rFonts w:hint="eastAsia" w:ascii="宋体" w:hAnsi="宋体"/>
                <w:b/>
                <w:color w:val="auto"/>
                <w:szCs w:val="21"/>
                <w:highlight w:val="none"/>
              </w:rPr>
              <w:t>最高</w:t>
            </w:r>
          </w:p>
          <w:p>
            <w:pPr>
              <w:snapToGrid w:val="0"/>
              <w:jc w:val="center"/>
              <w:rPr>
                <w:rFonts w:ascii="宋体"/>
                <w:b/>
                <w:color w:val="auto"/>
                <w:szCs w:val="21"/>
                <w:highlight w:val="none"/>
              </w:rPr>
            </w:pPr>
            <w:r>
              <w:rPr>
                <w:rFonts w:hint="eastAsia" w:ascii="宋体" w:hAnsi="宋体"/>
                <w:b/>
                <w:color w:val="auto"/>
                <w:szCs w:val="21"/>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1607" w:type="dxa"/>
            <w:vAlign w:val="center"/>
          </w:tcPr>
          <w:p>
            <w:pPr>
              <w:widowControl/>
              <w:snapToGrid w:val="0"/>
              <w:jc w:val="center"/>
              <w:rPr>
                <w:rFonts w:ascii="宋体"/>
                <w:color w:val="auto"/>
                <w:kern w:val="0"/>
                <w:szCs w:val="21"/>
                <w:highlight w:val="none"/>
              </w:rPr>
            </w:pPr>
            <w:r>
              <w:rPr>
                <w:rFonts w:hint="eastAsia" w:ascii="宋体" w:hAnsi="宋体"/>
                <w:color w:val="auto"/>
                <w:kern w:val="0"/>
                <w:szCs w:val="21"/>
                <w:highlight w:val="none"/>
              </w:rPr>
              <w:t>业绩</w:t>
            </w:r>
          </w:p>
          <w:p>
            <w:pPr>
              <w:widowControl/>
              <w:snapToGrid w:val="0"/>
              <w:jc w:val="center"/>
              <w:rPr>
                <w:rFonts w:ascii="宋体"/>
                <w:color w:val="auto"/>
                <w:kern w:val="0"/>
                <w:szCs w:val="21"/>
                <w:highlight w:val="none"/>
              </w:rPr>
            </w:pPr>
            <w:r>
              <w:rPr>
                <w:rFonts w:hint="eastAsia" w:ascii="宋体" w:hAnsi="宋体"/>
                <w:color w:val="auto"/>
                <w:kern w:val="0"/>
                <w:szCs w:val="21"/>
                <w:highlight w:val="none"/>
              </w:rPr>
              <w:t>（满分3分）</w:t>
            </w:r>
          </w:p>
        </w:tc>
        <w:tc>
          <w:tcPr>
            <w:tcW w:w="7126" w:type="dxa"/>
            <w:vAlign w:val="center"/>
          </w:tcPr>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根据各投标人提供的至投标截止时间前近两年的同类有效业绩进行评分，每出具一份有效证明得0.2分，满分3分。（须提供至投标截止时间前近两年的合同复印件、投标人开具的双方往来发票以及服务对象对投标人的服务评价证明，以上材料均需加盖投标人单位公章，原件现场核查。）</w:t>
            </w:r>
          </w:p>
        </w:tc>
        <w:tc>
          <w:tcPr>
            <w:tcW w:w="851" w:type="dxa"/>
            <w:vAlign w:val="center"/>
          </w:tcPr>
          <w:p>
            <w:pPr>
              <w:snapToGrid w:val="0"/>
              <w:jc w:val="center"/>
              <w:rPr>
                <w:rFonts w:ascii="宋体"/>
                <w:color w:val="auto"/>
                <w:szCs w:val="21"/>
                <w:highlight w:val="none"/>
              </w:rPr>
            </w:pPr>
            <w:r>
              <w:rPr>
                <w:rFonts w:hint="eastAsia" w:ascii="宋体" w:hAnsi="宋体"/>
                <w:color w:val="auto"/>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607" w:type="dxa"/>
            <w:vMerge w:val="restart"/>
            <w:vAlign w:val="center"/>
          </w:tcPr>
          <w:p>
            <w:pPr>
              <w:widowControl/>
              <w:snapToGrid w:val="0"/>
              <w:jc w:val="left"/>
              <w:rPr>
                <w:rFonts w:ascii="宋体" w:cs="宋体"/>
                <w:color w:val="auto"/>
                <w:szCs w:val="21"/>
                <w:highlight w:val="none"/>
              </w:rPr>
            </w:pPr>
            <w:r>
              <w:rPr>
                <w:rFonts w:hint="eastAsia" w:ascii="宋体" w:hAnsi="宋体" w:cs="宋体"/>
                <w:color w:val="auto"/>
                <w:szCs w:val="21"/>
                <w:highlight w:val="none"/>
              </w:rPr>
              <w:t>管理体系认证</w:t>
            </w:r>
          </w:p>
          <w:p>
            <w:pPr>
              <w:widowControl/>
              <w:snapToGrid w:val="0"/>
              <w:jc w:val="left"/>
              <w:rPr>
                <w:rFonts w:ascii="宋体"/>
                <w:color w:val="auto"/>
                <w:kern w:val="0"/>
                <w:szCs w:val="21"/>
                <w:highlight w:val="none"/>
              </w:rPr>
            </w:pPr>
            <w:r>
              <w:rPr>
                <w:rFonts w:hint="eastAsia" w:ascii="宋体" w:hAnsi="宋体" w:cs="宋体"/>
                <w:color w:val="auto"/>
                <w:szCs w:val="21"/>
                <w:highlight w:val="none"/>
              </w:rPr>
              <w:t>（满分10分）</w:t>
            </w:r>
          </w:p>
        </w:tc>
        <w:tc>
          <w:tcPr>
            <w:tcW w:w="7126" w:type="dxa"/>
            <w:vAlign w:val="center"/>
          </w:tcPr>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投标人具有IS022000食品安全管理体系认证证书的得2分。</w:t>
            </w:r>
          </w:p>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（须提供在有效期内的证书复印件及带有网址的相应网站核验查询结果截图并加盖投标人公章为考评依据。）</w:t>
            </w:r>
          </w:p>
        </w:tc>
        <w:tc>
          <w:tcPr>
            <w:tcW w:w="851" w:type="dxa"/>
            <w:vAlign w:val="center"/>
          </w:tcPr>
          <w:p>
            <w:pPr>
              <w:snapToGrid w:val="0"/>
              <w:jc w:val="center"/>
              <w:rPr>
                <w:rFonts w:ascii="宋体"/>
                <w:color w:val="auto"/>
                <w:szCs w:val="21"/>
                <w:highlight w:val="none"/>
              </w:rPr>
            </w:pPr>
            <w:r>
              <w:rPr>
                <w:rFonts w:hint="eastAsia" w:ascii="宋体" w:hAnsi="宋体"/>
                <w:color w:val="auto"/>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607" w:type="dxa"/>
            <w:vMerge w:val="continue"/>
            <w:vAlign w:val="center"/>
          </w:tcPr>
          <w:p>
            <w:pPr>
              <w:widowControl/>
              <w:snapToGrid w:val="0"/>
              <w:jc w:val="left"/>
              <w:rPr>
                <w:rFonts w:ascii="宋体" w:hAnsi="宋体" w:cs="宋体"/>
                <w:color w:val="auto"/>
                <w:szCs w:val="21"/>
                <w:highlight w:val="none"/>
              </w:rPr>
            </w:pPr>
          </w:p>
        </w:tc>
        <w:tc>
          <w:tcPr>
            <w:tcW w:w="7126" w:type="dxa"/>
            <w:vAlign w:val="center"/>
          </w:tcPr>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投标人具有IS09001质量管理体系认证证书的得2分。</w:t>
            </w:r>
          </w:p>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（须提供在有效期内的证书复印件及带有网址的相应网站核验查询结果截图并加盖投标人公章为考评依据。）</w:t>
            </w:r>
          </w:p>
        </w:tc>
        <w:tc>
          <w:tcPr>
            <w:tcW w:w="851" w:type="dxa"/>
            <w:vAlign w:val="center"/>
          </w:tcPr>
          <w:p>
            <w:pPr>
              <w:snapToGrid w:val="0"/>
              <w:jc w:val="center"/>
              <w:rPr>
                <w:rFonts w:ascii="宋体" w:hAnsi="宋体"/>
                <w:color w:val="auto"/>
                <w:szCs w:val="21"/>
                <w:highlight w:val="none"/>
              </w:rPr>
            </w:pPr>
            <w:r>
              <w:rPr>
                <w:rFonts w:hint="eastAsia" w:ascii="宋体" w:hAnsi="宋体"/>
                <w:color w:val="auto"/>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607" w:type="dxa"/>
            <w:vMerge w:val="continue"/>
            <w:vAlign w:val="center"/>
          </w:tcPr>
          <w:p>
            <w:pPr>
              <w:widowControl/>
              <w:snapToGrid w:val="0"/>
              <w:jc w:val="left"/>
              <w:rPr>
                <w:rFonts w:ascii="宋体" w:hAnsi="宋体" w:cs="宋体"/>
                <w:color w:val="auto"/>
                <w:szCs w:val="21"/>
                <w:highlight w:val="none"/>
              </w:rPr>
            </w:pPr>
          </w:p>
        </w:tc>
        <w:tc>
          <w:tcPr>
            <w:tcW w:w="7126" w:type="dxa"/>
            <w:vAlign w:val="center"/>
          </w:tcPr>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投标人具有IS014001环境管理体系认证证书的得2分。</w:t>
            </w:r>
          </w:p>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（须提供在有效期内的证书复印件及带有网址的相应网站核验查询结果截图并加盖投标人公章为考评依据。）</w:t>
            </w:r>
          </w:p>
        </w:tc>
        <w:tc>
          <w:tcPr>
            <w:tcW w:w="851" w:type="dxa"/>
            <w:vAlign w:val="center"/>
          </w:tcPr>
          <w:p>
            <w:pPr>
              <w:snapToGrid w:val="0"/>
              <w:jc w:val="center"/>
              <w:rPr>
                <w:rFonts w:ascii="宋体" w:hAnsi="宋体"/>
                <w:color w:val="auto"/>
                <w:szCs w:val="21"/>
                <w:highlight w:val="none"/>
              </w:rPr>
            </w:pPr>
            <w:r>
              <w:rPr>
                <w:rFonts w:hint="eastAsia" w:ascii="宋体" w:hAnsi="宋体"/>
                <w:color w:val="auto"/>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607" w:type="dxa"/>
            <w:vMerge w:val="continue"/>
            <w:vAlign w:val="center"/>
          </w:tcPr>
          <w:p>
            <w:pPr>
              <w:widowControl/>
              <w:snapToGrid w:val="0"/>
              <w:jc w:val="left"/>
              <w:rPr>
                <w:rFonts w:ascii="宋体" w:hAnsi="宋体" w:cs="宋体"/>
                <w:color w:val="auto"/>
                <w:szCs w:val="21"/>
                <w:highlight w:val="none"/>
              </w:rPr>
            </w:pPr>
          </w:p>
        </w:tc>
        <w:tc>
          <w:tcPr>
            <w:tcW w:w="7126" w:type="dxa"/>
            <w:vAlign w:val="center"/>
          </w:tcPr>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投标人具有ISO45001职业健康安全管理体系认证证书的得2分。</w:t>
            </w:r>
          </w:p>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（须提供在有效期内的证书复印件及带有网址的相应网站核验查询结果截图并加盖投标人公章为考评依据。）</w:t>
            </w:r>
          </w:p>
        </w:tc>
        <w:tc>
          <w:tcPr>
            <w:tcW w:w="851" w:type="dxa"/>
            <w:vAlign w:val="center"/>
          </w:tcPr>
          <w:p>
            <w:pPr>
              <w:snapToGrid w:val="0"/>
              <w:jc w:val="center"/>
              <w:rPr>
                <w:rFonts w:ascii="宋体" w:hAnsi="宋体"/>
                <w:color w:val="auto"/>
                <w:szCs w:val="21"/>
                <w:highlight w:val="none"/>
              </w:rPr>
            </w:pPr>
            <w:r>
              <w:rPr>
                <w:rFonts w:hint="eastAsia" w:ascii="宋体" w:hAnsi="宋体"/>
                <w:color w:val="auto"/>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607" w:type="dxa"/>
            <w:vMerge w:val="continue"/>
            <w:vAlign w:val="center"/>
          </w:tcPr>
          <w:p>
            <w:pPr>
              <w:widowControl/>
              <w:snapToGrid w:val="0"/>
              <w:jc w:val="left"/>
              <w:rPr>
                <w:rFonts w:ascii="宋体" w:hAnsi="宋体" w:cs="宋体"/>
                <w:color w:val="auto"/>
                <w:szCs w:val="21"/>
                <w:highlight w:val="none"/>
              </w:rPr>
            </w:pPr>
          </w:p>
        </w:tc>
        <w:tc>
          <w:tcPr>
            <w:tcW w:w="7126" w:type="dxa"/>
            <w:vAlign w:val="center"/>
          </w:tcPr>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投标人具有HACCP危害分析和关键控制点认证证书的得2分。</w:t>
            </w:r>
          </w:p>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（须提供在有效期内的证书复印件及带有网址的相应网站核验查询结果截图并加盖投标人公章为考评依据。）</w:t>
            </w:r>
          </w:p>
        </w:tc>
        <w:tc>
          <w:tcPr>
            <w:tcW w:w="851" w:type="dxa"/>
            <w:vAlign w:val="center"/>
          </w:tcPr>
          <w:p>
            <w:pPr>
              <w:snapToGrid w:val="0"/>
              <w:jc w:val="center"/>
              <w:rPr>
                <w:rFonts w:ascii="宋体" w:hAnsi="宋体"/>
                <w:color w:val="auto"/>
                <w:szCs w:val="21"/>
                <w:highlight w:val="none"/>
              </w:rPr>
            </w:pPr>
            <w:r>
              <w:rPr>
                <w:rFonts w:hint="eastAsia" w:ascii="宋体" w:hAnsi="宋体"/>
                <w:color w:val="auto"/>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607" w:type="dxa"/>
            <w:vAlign w:val="center"/>
          </w:tcPr>
          <w:p>
            <w:pPr>
              <w:widowControl/>
              <w:snapToGrid w:val="0"/>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菜品研发</w:t>
            </w:r>
          </w:p>
          <w:p>
            <w:pPr>
              <w:widowControl/>
              <w:snapToGrid w:val="0"/>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（满分2分）</w:t>
            </w:r>
          </w:p>
        </w:tc>
        <w:tc>
          <w:tcPr>
            <w:tcW w:w="7126" w:type="dxa"/>
            <w:vAlign w:val="center"/>
          </w:tcPr>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投标人具备用于菜品研发的厨房场所及设备（包括但不限于炒</w:t>
            </w:r>
            <w:r>
              <w:rPr>
                <w:rFonts w:hint="eastAsia" w:ascii="宋体" w:hAnsi="宋体" w:cs="宋体"/>
                <w:color w:val="auto"/>
                <w:kern w:val="0"/>
                <w:szCs w:val="21"/>
                <w:highlight w:val="none"/>
                <w:lang w:val="en-US" w:eastAsia="zh-CN"/>
              </w:rPr>
              <w:t>炉</w:t>
            </w:r>
            <w:r>
              <w:rPr>
                <w:rFonts w:hint="eastAsia" w:ascii="宋体" w:hAnsi="宋体" w:cs="宋体"/>
                <w:color w:val="auto"/>
                <w:kern w:val="0"/>
                <w:szCs w:val="21"/>
                <w:highlight w:val="none"/>
              </w:rPr>
              <w:t>、四头煲仔炉、蒸箱、汤炉等）的得2分。须提供厨房场所平面图、照片、设备购置发票、厨房设备照片及设备明细，未提供或提供不全的不得分。</w:t>
            </w:r>
          </w:p>
        </w:tc>
        <w:tc>
          <w:tcPr>
            <w:tcW w:w="851" w:type="dxa"/>
            <w:vAlign w:val="center"/>
          </w:tcPr>
          <w:p>
            <w:pPr>
              <w:snapToGrid w:val="0"/>
              <w:jc w:val="center"/>
              <w:rPr>
                <w:rFonts w:ascii="宋体" w:hAnsi="宋体"/>
                <w:color w:val="auto"/>
                <w:szCs w:val="21"/>
                <w:highlight w:val="none"/>
              </w:rPr>
            </w:pPr>
            <w:r>
              <w:rPr>
                <w:rFonts w:hint="eastAsia" w:ascii="宋体" w:hAnsi="宋体"/>
                <w:color w:val="auto"/>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607" w:type="dxa"/>
            <w:vAlign w:val="center"/>
          </w:tcPr>
          <w:p>
            <w:pPr>
              <w:widowControl/>
              <w:snapToGrid w:val="0"/>
              <w:jc w:val="center"/>
              <w:rPr>
                <w:rFonts w:hint="default" w:ascii="宋体" w:hAnsi="宋体" w:eastAsia="宋体" w:cs="宋体"/>
                <w:color w:val="auto"/>
                <w:szCs w:val="21"/>
                <w:highlight w:val="none"/>
                <w:lang w:val="en-US" w:eastAsia="zh-CN"/>
              </w:rPr>
            </w:pPr>
            <w:r>
              <w:rPr>
                <w:rFonts w:hint="eastAsia"/>
                <w:color w:val="auto"/>
                <w:highlight w:val="none"/>
                <w:lang w:val="en-US" w:eastAsia="zh-CN"/>
              </w:rPr>
              <w:t>食品安全检测</w:t>
            </w:r>
            <w:r>
              <w:rPr>
                <w:color w:val="auto"/>
                <w:highlight w:val="none"/>
              </w:rPr>
              <w:t>（满分</w:t>
            </w:r>
            <w:r>
              <w:rPr>
                <w:rFonts w:hint="eastAsia"/>
                <w:color w:val="auto"/>
                <w:highlight w:val="none"/>
                <w:lang w:val="en-US" w:eastAsia="zh-CN"/>
              </w:rPr>
              <w:t>3</w:t>
            </w:r>
            <w:r>
              <w:rPr>
                <w:rFonts w:hint="eastAsia"/>
                <w:color w:val="auto"/>
                <w:highlight w:val="none"/>
              </w:rPr>
              <w:t>分</w:t>
            </w:r>
            <w:r>
              <w:rPr>
                <w:color w:val="auto"/>
                <w:highlight w:val="none"/>
              </w:rPr>
              <w:t>）</w:t>
            </w:r>
          </w:p>
        </w:tc>
        <w:tc>
          <w:tcPr>
            <w:tcW w:w="7126" w:type="dxa"/>
            <w:vAlign w:val="center"/>
          </w:tcPr>
          <w:p>
            <w:pPr>
              <w:widowControl/>
              <w:spacing w:line="360" w:lineRule="auto"/>
              <w:jc w:val="left"/>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投标人具有专用食品安全检测室，食品安全检测室配备食品安全检测设备（至少须含可检测蔬菜、海鲜、肉类、水果、干货、粮油等的农药残留检测仪）的得3分，（投标人需提供提供各项设备及检测室彩色照片等证明材料，未提供或未按要求提供证明材料的不得分。）</w:t>
            </w:r>
          </w:p>
        </w:tc>
        <w:tc>
          <w:tcPr>
            <w:tcW w:w="851" w:type="dxa"/>
            <w:vAlign w:val="center"/>
          </w:tcPr>
          <w:p>
            <w:pPr>
              <w:snapToGrid w:val="0"/>
              <w:jc w:val="center"/>
              <w:rPr>
                <w:rFonts w:hint="eastAsia" w:ascii="宋体" w:hAnsi="宋体" w:eastAsiaTheme="minorEastAsia"/>
                <w:color w:val="auto"/>
                <w:szCs w:val="21"/>
                <w:highlight w:val="none"/>
                <w:lang w:eastAsia="zh-CN"/>
              </w:rPr>
            </w:pPr>
            <w:r>
              <w:rPr>
                <w:rFonts w:hint="eastAsia" w:ascii="宋体" w:hAnsi="宋体"/>
                <w:color w:val="auto"/>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607" w:type="dxa"/>
            <w:vAlign w:val="center"/>
          </w:tcPr>
          <w:p>
            <w:pPr>
              <w:widowControl/>
              <w:snapToGrid w:val="0"/>
              <w:jc w:val="center"/>
              <w:rPr>
                <w:rFonts w:ascii="宋体" w:hAnsi="宋体" w:cs="宋体"/>
                <w:color w:val="auto"/>
                <w:szCs w:val="21"/>
                <w:highlight w:val="none"/>
              </w:rPr>
            </w:pPr>
            <w:r>
              <w:rPr>
                <w:rFonts w:hint="eastAsia" w:ascii="宋体" w:hAnsi="宋体" w:cs="宋体"/>
                <w:color w:val="auto"/>
                <w:szCs w:val="21"/>
                <w:highlight w:val="none"/>
              </w:rPr>
              <w:t>社会责任</w:t>
            </w:r>
          </w:p>
          <w:p>
            <w:pPr>
              <w:widowControl/>
              <w:snapToGrid w:val="0"/>
              <w:jc w:val="center"/>
              <w:rPr>
                <w:rFonts w:ascii="宋体" w:hAnsi="宋体" w:cs="宋体"/>
                <w:color w:val="auto"/>
                <w:szCs w:val="21"/>
                <w:highlight w:val="none"/>
              </w:rPr>
            </w:pPr>
            <w:r>
              <w:rPr>
                <w:rFonts w:hint="eastAsia" w:ascii="宋体" w:hAnsi="宋体" w:cs="宋体"/>
                <w:color w:val="auto"/>
                <w:szCs w:val="21"/>
                <w:highlight w:val="none"/>
              </w:rPr>
              <w:t>（满分2分）</w:t>
            </w:r>
          </w:p>
        </w:tc>
        <w:tc>
          <w:tcPr>
            <w:tcW w:w="7126" w:type="dxa"/>
            <w:vAlign w:val="center"/>
          </w:tcPr>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人承诺中标后将为本项目投保公众责任险，全年累计赔偿限额500万元及以上1000万元以下，每次事故累计赔偿限额500万元及以上，每次事故每人赔偿限额30万元及以上的得1分，全年累计赔偿限额1000万元及以上，每次事故累计赔偿限额500万元及以上的，每次事故每人赔偿限额30万元及以上的得2分，满分2分。须提供相关承诺函</w:t>
            </w:r>
            <w:r>
              <w:rPr>
                <w:rFonts w:hint="eastAsia" w:ascii="宋体" w:hAnsi="宋体" w:cs="宋体"/>
                <w:color w:val="auto"/>
                <w:kern w:val="0"/>
                <w:szCs w:val="21"/>
                <w:highlight w:val="none"/>
                <w:lang w:eastAsia="zh-CN"/>
              </w:rPr>
              <w:t>（承诺函格式自拟）</w:t>
            </w:r>
            <w:r>
              <w:rPr>
                <w:rFonts w:hint="eastAsia" w:ascii="宋体" w:hAnsi="宋体" w:cs="宋体"/>
                <w:color w:val="auto"/>
                <w:kern w:val="0"/>
                <w:szCs w:val="21"/>
                <w:highlight w:val="none"/>
              </w:rPr>
              <w:t>，否则不得分。</w:t>
            </w:r>
          </w:p>
        </w:tc>
        <w:tc>
          <w:tcPr>
            <w:tcW w:w="851" w:type="dxa"/>
            <w:vAlign w:val="center"/>
          </w:tcPr>
          <w:p>
            <w:pPr>
              <w:snapToGrid w:val="0"/>
              <w:jc w:val="center"/>
              <w:rPr>
                <w:rFonts w:ascii="宋体" w:hAnsi="宋体"/>
                <w:color w:val="auto"/>
                <w:szCs w:val="21"/>
                <w:highlight w:val="none"/>
              </w:rPr>
            </w:pPr>
            <w:r>
              <w:rPr>
                <w:rFonts w:hint="eastAsia" w:ascii="宋体" w:hAnsi="宋体"/>
                <w:color w:val="auto"/>
                <w:szCs w:val="21"/>
                <w:highlight w:val="none"/>
              </w:rPr>
              <w:t>2</w:t>
            </w:r>
          </w:p>
        </w:tc>
      </w:tr>
    </w:tbl>
    <w:p>
      <w:pPr>
        <w:pStyle w:val="12"/>
        <w:widowControl/>
        <w:ind w:firstLine="480"/>
        <w:rPr>
          <w:rFonts w:ascii="宋体" w:hAnsi="宋体" w:eastAsia="宋体" w:cs="宋体"/>
          <w:color w:val="auto"/>
          <w:highlight w:val="none"/>
        </w:rPr>
      </w:pPr>
    </w:p>
    <w:p>
      <w:pPr>
        <w:pStyle w:val="12"/>
        <w:widowControl/>
        <w:ind w:firstLine="480"/>
        <w:rPr>
          <w:rFonts w:ascii="宋体" w:hAnsi="宋体" w:eastAsia="宋体" w:cs="宋体"/>
          <w:color w:val="auto"/>
          <w:highlight w:val="none"/>
        </w:rPr>
      </w:pPr>
    </w:p>
    <w:p>
      <w:pPr>
        <w:pStyle w:val="12"/>
        <w:widowControl/>
        <w:ind w:firstLine="480"/>
        <w:rPr>
          <w:color w:val="auto"/>
          <w:highlight w:val="none"/>
        </w:rPr>
      </w:pPr>
      <w:r>
        <w:rPr>
          <w:rFonts w:hint="eastAsia" w:ascii="宋体" w:hAnsi="宋体" w:eastAsia="宋体" w:cs="宋体"/>
          <w:color w:val="auto"/>
          <w:highlight w:val="none"/>
        </w:rPr>
        <w:t>（4）中标候选人排列规则顺序如下：</w:t>
      </w:r>
      <w:r>
        <w:rPr>
          <w:color w:val="auto"/>
          <w:highlight w:val="none"/>
        </w:rPr>
        <w:t xml:space="preserve"> </w:t>
      </w:r>
    </w:p>
    <w:p>
      <w:pPr>
        <w:pStyle w:val="12"/>
        <w:widowControl/>
        <w:ind w:firstLine="480"/>
        <w:rPr>
          <w:color w:val="auto"/>
          <w:highlight w:val="none"/>
        </w:rPr>
      </w:pPr>
      <w:r>
        <w:rPr>
          <w:rFonts w:hint="eastAsia" w:ascii="宋体" w:hAnsi="宋体" w:eastAsia="宋体" w:cs="宋体"/>
          <w:color w:val="auto"/>
          <w:highlight w:val="none"/>
        </w:rPr>
        <w:t>a.按照评标总得分（</w:t>
      </w:r>
      <w:r>
        <w:rPr>
          <w:rFonts w:ascii="Calibri" w:hAnsi="Calibri" w:eastAsia="宋体" w:cs="Calibri"/>
          <w:color w:val="auto"/>
          <w:highlight w:val="none"/>
        </w:rPr>
        <w:t>FA</w:t>
      </w:r>
      <w:r>
        <w:rPr>
          <w:rFonts w:hint="eastAsia" w:ascii="宋体" w:hAnsi="宋体" w:eastAsia="宋体" w:cs="宋体"/>
          <w:color w:val="auto"/>
          <w:highlight w:val="none"/>
        </w:rPr>
        <w:t>）由高到低顺序排列。</w:t>
      </w:r>
    </w:p>
    <w:p>
      <w:pPr>
        <w:pStyle w:val="12"/>
        <w:widowControl/>
        <w:ind w:firstLine="480"/>
        <w:rPr>
          <w:color w:val="auto"/>
          <w:highlight w:val="none"/>
        </w:rPr>
      </w:pPr>
      <w:r>
        <w:rPr>
          <w:rFonts w:hint="eastAsia" w:ascii="宋体" w:hAnsi="宋体" w:eastAsia="宋体" w:cs="宋体"/>
          <w:color w:val="auto"/>
          <w:highlight w:val="none"/>
        </w:rPr>
        <w:t>b.评标总得分（</w:t>
      </w:r>
      <w:r>
        <w:rPr>
          <w:rFonts w:ascii="Calibri" w:hAnsi="Calibri" w:eastAsia="宋体" w:cs="Calibri"/>
          <w:color w:val="auto"/>
          <w:highlight w:val="none"/>
        </w:rPr>
        <w:t>FA</w:t>
      </w:r>
      <w:r>
        <w:rPr>
          <w:rFonts w:hint="eastAsia" w:ascii="宋体" w:hAnsi="宋体" w:eastAsia="宋体" w:cs="宋体"/>
          <w:color w:val="auto"/>
          <w:highlight w:val="none"/>
        </w:rPr>
        <w:t>）相同的，按照评标价（即</w:t>
      </w:r>
      <w:r>
        <w:rPr>
          <w:rFonts w:hint="eastAsia" w:ascii="宋体" w:hAnsi="宋体" w:eastAsia="宋体" w:cs="宋体"/>
          <w:color w:val="auto"/>
          <w:highlight w:val="none"/>
          <w:lang w:eastAsia="zh-CN"/>
        </w:rPr>
        <w:t>有效</w:t>
      </w:r>
      <w:r>
        <w:rPr>
          <w:rFonts w:hint="eastAsia" w:ascii="宋体" w:hAnsi="宋体" w:eastAsia="宋体" w:cs="宋体"/>
          <w:color w:val="auto"/>
          <w:highlight w:val="none"/>
        </w:rPr>
        <w:t>投标报价）由低到高顺序排列。</w:t>
      </w:r>
      <w:r>
        <w:rPr>
          <w:color w:val="auto"/>
          <w:highlight w:val="none"/>
        </w:rPr>
        <w:t xml:space="preserve"> </w:t>
      </w:r>
    </w:p>
    <w:p>
      <w:pPr>
        <w:pStyle w:val="12"/>
        <w:widowControl/>
        <w:ind w:firstLine="480"/>
        <w:rPr>
          <w:color w:val="auto"/>
          <w:highlight w:val="none"/>
        </w:rPr>
      </w:pPr>
      <w:r>
        <w:rPr>
          <w:rFonts w:hint="eastAsia" w:ascii="宋体" w:hAnsi="宋体" w:eastAsia="宋体" w:cs="宋体"/>
          <w:color w:val="auto"/>
          <w:highlight w:val="none"/>
        </w:rPr>
        <w:t>c.评标总得分（</w:t>
      </w:r>
      <w:r>
        <w:rPr>
          <w:rFonts w:ascii="Calibri" w:hAnsi="Calibri" w:eastAsia="宋体" w:cs="Calibri"/>
          <w:color w:val="auto"/>
          <w:highlight w:val="none"/>
        </w:rPr>
        <w:t>FA</w:t>
      </w:r>
      <w:r>
        <w:rPr>
          <w:rFonts w:hint="eastAsia" w:ascii="宋体" w:hAnsi="宋体" w:eastAsia="宋体" w:cs="宋体"/>
          <w:color w:val="auto"/>
          <w:highlight w:val="none"/>
        </w:rPr>
        <w:t>）且评标价（即</w:t>
      </w:r>
      <w:r>
        <w:rPr>
          <w:rFonts w:hint="eastAsia" w:ascii="宋体" w:hAnsi="宋体" w:eastAsia="宋体" w:cs="宋体"/>
          <w:color w:val="auto"/>
          <w:highlight w:val="none"/>
          <w:lang w:eastAsia="zh-CN"/>
        </w:rPr>
        <w:t>有效</w:t>
      </w:r>
      <w:r>
        <w:rPr>
          <w:rFonts w:hint="eastAsia" w:ascii="宋体" w:hAnsi="宋体" w:eastAsia="宋体" w:cs="宋体"/>
          <w:color w:val="auto"/>
          <w:highlight w:val="none"/>
        </w:rPr>
        <w:t>投标报价）相同的并列。</w:t>
      </w:r>
      <w:r>
        <w:rPr>
          <w:color w:val="auto"/>
          <w:highlight w:val="none"/>
        </w:rPr>
        <w:t xml:space="preserve"> </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8、其他规定</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8.1评标应全程保密且不得透露给任一投标人或与评标工作无关的人员。</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8.2若投标人有任何试图干扰具体评标事务，影响评标委员会独立履行职责的行为，其投标无效且不予退还投标保证金。情节严重的，由财政部门列入不良行为记录。</w:t>
      </w:r>
    </w:p>
    <w:p>
      <w:pPr>
        <w:pStyle w:val="12"/>
        <w:widowControl/>
        <w:spacing w:before="75" w:beforeAutospacing="0" w:after="75" w:afterAutospacing="0"/>
        <w:rPr>
          <w:rStyle w:val="16"/>
          <w:rFonts w:ascii="宋体" w:hAnsi="宋体" w:eastAsia="宋体" w:cs="宋体"/>
          <w:color w:val="auto"/>
          <w:sz w:val="31"/>
          <w:szCs w:val="31"/>
          <w:highlight w:val="none"/>
        </w:rPr>
      </w:pPr>
      <w:r>
        <w:rPr>
          <w:rFonts w:hint="eastAsia" w:ascii="宋体" w:hAnsi="宋体" w:eastAsia="宋体" w:cs="宋体"/>
          <w:color w:val="auto"/>
          <w:highlight w:val="none"/>
        </w:rPr>
        <w:t>8.3其他：</w:t>
      </w:r>
      <w:r>
        <w:rPr>
          <w:color w:val="auto"/>
          <w:highlight w:val="none"/>
        </w:rPr>
        <w:t>无</w:t>
      </w:r>
      <w:r>
        <w:rPr>
          <w:rStyle w:val="16"/>
          <w:rFonts w:hint="eastAsia" w:ascii="宋体" w:hAnsi="宋体" w:eastAsia="宋体" w:cs="宋体"/>
          <w:color w:val="auto"/>
          <w:sz w:val="31"/>
          <w:szCs w:val="31"/>
          <w:highlight w:val="none"/>
        </w:rPr>
        <w:br w:type="page"/>
      </w:r>
    </w:p>
    <w:p>
      <w:pPr>
        <w:pStyle w:val="12"/>
        <w:widowControl/>
        <w:spacing w:before="75" w:beforeAutospacing="0" w:after="75" w:afterAutospacing="0"/>
        <w:jc w:val="center"/>
        <w:outlineLvl w:val="0"/>
        <w:rPr>
          <w:color w:val="auto"/>
          <w:highlight w:val="none"/>
        </w:rPr>
      </w:pPr>
      <w:r>
        <w:rPr>
          <w:rStyle w:val="16"/>
          <w:rFonts w:hint="eastAsia" w:ascii="宋体" w:hAnsi="宋体" w:eastAsia="宋体" w:cs="宋体"/>
          <w:color w:val="auto"/>
          <w:sz w:val="31"/>
          <w:szCs w:val="31"/>
          <w:highlight w:val="none"/>
        </w:rPr>
        <w:t>第五章</w:t>
      </w:r>
      <w:r>
        <w:rPr>
          <w:rStyle w:val="16"/>
          <w:color w:val="auto"/>
          <w:sz w:val="31"/>
          <w:szCs w:val="31"/>
          <w:highlight w:val="none"/>
        </w:rPr>
        <w:t>   </w:t>
      </w:r>
      <w:r>
        <w:rPr>
          <w:rStyle w:val="16"/>
          <w:rFonts w:hint="eastAsia" w:ascii="宋体" w:hAnsi="宋体" w:eastAsia="宋体" w:cs="宋体"/>
          <w:color w:val="auto"/>
          <w:sz w:val="31"/>
          <w:szCs w:val="31"/>
          <w:highlight w:val="none"/>
        </w:rPr>
        <w:t>招标内容及要求</w:t>
      </w:r>
    </w:p>
    <w:p>
      <w:pPr>
        <w:pStyle w:val="12"/>
        <w:widowControl/>
        <w:spacing w:before="75" w:beforeAutospacing="0" w:after="75" w:afterAutospacing="0"/>
        <w:outlineLvl w:val="1"/>
        <w:rPr>
          <w:b/>
          <w:bCs/>
          <w:color w:val="auto"/>
          <w:highlight w:val="none"/>
        </w:rPr>
      </w:pPr>
      <w:r>
        <w:rPr>
          <w:b/>
          <w:bCs/>
          <w:color w:val="auto"/>
          <w:highlight w:val="none"/>
        </w:rPr>
        <w:t>一、项目概况（</w:t>
      </w:r>
      <w:r>
        <w:rPr>
          <w:rFonts w:hint="eastAsia"/>
          <w:b/>
          <w:bCs/>
          <w:color w:val="auto"/>
          <w:highlight w:val="none"/>
          <w:lang w:eastAsia="zh-CN"/>
        </w:rPr>
        <w:t>招标</w:t>
      </w:r>
      <w:r>
        <w:rPr>
          <w:b/>
          <w:bCs/>
          <w:color w:val="auto"/>
          <w:highlight w:val="none"/>
        </w:rPr>
        <w:t>标的）</w:t>
      </w:r>
    </w:p>
    <w:p>
      <w:pPr>
        <w:pStyle w:val="12"/>
        <w:widowControl/>
        <w:spacing w:line="360" w:lineRule="auto"/>
        <w:ind w:firstLine="480" w:firstLineChars="200"/>
        <w:rPr>
          <w:rStyle w:val="16"/>
          <w:rFonts w:hint="eastAsia" w:ascii="宋体" w:hAnsi="宋体" w:eastAsia="宋体" w:cs="宋体"/>
          <w:b w:val="0"/>
          <w:bCs/>
          <w:color w:val="auto"/>
          <w:highlight w:val="none"/>
        </w:rPr>
      </w:pPr>
      <w:r>
        <w:rPr>
          <w:rStyle w:val="16"/>
          <w:rFonts w:hint="eastAsia" w:ascii="宋体" w:hAnsi="宋体" w:eastAsia="宋体" w:cs="宋体"/>
          <w:b w:val="0"/>
          <w:bCs/>
          <w:color w:val="auto"/>
          <w:highlight w:val="none"/>
        </w:rPr>
        <w:t>1.项目名称：</w:t>
      </w:r>
      <w:r>
        <w:rPr>
          <w:rStyle w:val="16"/>
          <w:rFonts w:hint="eastAsia" w:ascii="宋体" w:hAnsi="宋体" w:eastAsia="宋体" w:cs="宋体"/>
          <w:b w:val="0"/>
          <w:bCs/>
          <w:color w:val="auto"/>
          <w:highlight w:val="none"/>
          <w:lang w:eastAsia="zh-CN"/>
        </w:rPr>
        <w:t>泉州师范学院第五餐厅</w:t>
      </w:r>
      <w:r>
        <w:rPr>
          <w:rStyle w:val="16"/>
          <w:rFonts w:hint="eastAsia" w:ascii="宋体" w:hAnsi="宋体" w:eastAsia="宋体" w:cs="宋体"/>
          <w:b w:val="0"/>
          <w:bCs/>
          <w:color w:val="auto"/>
          <w:highlight w:val="none"/>
        </w:rPr>
        <w:t>经营权承包项目</w:t>
      </w:r>
    </w:p>
    <w:p>
      <w:pPr>
        <w:pStyle w:val="12"/>
        <w:widowControl/>
        <w:spacing w:line="360" w:lineRule="auto"/>
        <w:ind w:firstLine="480" w:firstLineChars="200"/>
        <w:rPr>
          <w:rStyle w:val="16"/>
          <w:rFonts w:hint="eastAsia" w:ascii="宋体" w:hAnsi="宋体" w:eastAsia="宋体" w:cs="宋体"/>
          <w:b w:val="0"/>
          <w:bCs/>
          <w:color w:val="auto"/>
          <w:highlight w:val="none"/>
        </w:rPr>
      </w:pPr>
      <w:r>
        <w:rPr>
          <w:rStyle w:val="16"/>
          <w:rFonts w:hint="eastAsia" w:ascii="宋体" w:hAnsi="宋体" w:eastAsia="宋体" w:cs="宋体"/>
          <w:b w:val="0"/>
          <w:bCs/>
          <w:color w:val="auto"/>
          <w:highlight w:val="none"/>
        </w:rPr>
        <w:t>2.项目地址：泉州市丰泽区东海大街398号泉州师范学院生活服务中心四楼</w:t>
      </w:r>
    </w:p>
    <w:p>
      <w:pPr>
        <w:pStyle w:val="12"/>
        <w:widowControl/>
        <w:spacing w:line="360" w:lineRule="auto"/>
        <w:ind w:firstLine="480" w:firstLineChars="200"/>
        <w:rPr>
          <w:rStyle w:val="16"/>
          <w:rFonts w:hint="eastAsia" w:ascii="宋体" w:hAnsi="宋体" w:eastAsia="宋体" w:cs="宋体"/>
          <w:b w:val="0"/>
          <w:bCs/>
          <w:color w:val="auto"/>
          <w:highlight w:val="none"/>
        </w:rPr>
      </w:pPr>
      <w:r>
        <w:rPr>
          <w:rStyle w:val="16"/>
          <w:rFonts w:hint="eastAsia" w:ascii="宋体" w:hAnsi="宋体" w:eastAsia="宋体" w:cs="宋体"/>
          <w:b w:val="0"/>
          <w:bCs/>
          <w:color w:val="auto"/>
          <w:highlight w:val="none"/>
        </w:rPr>
        <w:t>3.场地面积：</w:t>
      </w:r>
      <w:r>
        <w:rPr>
          <w:rStyle w:val="16"/>
          <w:rFonts w:hint="eastAsia" w:ascii="宋体" w:hAnsi="宋体" w:eastAsia="宋体" w:cs="宋体"/>
          <w:b w:val="0"/>
          <w:bCs/>
          <w:color w:val="auto"/>
          <w:highlight w:val="none"/>
          <w:lang w:eastAsia="zh-CN"/>
        </w:rPr>
        <w:t>约</w:t>
      </w:r>
      <w:r>
        <w:rPr>
          <w:rStyle w:val="16"/>
          <w:rFonts w:hint="eastAsia" w:ascii="宋体" w:hAnsi="宋体" w:eastAsia="宋体" w:cs="宋体"/>
          <w:b w:val="0"/>
          <w:bCs/>
          <w:color w:val="auto"/>
          <w:highlight w:val="none"/>
        </w:rPr>
        <w:t>4096m</w:t>
      </w:r>
      <w:r>
        <w:rPr>
          <w:rStyle w:val="16"/>
          <w:rFonts w:hint="eastAsia" w:ascii="宋体" w:hAnsi="宋体" w:eastAsia="宋体" w:cs="宋体"/>
          <w:b w:val="0"/>
          <w:bCs/>
          <w:color w:val="auto"/>
          <w:highlight w:val="none"/>
          <w:vertAlign w:val="superscript"/>
        </w:rPr>
        <w:t>2</w:t>
      </w:r>
    </w:p>
    <w:p>
      <w:pPr>
        <w:pStyle w:val="12"/>
        <w:widowControl/>
        <w:spacing w:line="360" w:lineRule="auto"/>
        <w:ind w:firstLine="480" w:firstLineChars="200"/>
        <w:rPr>
          <w:rStyle w:val="16"/>
          <w:rFonts w:hint="eastAsia" w:ascii="宋体" w:hAnsi="宋体" w:eastAsia="宋体" w:cs="宋体"/>
          <w:b w:val="0"/>
          <w:bCs/>
          <w:color w:val="auto"/>
          <w:highlight w:val="none"/>
        </w:rPr>
      </w:pPr>
      <w:r>
        <w:rPr>
          <w:rStyle w:val="16"/>
          <w:rFonts w:hint="eastAsia" w:ascii="宋体" w:hAnsi="宋体" w:eastAsia="宋体" w:cs="宋体"/>
          <w:b w:val="0"/>
          <w:bCs/>
          <w:color w:val="auto"/>
          <w:highlight w:val="none"/>
        </w:rPr>
        <w:t>4.场地详情：招标人提供生活服务中心四楼房产现状供中标人使用，经营场所、原有场所装饰物及设备的所有权均属于招标人</w:t>
      </w:r>
      <w:r>
        <w:rPr>
          <w:rStyle w:val="16"/>
          <w:rFonts w:hint="eastAsia" w:ascii="宋体" w:hAnsi="宋体" w:eastAsia="宋体" w:cs="宋体"/>
          <w:b w:val="0"/>
          <w:bCs/>
          <w:color w:val="auto"/>
          <w:highlight w:val="none"/>
          <w:lang w:eastAsia="zh-CN"/>
        </w:rPr>
        <w:t>，场地平面图详见附件：场地平面图</w:t>
      </w:r>
      <w:r>
        <w:rPr>
          <w:rStyle w:val="16"/>
          <w:rFonts w:hint="eastAsia" w:ascii="宋体" w:hAnsi="宋体" w:eastAsia="宋体" w:cs="宋体"/>
          <w:b w:val="0"/>
          <w:bCs/>
          <w:color w:val="auto"/>
          <w:highlight w:val="none"/>
        </w:rPr>
        <w:t>。</w:t>
      </w:r>
    </w:p>
    <w:p>
      <w:pPr>
        <w:pStyle w:val="12"/>
        <w:widowControl/>
        <w:spacing w:line="360" w:lineRule="auto"/>
        <w:ind w:firstLine="480" w:firstLineChars="200"/>
        <w:rPr>
          <w:rStyle w:val="16"/>
          <w:rFonts w:hint="eastAsia" w:ascii="宋体" w:hAnsi="宋体" w:eastAsia="宋体" w:cs="宋体"/>
          <w:b w:val="0"/>
          <w:bCs/>
          <w:color w:val="auto"/>
          <w:highlight w:val="none"/>
        </w:rPr>
      </w:pPr>
      <w:r>
        <w:rPr>
          <w:rStyle w:val="16"/>
          <w:rFonts w:hint="eastAsia" w:ascii="宋体" w:hAnsi="宋体" w:eastAsia="宋体" w:cs="宋体"/>
          <w:b w:val="0"/>
          <w:bCs/>
          <w:color w:val="auto"/>
          <w:highlight w:val="none"/>
        </w:rPr>
        <w:t>5.经营期：8年</w:t>
      </w:r>
    </w:p>
    <w:p>
      <w:pPr>
        <w:pStyle w:val="12"/>
        <w:widowControl/>
        <w:spacing w:line="360" w:lineRule="auto"/>
        <w:ind w:firstLine="480" w:firstLineChars="200"/>
        <w:rPr>
          <w:rStyle w:val="16"/>
          <w:rFonts w:hint="eastAsia" w:ascii="宋体" w:hAnsi="宋体" w:eastAsia="宋体" w:cs="宋体"/>
          <w:b w:val="0"/>
          <w:bCs/>
          <w:color w:val="auto"/>
          <w:highlight w:val="none"/>
          <w:lang w:val="en-US" w:eastAsia="zh-CN"/>
        </w:rPr>
      </w:pPr>
      <w:r>
        <w:rPr>
          <w:rStyle w:val="16"/>
          <w:rFonts w:hint="eastAsia" w:ascii="宋体" w:hAnsi="宋体" w:eastAsia="宋体" w:cs="宋体"/>
          <w:b w:val="0"/>
          <w:bCs/>
          <w:color w:val="auto"/>
          <w:highlight w:val="none"/>
          <w:lang w:val="en-US" w:eastAsia="zh-CN"/>
        </w:rPr>
        <w:t>6.投资概算表</w:t>
      </w:r>
    </w:p>
    <w:tbl>
      <w:tblPr>
        <w:tblStyle w:val="13"/>
        <w:tblW w:w="7071" w:type="dxa"/>
        <w:jc w:val="center"/>
        <w:tblLayout w:type="fixed"/>
        <w:tblCellMar>
          <w:top w:w="15" w:type="dxa"/>
          <w:left w:w="15" w:type="dxa"/>
          <w:bottom w:w="15" w:type="dxa"/>
          <w:right w:w="15" w:type="dxa"/>
        </w:tblCellMar>
      </w:tblPr>
      <w:tblGrid>
        <w:gridCol w:w="901"/>
        <w:gridCol w:w="2552"/>
        <w:gridCol w:w="1634"/>
        <w:gridCol w:w="1984"/>
      </w:tblGrid>
      <w:tr>
        <w:tblPrEx>
          <w:tblCellMar>
            <w:top w:w="15" w:type="dxa"/>
            <w:left w:w="15" w:type="dxa"/>
            <w:bottom w:w="15" w:type="dxa"/>
            <w:right w:w="15" w:type="dxa"/>
          </w:tblCellMar>
        </w:tblPrEx>
        <w:trPr>
          <w:trHeight w:val="535" w:hRule="atLeast"/>
          <w:jc w:val="center"/>
        </w:trPr>
        <w:tc>
          <w:tcPr>
            <w:tcW w:w="9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olor w:val="auto"/>
                <w:sz w:val="24"/>
                <w:szCs w:val="20"/>
                <w:highlight w:val="none"/>
              </w:rPr>
            </w:pPr>
            <w:r>
              <w:rPr>
                <w:rFonts w:hint="eastAsia" w:ascii="宋体" w:hAnsi="宋体"/>
                <w:color w:val="auto"/>
                <w:sz w:val="24"/>
                <w:szCs w:val="20"/>
                <w:highlight w:val="none"/>
              </w:rPr>
              <w:t>编号</w:t>
            </w:r>
          </w:p>
        </w:tc>
        <w:tc>
          <w:tcPr>
            <w:tcW w:w="2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olor w:val="auto"/>
                <w:sz w:val="24"/>
                <w:szCs w:val="20"/>
                <w:highlight w:val="none"/>
              </w:rPr>
            </w:pPr>
            <w:r>
              <w:rPr>
                <w:rFonts w:hint="eastAsia" w:ascii="宋体" w:hAnsi="宋体"/>
                <w:color w:val="auto"/>
                <w:sz w:val="24"/>
                <w:szCs w:val="20"/>
                <w:highlight w:val="none"/>
              </w:rPr>
              <w:t>项   目</w:t>
            </w:r>
          </w:p>
        </w:tc>
        <w:tc>
          <w:tcPr>
            <w:tcW w:w="16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olor w:val="auto"/>
                <w:sz w:val="24"/>
                <w:szCs w:val="20"/>
                <w:highlight w:val="none"/>
              </w:rPr>
            </w:pPr>
            <w:r>
              <w:rPr>
                <w:rFonts w:hint="eastAsia" w:ascii="宋体" w:hAnsi="宋体"/>
                <w:color w:val="auto"/>
                <w:sz w:val="24"/>
                <w:szCs w:val="20"/>
                <w:highlight w:val="none"/>
              </w:rPr>
              <w:t>数量</w:t>
            </w:r>
          </w:p>
        </w:tc>
        <w:tc>
          <w:tcPr>
            <w:tcW w:w="1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olor w:val="auto"/>
                <w:sz w:val="24"/>
                <w:szCs w:val="20"/>
                <w:highlight w:val="none"/>
              </w:rPr>
            </w:pPr>
            <w:r>
              <w:rPr>
                <w:rFonts w:hint="eastAsia" w:ascii="宋体" w:hAnsi="宋体"/>
                <w:color w:val="auto"/>
                <w:sz w:val="24"/>
                <w:szCs w:val="20"/>
                <w:highlight w:val="none"/>
              </w:rPr>
              <w:t>方案</w:t>
            </w:r>
          </w:p>
        </w:tc>
      </w:tr>
      <w:tr>
        <w:tblPrEx>
          <w:tblCellMar>
            <w:top w:w="15" w:type="dxa"/>
            <w:left w:w="15" w:type="dxa"/>
            <w:bottom w:w="15" w:type="dxa"/>
            <w:right w:w="15" w:type="dxa"/>
          </w:tblCellMar>
        </w:tblPrEx>
        <w:trPr>
          <w:trHeight w:val="350" w:hRule="atLeast"/>
          <w:jc w:val="center"/>
        </w:trPr>
        <w:tc>
          <w:tcPr>
            <w:tcW w:w="9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olor w:val="auto"/>
                <w:sz w:val="24"/>
                <w:szCs w:val="20"/>
                <w:highlight w:val="none"/>
              </w:rPr>
            </w:pPr>
            <w:r>
              <w:rPr>
                <w:rFonts w:hint="eastAsia" w:ascii="宋体" w:hAnsi="宋体"/>
                <w:color w:val="auto"/>
                <w:sz w:val="24"/>
                <w:szCs w:val="20"/>
                <w:highlight w:val="none"/>
              </w:rPr>
              <w:t>1</w:t>
            </w:r>
          </w:p>
        </w:tc>
        <w:tc>
          <w:tcPr>
            <w:tcW w:w="2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olor w:val="auto"/>
                <w:sz w:val="24"/>
                <w:szCs w:val="20"/>
                <w:highlight w:val="none"/>
              </w:rPr>
            </w:pPr>
            <w:r>
              <w:rPr>
                <w:rFonts w:hint="eastAsia" w:ascii="宋体" w:hAnsi="宋体"/>
                <w:color w:val="auto"/>
                <w:sz w:val="24"/>
                <w:szCs w:val="20"/>
                <w:highlight w:val="none"/>
              </w:rPr>
              <w:t>厨房设备及餐桌</w:t>
            </w:r>
          </w:p>
        </w:tc>
        <w:tc>
          <w:tcPr>
            <w:tcW w:w="16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olor w:val="auto"/>
                <w:sz w:val="24"/>
                <w:szCs w:val="20"/>
                <w:highlight w:val="none"/>
              </w:rPr>
            </w:pPr>
            <w:r>
              <w:rPr>
                <w:rFonts w:hint="eastAsia" w:ascii="宋体" w:hAnsi="宋体"/>
                <w:color w:val="auto"/>
                <w:sz w:val="24"/>
                <w:szCs w:val="20"/>
                <w:highlight w:val="none"/>
              </w:rPr>
              <w:t>项</w:t>
            </w:r>
          </w:p>
        </w:tc>
        <w:tc>
          <w:tcPr>
            <w:tcW w:w="1984" w:type="dxa"/>
            <w:tcBorders>
              <w:top w:val="single" w:color="000000" w:sz="4" w:space="0"/>
              <w:left w:val="single" w:color="000000" w:sz="4" w:space="0"/>
              <w:bottom w:val="single" w:color="000000" w:sz="4" w:space="0"/>
              <w:right w:val="single" w:color="000000" w:sz="4" w:space="0"/>
            </w:tcBorders>
            <w:noWrap/>
            <w:vAlign w:val="top"/>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olor w:val="auto"/>
                <w:sz w:val="24"/>
                <w:szCs w:val="20"/>
                <w:highlight w:val="none"/>
              </w:rPr>
            </w:pPr>
            <w:r>
              <w:rPr>
                <w:rFonts w:hint="eastAsia" w:ascii="宋体" w:hAnsi="宋体"/>
                <w:color w:val="auto"/>
                <w:sz w:val="24"/>
                <w:szCs w:val="20"/>
                <w:highlight w:val="none"/>
              </w:rPr>
              <w:t>250万元</w:t>
            </w:r>
          </w:p>
        </w:tc>
      </w:tr>
      <w:tr>
        <w:tblPrEx>
          <w:tblCellMar>
            <w:top w:w="15" w:type="dxa"/>
            <w:left w:w="15" w:type="dxa"/>
            <w:bottom w:w="15" w:type="dxa"/>
            <w:right w:w="15" w:type="dxa"/>
          </w:tblCellMar>
        </w:tblPrEx>
        <w:trPr>
          <w:trHeight w:val="350" w:hRule="atLeast"/>
          <w:jc w:val="center"/>
        </w:trPr>
        <w:tc>
          <w:tcPr>
            <w:tcW w:w="9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olor w:val="auto"/>
                <w:sz w:val="24"/>
                <w:szCs w:val="20"/>
                <w:highlight w:val="none"/>
              </w:rPr>
            </w:pPr>
            <w:r>
              <w:rPr>
                <w:rFonts w:hint="eastAsia" w:ascii="宋体" w:hAnsi="宋体"/>
                <w:color w:val="auto"/>
                <w:sz w:val="24"/>
                <w:szCs w:val="20"/>
                <w:highlight w:val="none"/>
              </w:rPr>
              <w:t>2</w:t>
            </w:r>
          </w:p>
        </w:tc>
        <w:tc>
          <w:tcPr>
            <w:tcW w:w="2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olor w:val="auto"/>
                <w:sz w:val="24"/>
                <w:szCs w:val="20"/>
                <w:highlight w:val="none"/>
              </w:rPr>
            </w:pPr>
            <w:r>
              <w:rPr>
                <w:rFonts w:hint="eastAsia" w:ascii="宋体" w:hAnsi="宋体"/>
                <w:color w:val="auto"/>
                <w:sz w:val="24"/>
                <w:szCs w:val="20"/>
                <w:highlight w:val="none"/>
              </w:rPr>
              <w:t>空调设备及监控</w:t>
            </w:r>
          </w:p>
        </w:tc>
        <w:tc>
          <w:tcPr>
            <w:tcW w:w="16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olor w:val="auto"/>
                <w:sz w:val="24"/>
                <w:szCs w:val="20"/>
                <w:highlight w:val="none"/>
              </w:rPr>
            </w:pPr>
            <w:r>
              <w:rPr>
                <w:rFonts w:hint="eastAsia" w:ascii="宋体" w:hAnsi="宋体"/>
                <w:color w:val="auto"/>
                <w:sz w:val="24"/>
                <w:szCs w:val="20"/>
                <w:highlight w:val="none"/>
              </w:rPr>
              <w:t>4000m</w:t>
            </w:r>
            <w:r>
              <w:rPr>
                <w:rFonts w:hint="eastAsia" w:ascii="宋体" w:hAnsi="宋体"/>
                <w:color w:val="auto"/>
                <w:sz w:val="24"/>
                <w:szCs w:val="20"/>
                <w:highlight w:val="none"/>
                <w:vertAlign w:val="superscript"/>
              </w:rPr>
              <w:t>2</w:t>
            </w:r>
          </w:p>
        </w:tc>
        <w:tc>
          <w:tcPr>
            <w:tcW w:w="1984" w:type="dxa"/>
            <w:tcBorders>
              <w:top w:val="single" w:color="000000" w:sz="4" w:space="0"/>
              <w:left w:val="single" w:color="000000" w:sz="4" w:space="0"/>
              <w:bottom w:val="single" w:color="000000" w:sz="4" w:space="0"/>
              <w:right w:val="single" w:color="000000" w:sz="4" w:space="0"/>
            </w:tcBorders>
            <w:noWrap/>
            <w:vAlign w:val="top"/>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olor w:val="auto"/>
                <w:sz w:val="24"/>
                <w:szCs w:val="20"/>
                <w:highlight w:val="none"/>
              </w:rPr>
            </w:pPr>
            <w:r>
              <w:rPr>
                <w:rFonts w:hint="eastAsia" w:ascii="宋体" w:hAnsi="宋体"/>
                <w:color w:val="auto"/>
                <w:sz w:val="24"/>
                <w:szCs w:val="20"/>
                <w:highlight w:val="none"/>
              </w:rPr>
              <w:t>100万元</w:t>
            </w:r>
          </w:p>
        </w:tc>
      </w:tr>
      <w:tr>
        <w:tblPrEx>
          <w:tblCellMar>
            <w:top w:w="15" w:type="dxa"/>
            <w:left w:w="15" w:type="dxa"/>
            <w:bottom w:w="15" w:type="dxa"/>
            <w:right w:w="15" w:type="dxa"/>
          </w:tblCellMar>
        </w:tblPrEx>
        <w:trPr>
          <w:trHeight w:val="350" w:hRule="atLeast"/>
          <w:jc w:val="center"/>
        </w:trPr>
        <w:tc>
          <w:tcPr>
            <w:tcW w:w="9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olor w:val="auto"/>
                <w:sz w:val="24"/>
                <w:szCs w:val="20"/>
                <w:highlight w:val="none"/>
              </w:rPr>
            </w:pPr>
            <w:r>
              <w:rPr>
                <w:rFonts w:hint="eastAsia" w:ascii="宋体" w:hAnsi="宋体"/>
                <w:color w:val="auto"/>
                <w:sz w:val="24"/>
                <w:szCs w:val="20"/>
                <w:highlight w:val="none"/>
              </w:rPr>
              <w:t>3</w:t>
            </w:r>
          </w:p>
        </w:tc>
        <w:tc>
          <w:tcPr>
            <w:tcW w:w="2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olor w:val="auto"/>
                <w:sz w:val="24"/>
                <w:szCs w:val="20"/>
                <w:highlight w:val="none"/>
              </w:rPr>
            </w:pPr>
            <w:r>
              <w:rPr>
                <w:rFonts w:hint="eastAsia" w:ascii="宋体" w:hAnsi="宋体"/>
                <w:color w:val="auto"/>
                <w:sz w:val="24"/>
                <w:szCs w:val="20"/>
                <w:highlight w:val="none"/>
              </w:rPr>
              <w:t>地板铺设</w:t>
            </w:r>
          </w:p>
        </w:tc>
        <w:tc>
          <w:tcPr>
            <w:tcW w:w="16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olor w:val="auto"/>
                <w:sz w:val="24"/>
                <w:szCs w:val="20"/>
                <w:highlight w:val="none"/>
              </w:rPr>
            </w:pPr>
            <w:r>
              <w:rPr>
                <w:rFonts w:hint="eastAsia" w:ascii="宋体" w:hAnsi="宋体"/>
                <w:color w:val="auto"/>
                <w:sz w:val="24"/>
                <w:szCs w:val="20"/>
                <w:highlight w:val="none"/>
              </w:rPr>
              <w:t>4000m</w:t>
            </w:r>
            <w:r>
              <w:rPr>
                <w:rFonts w:hint="eastAsia" w:ascii="宋体" w:hAnsi="宋体"/>
                <w:color w:val="auto"/>
                <w:sz w:val="24"/>
                <w:szCs w:val="20"/>
                <w:highlight w:val="none"/>
                <w:vertAlign w:val="superscript"/>
              </w:rPr>
              <w:t>2</w:t>
            </w:r>
          </w:p>
        </w:tc>
        <w:tc>
          <w:tcPr>
            <w:tcW w:w="1984" w:type="dxa"/>
            <w:tcBorders>
              <w:top w:val="single" w:color="000000" w:sz="4" w:space="0"/>
              <w:left w:val="single" w:color="000000" w:sz="4" w:space="0"/>
              <w:bottom w:val="single" w:color="000000" w:sz="4" w:space="0"/>
              <w:right w:val="single" w:color="000000" w:sz="4" w:space="0"/>
            </w:tcBorders>
            <w:noWrap/>
            <w:vAlign w:val="top"/>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olor w:val="auto"/>
                <w:sz w:val="24"/>
                <w:szCs w:val="20"/>
                <w:highlight w:val="none"/>
              </w:rPr>
            </w:pPr>
            <w:r>
              <w:rPr>
                <w:rFonts w:hint="eastAsia" w:ascii="宋体" w:hAnsi="宋体"/>
                <w:color w:val="auto"/>
                <w:sz w:val="24"/>
                <w:szCs w:val="20"/>
                <w:highlight w:val="none"/>
              </w:rPr>
              <w:t>70万元</w:t>
            </w:r>
          </w:p>
        </w:tc>
      </w:tr>
      <w:tr>
        <w:tblPrEx>
          <w:tblCellMar>
            <w:top w:w="15" w:type="dxa"/>
            <w:left w:w="15" w:type="dxa"/>
            <w:bottom w:w="15" w:type="dxa"/>
            <w:right w:w="15" w:type="dxa"/>
          </w:tblCellMar>
        </w:tblPrEx>
        <w:trPr>
          <w:trHeight w:val="350" w:hRule="atLeast"/>
          <w:jc w:val="center"/>
        </w:trPr>
        <w:tc>
          <w:tcPr>
            <w:tcW w:w="9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olor w:val="auto"/>
                <w:sz w:val="24"/>
                <w:szCs w:val="20"/>
                <w:highlight w:val="none"/>
              </w:rPr>
            </w:pPr>
            <w:r>
              <w:rPr>
                <w:rFonts w:hint="eastAsia" w:ascii="宋体" w:hAnsi="宋体"/>
                <w:color w:val="auto"/>
                <w:sz w:val="24"/>
                <w:szCs w:val="20"/>
                <w:highlight w:val="none"/>
              </w:rPr>
              <w:t>4</w:t>
            </w:r>
          </w:p>
        </w:tc>
        <w:tc>
          <w:tcPr>
            <w:tcW w:w="2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olor w:val="auto"/>
                <w:sz w:val="24"/>
                <w:szCs w:val="20"/>
                <w:highlight w:val="none"/>
              </w:rPr>
            </w:pPr>
            <w:r>
              <w:rPr>
                <w:rFonts w:hint="eastAsia" w:ascii="宋体" w:hAnsi="宋体"/>
                <w:color w:val="auto"/>
                <w:sz w:val="24"/>
                <w:szCs w:val="20"/>
                <w:highlight w:val="none"/>
              </w:rPr>
              <w:t>厨房墙体</w:t>
            </w:r>
          </w:p>
        </w:tc>
        <w:tc>
          <w:tcPr>
            <w:tcW w:w="16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olor w:val="auto"/>
                <w:sz w:val="24"/>
                <w:szCs w:val="20"/>
                <w:highlight w:val="none"/>
              </w:rPr>
            </w:pPr>
            <w:r>
              <w:rPr>
                <w:rFonts w:hint="eastAsia" w:ascii="宋体" w:hAnsi="宋体"/>
                <w:color w:val="auto"/>
                <w:sz w:val="24"/>
                <w:szCs w:val="20"/>
                <w:highlight w:val="none"/>
              </w:rPr>
              <w:t>900m</w:t>
            </w:r>
            <w:r>
              <w:rPr>
                <w:rFonts w:hint="eastAsia" w:ascii="宋体" w:hAnsi="宋体"/>
                <w:color w:val="auto"/>
                <w:sz w:val="24"/>
                <w:szCs w:val="20"/>
                <w:highlight w:val="none"/>
                <w:vertAlign w:val="superscript"/>
              </w:rPr>
              <w:t>2</w:t>
            </w:r>
          </w:p>
        </w:tc>
        <w:tc>
          <w:tcPr>
            <w:tcW w:w="1984" w:type="dxa"/>
            <w:tcBorders>
              <w:top w:val="single" w:color="000000" w:sz="4" w:space="0"/>
              <w:left w:val="single" w:color="000000" w:sz="4" w:space="0"/>
              <w:bottom w:val="single" w:color="000000" w:sz="4" w:space="0"/>
              <w:right w:val="single" w:color="000000" w:sz="4" w:space="0"/>
            </w:tcBorders>
            <w:noWrap/>
            <w:vAlign w:val="top"/>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olor w:val="auto"/>
                <w:sz w:val="24"/>
                <w:szCs w:val="20"/>
                <w:highlight w:val="none"/>
              </w:rPr>
            </w:pPr>
            <w:r>
              <w:rPr>
                <w:rFonts w:hint="eastAsia" w:ascii="宋体" w:hAnsi="宋体"/>
                <w:color w:val="auto"/>
                <w:sz w:val="24"/>
                <w:szCs w:val="20"/>
                <w:highlight w:val="none"/>
              </w:rPr>
              <w:t>20万元</w:t>
            </w:r>
          </w:p>
        </w:tc>
      </w:tr>
      <w:tr>
        <w:tblPrEx>
          <w:tblCellMar>
            <w:top w:w="15" w:type="dxa"/>
            <w:left w:w="15" w:type="dxa"/>
            <w:bottom w:w="15" w:type="dxa"/>
            <w:right w:w="15" w:type="dxa"/>
          </w:tblCellMar>
        </w:tblPrEx>
        <w:trPr>
          <w:trHeight w:val="350" w:hRule="atLeast"/>
          <w:jc w:val="center"/>
        </w:trPr>
        <w:tc>
          <w:tcPr>
            <w:tcW w:w="9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olor w:val="auto"/>
                <w:sz w:val="24"/>
                <w:szCs w:val="20"/>
                <w:highlight w:val="none"/>
              </w:rPr>
            </w:pPr>
            <w:r>
              <w:rPr>
                <w:rFonts w:hint="eastAsia" w:ascii="宋体" w:hAnsi="宋体"/>
                <w:color w:val="auto"/>
                <w:sz w:val="24"/>
                <w:szCs w:val="20"/>
                <w:highlight w:val="none"/>
              </w:rPr>
              <w:t>5</w:t>
            </w:r>
          </w:p>
        </w:tc>
        <w:tc>
          <w:tcPr>
            <w:tcW w:w="2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olor w:val="auto"/>
                <w:sz w:val="24"/>
                <w:szCs w:val="20"/>
                <w:highlight w:val="none"/>
              </w:rPr>
            </w:pPr>
            <w:r>
              <w:rPr>
                <w:rFonts w:hint="eastAsia" w:ascii="宋体" w:hAnsi="宋体"/>
                <w:color w:val="auto"/>
                <w:sz w:val="24"/>
                <w:szCs w:val="20"/>
                <w:highlight w:val="none"/>
              </w:rPr>
              <w:t>天棚吊顶</w:t>
            </w:r>
          </w:p>
        </w:tc>
        <w:tc>
          <w:tcPr>
            <w:tcW w:w="16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olor w:val="auto"/>
                <w:sz w:val="24"/>
                <w:szCs w:val="20"/>
                <w:highlight w:val="none"/>
              </w:rPr>
            </w:pPr>
            <w:r>
              <w:rPr>
                <w:rFonts w:hint="eastAsia" w:ascii="宋体" w:hAnsi="宋体"/>
                <w:color w:val="auto"/>
                <w:sz w:val="24"/>
                <w:szCs w:val="20"/>
                <w:highlight w:val="none"/>
              </w:rPr>
              <w:t>3000m</w:t>
            </w:r>
            <w:r>
              <w:rPr>
                <w:rFonts w:hint="eastAsia" w:ascii="宋体" w:hAnsi="宋体"/>
                <w:color w:val="auto"/>
                <w:sz w:val="24"/>
                <w:szCs w:val="20"/>
                <w:highlight w:val="none"/>
                <w:vertAlign w:val="superscript"/>
              </w:rPr>
              <w:t>2</w:t>
            </w:r>
          </w:p>
        </w:tc>
        <w:tc>
          <w:tcPr>
            <w:tcW w:w="1984" w:type="dxa"/>
            <w:tcBorders>
              <w:top w:val="single" w:color="000000" w:sz="4" w:space="0"/>
              <w:left w:val="single" w:color="000000" w:sz="4" w:space="0"/>
              <w:bottom w:val="single" w:color="000000" w:sz="4" w:space="0"/>
              <w:right w:val="single" w:color="000000" w:sz="4" w:space="0"/>
            </w:tcBorders>
            <w:noWrap/>
            <w:vAlign w:val="top"/>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olor w:val="auto"/>
                <w:sz w:val="24"/>
                <w:szCs w:val="20"/>
                <w:highlight w:val="none"/>
              </w:rPr>
            </w:pPr>
            <w:r>
              <w:rPr>
                <w:rFonts w:hint="eastAsia" w:ascii="宋体" w:hAnsi="宋体"/>
                <w:color w:val="auto"/>
                <w:sz w:val="24"/>
                <w:szCs w:val="20"/>
                <w:highlight w:val="none"/>
              </w:rPr>
              <w:t>60万元</w:t>
            </w:r>
          </w:p>
        </w:tc>
      </w:tr>
      <w:tr>
        <w:tblPrEx>
          <w:tblCellMar>
            <w:top w:w="15" w:type="dxa"/>
            <w:left w:w="15" w:type="dxa"/>
            <w:bottom w:w="15" w:type="dxa"/>
            <w:right w:w="15" w:type="dxa"/>
          </w:tblCellMar>
        </w:tblPrEx>
        <w:trPr>
          <w:trHeight w:val="350" w:hRule="atLeast"/>
          <w:jc w:val="center"/>
        </w:trPr>
        <w:tc>
          <w:tcPr>
            <w:tcW w:w="9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olor w:val="auto"/>
                <w:sz w:val="24"/>
                <w:szCs w:val="20"/>
                <w:highlight w:val="none"/>
              </w:rPr>
            </w:pPr>
            <w:r>
              <w:rPr>
                <w:rFonts w:hint="eastAsia" w:ascii="宋体" w:hAnsi="宋体"/>
                <w:color w:val="auto"/>
                <w:sz w:val="24"/>
                <w:szCs w:val="20"/>
                <w:highlight w:val="none"/>
              </w:rPr>
              <w:t>6</w:t>
            </w:r>
          </w:p>
        </w:tc>
        <w:tc>
          <w:tcPr>
            <w:tcW w:w="2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olor w:val="auto"/>
                <w:sz w:val="24"/>
                <w:szCs w:val="20"/>
                <w:highlight w:val="none"/>
              </w:rPr>
            </w:pPr>
            <w:r>
              <w:rPr>
                <w:rFonts w:hint="eastAsia" w:ascii="宋体" w:hAnsi="宋体"/>
                <w:color w:val="auto"/>
                <w:sz w:val="24"/>
                <w:szCs w:val="20"/>
                <w:highlight w:val="none"/>
              </w:rPr>
              <w:t>公共卫生间改造</w:t>
            </w:r>
          </w:p>
        </w:tc>
        <w:tc>
          <w:tcPr>
            <w:tcW w:w="16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olor w:val="auto"/>
                <w:sz w:val="24"/>
                <w:szCs w:val="20"/>
                <w:highlight w:val="none"/>
              </w:rPr>
            </w:pPr>
            <w:r>
              <w:rPr>
                <w:rFonts w:hint="eastAsia" w:ascii="宋体" w:hAnsi="宋体"/>
                <w:color w:val="auto"/>
                <w:sz w:val="24"/>
                <w:szCs w:val="20"/>
                <w:highlight w:val="none"/>
              </w:rPr>
              <w:t>52m</w:t>
            </w:r>
            <w:r>
              <w:rPr>
                <w:rFonts w:hint="eastAsia" w:ascii="宋体" w:hAnsi="宋体"/>
                <w:color w:val="auto"/>
                <w:sz w:val="24"/>
                <w:szCs w:val="20"/>
                <w:highlight w:val="none"/>
                <w:vertAlign w:val="superscript"/>
              </w:rPr>
              <w:t>2</w:t>
            </w:r>
          </w:p>
        </w:tc>
        <w:tc>
          <w:tcPr>
            <w:tcW w:w="1984" w:type="dxa"/>
            <w:tcBorders>
              <w:top w:val="single" w:color="000000" w:sz="4" w:space="0"/>
              <w:left w:val="single" w:color="000000" w:sz="4" w:space="0"/>
              <w:bottom w:val="single" w:color="000000" w:sz="4" w:space="0"/>
              <w:right w:val="single" w:color="000000" w:sz="4" w:space="0"/>
            </w:tcBorders>
            <w:noWrap/>
            <w:vAlign w:val="top"/>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olor w:val="auto"/>
                <w:sz w:val="24"/>
                <w:szCs w:val="20"/>
                <w:highlight w:val="none"/>
              </w:rPr>
            </w:pPr>
            <w:r>
              <w:rPr>
                <w:rFonts w:hint="eastAsia" w:ascii="宋体" w:hAnsi="宋体"/>
                <w:color w:val="auto"/>
                <w:sz w:val="24"/>
                <w:szCs w:val="20"/>
                <w:highlight w:val="none"/>
              </w:rPr>
              <w:t>10万元</w:t>
            </w:r>
          </w:p>
        </w:tc>
      </w:tr>
      <w:tr>
        <w:tblPrEx>
          <w:tblCellMar>
            <w:top w:w="15" w:type="dxa"/>
            <w:left w:w="15" w:type="dxa"/>
            <w:bottom w:w="15" w:type="dxa"/>
            <w:right w:w="15" w:type="dxa"/>
          </w:tblCellMar>
        </w:tblPrEx>
        <w:trPr>
          <w:trHeight w:val="350" w:hRule="atLeast"/>
          <w:jc w:val="center"/>
        </w:trPr>
        <w:tc>
          <w:tcPr>
            <w:tcW w:w="9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olor w:val="auto"/>
                <w:sz w:val="24"/>
                <w:szCs w:val="20"/>
                <w:highlight w:val="none"/>
              </w:rPr>
            </w:pPr>
            <w:r>
              <w:rPr>
                <w:rFonts w:hint="eastAsia" w:ascii="宋体" w:hAnsi="宋体"/>
                <w:color w:val="auto"/>
                <w:sz w:val="24"/>
                <w:szCs w:val="20"/>
                <w:highlight w:val="none"/>
              </w:rPr>
              <w:t>7</w:t>
            </w:r>
          </w:p>
        </w:tc>
        <w:tc>
          <w:tcPr>
            <w:tcW w:w="2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olor w:val="auto"/>
                <w:sz w:val="24"/>
                <w:szCs w:val="20"/>
                <w:highlight w:val="none"/>
              </w:rPr>
            </w:pPr>
            <w:r>
              <w:rPr>
                <w:rFonts w:hint="eastAsia" w:ascii="宋体" w:hAnsi="宋体"/>
                <w:color w:val="auto"/>
                <w:sz w:val="24"/>
                <w:szCs w:val="20"/>
                <w:highlight w:val="none"/>
              </w:rPr>
              <w:t>电缆主线</w:t>
            </w:r>
          </w:p>
        </w:tc>
        <w:tc>
          <w:tcPr>
            <w:tcW w:w="16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olor w:val="auto"/>
                <w:sz w:val="24"/>
                <w:szCs w:val="20"/>
                <w:highlight w:val="none"/>
              </w:rPr>
            </w:pPr>
            <w:r>
              <w:rPr>
                <w:rFonts w:hint="eastAsia" w:ascii="宋体" w:hAnsi="宋体"/>
                <w:color w:val="auto"/>
                <w:sz w:val="24"/>
                <w:szCs w:val="20"/>
                <w:highlight w:val="none"/>
              </w:rPr>
              <w:t>60m</w:t>
            </w:r>
          </w:p>
        </w:tc>
        <w:tc>
          <w:tcPr>
            <w:tcW w:w="1984" w:type="dxa"/>
            <w:tcBorders>
              <w:top w:val="single" w:color="000000" w:sz="4" w:space="0"/>
              <w:left w:val="single" w:color="000000" w:sz="4" w:space="0"/>
              <w:bottom w:val="single" w:color="000000" w:sz="4" w:space="0"/>
              <w:right w:val="single" w:color="000000" w:sz="4" w:space="0"/>
            </w:tcBorders>
            <w:noWrap/>
            <w:vAlign w:val="top"/>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olor w:val="auto"/>
                <w:sz w:val="24"/>
                <w:szCs w:val="20"/>
                <w:highlight w:val="none"/>
              </w:rPr>
            </w:pPr>
            <w:r>
              <w:rPr>
                <w:rFonts w:hint="eastAsia" w:ascii="宋体" w:hAnsi="宋体"/>
                <w:color w:val="auto"/>
                <w:sz w:val="24"/>
                <w:szCs w:val="20"/>
                <w:highlight w:val="none"/>
              </w:rPr>
              <w:t>30万元</w:t>
            </w:r>
          </w:p>
        </w:tc>
      </w:tr>
      <w:tr>
        <w:tblPrEx>
          <w:tblCellMar>
            <w:top w:w="15" w:type="dxa"/>
            <w:left w:w="15" w:type="dxa"/>
            <w:bottom w:w="15" w:type="dxa"/>
            <w:right w:w="15" w:type="dxa"/>
          </w:tblCellMar>
        </w:tblPrEx>
        <w:trPr>
          <w:trHeight w:val="350" w:hRule="atLeast"/>
          <w:jc w:val="center"/>
        </w:trPr>
        <w:tc>
          <w:tcPr>
            <w:tcW w:w="9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olor w:val="auto"/>
                <w:sz w:val="24"/>
                <w:szCs w:val="20"/>
                <w:highlight w:val="none"/>
              </w:rPr>
            </w:pPr>
            <w:r>
              <w:rPr>
                <w:rFonts w:hint="eastAsia" w:ascii="宋体" w:hAnsi="宋体"/>
                <w:color w:val="auto"/>
                <w:sz w:val="24"/>
                <w:szCs w:val="20"/>
                <w:highlight w:val="none"/>
              </w:rPr>
              <w:t>8</w:t>
            </w:r>
          </w:p>
        </w:tc>
        <w:tc>
          <w:tcPr>
            <w:tcW w:w="2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olor w:val="auto"/>
                <w:sz w:val="24"/>
                <w:szCs w:val="20"/>
                <w:highlight w:val="none"/>
                <w:lang w:val="en-US" w:eastAsia="zh-CN"/>
              </w:rPr>
            </w:pPr>
            <w:r>
              <w:rPr>
                <w:rFonts w:hint="eastAsia" w:ascii="宋体" w:hAnsi="宋体"/>
                <w:color w:val="auto"/>
                <w:sz w:val="24"/>
                <w:szCs w:val="20"/>
                <w:highlight w:val="none"/>
              </w:rPr>
              <w:t>供水供电改造</w:t>
            </w:r>
          </w:p>
        </w:tc>
        <w:tc>
          <w:tcPr>
            <w:tcW w:w="16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olor w:val="auto"/>
                <w:sz w:val="24"/>
                <w:szCs w:val="20"/>
                <w:highlight w:val="none"/>
                <w:lang w:val="en-US" w:eastAsia="zh-CN"/>
              </w:rPr>
            </w:pPr>
            <w:r>
              <w:rPr>
                <w:rFonts w:hint="eastAsia" w:ascii="宋体" w:hAnsi="宋体"/>
                <w:color w:val="auto"/>
                <w:sz w:val="24"/>
                <w:szCs w:val="20"/>
                <w:highlight w:val="none"/>
              </w:rPr>
              <w:t>4000m</w:t>
            </w:r>
            <w:r>
              <w:rPr>
                <w:rFonts w:hint="eastAsia" w:ascii="宋体" w:hAnsi="宋体"/>
                <w:color w:val="auto"/>
                <w:sz w:val="24"/>
                <w:szCs w:val="20"/>
                <w:highlight w:val="none"/>
                <w:vertAlign w:val="superscript"/>
              </w:rPr>
              <w:t>2</w:t>
            </w:r>
          </w:p>
        </w:tc>
        <w:tc>
          <w:tcPr>
            <w:tcW w:w="1984" w:type="dxa"/>
            <w:tcBorders>
              <w:top w:val="single" w:color="000000" w:sz="4" w:space="0"/>
              <w:left w:val="single" w:color="000000" w:sz="4" w:space="0"/>
              <w:bottom w:val="single" w:color="000000" w:sz="4" w:space="0"/>
              <w:right w:val="single" w:color="000000" w:sz="4" w:space="0"/>
            </w:tcBorders>
            <w:noWrap/>
            <w:vAlign w:val="top"/>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olor w:val="auto"/>
                <w:sz w:val="24"/>
                <w:szCs w:val="20"/>
                <w:highlight w:val="none"/>
                <w:lang w:val="en-US" w:eastAsia="zh-CN"/>
              </w:rPr>
            </w:pPr>
            <w:r>
              <w:rPr>
                <w:rFonts w:hint="eastAsia" w:ascii="宋体" w:hAnsi="宋体"/>
                <w:color w:val="auto"/>
                <w:sz w:val="24"/>
                <w:szCs w:val="20"/>
                <w:highlight w:val="none"/>
              </w:rPr>
              <w:t>100万元</w:t>
            </w:r>
          </w:p>
        </w:tc>
      </w:tr>
      <w:tr>
        <w:tblPrEx>
          <w:tblCellMar>
            <w:top w:w="15" w:type="dxa"/>
            <w:left w:w="15" w:type="dxa"/>
            <w:bottom w:w="15" w:type="dxa"/>
            <w:right w:w="15" w:type="dxa"/>
          </w:tblCellMar>
        </w:tblPrEx>
        <w:trPr>
          <w:trHeight w:val="360" w:hRule="atLeast"/>
          <w:jc w:val="center"/>
        </w:trPr>
        <w:tc>
          <w:tcPr>
            <w:tcW w:w="9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olor w:val="auto"/>
                <w:sz w:val="24"/>
                <w:szCs w:val="20"/>
                <w:highlight w:val="none"/>
              </w:rPr>
            </w:pPr>
            <w:r>
              <w:rPr>
                <w:rFonts w:hint="eastAsia" w:ascii="宋体" w:hAnsi="宋体"/>
                <w:color w:val="auto"/>
                <w:sz w:val="24"/>
                <w:szCs w:val="20"/>
                <w:highlight w:val="none"/>
              </w:rPr>
              <w:t>9</w:t>
            </w:r>
          </w:p>
        </w:tc>
        <w:tc>
          <w:tcPr>
            <w:tcW w:w="2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olor w:val="auto"/>
                <w:sz w:val="24"/>
                <w:szCs w:val="20"/>
                <w:highlight w:val="none"/>
                <w:lang w:val="en-US" w:eastAsia="zh-CN"/>
              </w:rPr>
            </w:pPr>
            <w:r>
              <w:rPr>
                <w:rFonts w:hint="eastAsia" w:ascii="宋体" w:hAnsi="宋体"/>
                <w:color w:val="auto"/>
                <w:sz w:val="24"/>
                <w:szCs w:val="20"/>
                <w:highlight w:val="none"/>
              </w:rPr>
              <w:t>消防改造</w:t>
            </w:r>
          </w:p>
        </w:tc>
        <w:tc>
          <w:tcPr>
            <w:tcW w:w="16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olor w:val="auto"/>
                <w:sz w:val="24"/>
                <w:szCs w:val="20"/>
                <w:highlight w:val="none"/>
                <w:lang w:val="en-US" w:eastAsia="zh-CN"/>
              </w:rPr>
            </w:pPr>
            <w:r>
              <w:rPr>
                <w:rFonts w:hint="eastAsia" w:ascii="宋体" w:hAnsi="宋体"/>
                <w:color w:val="auto"/>
                <w:sz w:val="24"/>
                <w:szCs w:val="20"/>
                <w:highlight w:val="none"/>
              </w:rPr>
              <w:t>4000m</w:t>
            </w:r>
            <w:r>
              <w:rPr>
                <w:rFonts w:hint="eastAsia" w:ascii="宋体" w:hAnsi="宋体"/>
                <w:color w:val="auto"/>
                <w:sz w:val="24"/>
                <w:szCs w:val="20"/>
                <w:highlight w:val="none"/>
                <w:vertAlign w:val="superscript"/>
              </w:rPr>
              <w:t>2</w:t>
            </w:r>
          </w:p>
        </w:tc>
        <w:tc>
          <w:tcPr>
            <w:tcW w:w="1984" w:type="dxa"/>
            <w:tcBorders>
              <w:top w:val="single" w:color="000000" w:sz="4" w:space="0"/>
              <w:left w:val="single" w:color="000000" w:sz="4" w:space="0"/>
              <w:bottom w:val="single" w:color="000000" w:sz="4" w:space="0"/>
              <w:right w:val="single" w:color="000000" w:sz="4" w:space="0"/>
            </w:tcBorders>
            <w:noWrap/>
            <w:vAlign w:val="top"/>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olor w:val="auto"/>
                <w:sz w:val="24"/>
                <w:szCs w:val="20"/>
                <w:highlight w:val="none"/>
                <w:lang w:val="en-US" w:eastAsia="zh-CN"/>
              </w:rPr>
            </w:pPr>
            <w:r>
              <w:rPr>
                <w:rFonts w:hint="eastAsia" w:ascii="宋体" w:hAnsi="宋体"/>
                <w:color w:val="auto"/>
                <w:sz w:val="24"/>
                <w:szCs w:val="20"/>
                <w:highlight w:val="none"/>
              </w:rPr>
              <w:t>60万元</w:t>
            </w:r>
          </w:p>
        </w:tc>
      </w:tr>
      <w:tr>
        <w:tblPrEx>
          <w:tblCellMar>
            <w:top w:w="15" w:type="dxa"/>
            <w:left w:w="15" w:type="dxa"/>
            <w:bottom w:w="15" w:type="dxa"/>
            <w:right w:w="15" w:type="dxa"/>
          </w:tblCellMar>
        </w:tblPrEx>
        <w:trPr>
          <w:trHeight w:val="360" w:hRule="atLeast"/>
          <w:jc w:val="center"/>
        </w:trPr>
        <w:tc>
          <w:tcPr>
            <w:tcW w:w="9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olor w:val="auto"/>
                <w:sz w:val="24"/>
                <w:szCs w:val="20"/>
                <w:highlight w:val="none"/>
              </w:rPr>
            </w:pPr>
            <w:r>
              <w:rPr>
                <w:rFonts w:hint="eastAsia" w:ascii="宋体" w:hAnsi="宋体"/>
                <w:color w:val="auto"/>
                <w:sz w:val="24"/>
                <w:szCs w:val="20"/>
                <w:highlight w:val="none"/>
              </w:rPr>
              <w:t>10</w:t>
            </w:r>
          </w:p>
        </w:tc>
        <w:tc>
          <w:tcPr>
            <w:tcW w:w="2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olor w:val="auto"/>
                <w:sz w:val="24"/>
                <w:szCs w:val="20"/>
                <w:highlight w:val="none"/>
                <w:lang w:val="en-US" w:eastAsia="zh-CN"/>
              </w:rPr>
            </w:pPr>
            <w:r>
              <w:rPr>
                <w:rFonts w:hint="eastAsia" w:ascii="宋体" w:hAnsi="宋体"/>
                <w:color w:val="auto"/>
                <w:sz w:val="24"/>
                <w:szCs w:val="20"/>
                <w:highlight w:val="none"/>
              </w:rPr>
              <w:t>天然气改造</w:t>
            </w:r>
          </w:p>
        </w:tc>
        <w:tc>
          <w:tcPr>
            <w:tcW w:w="16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olor w:val="auto"/>
                <w:sz w:val="24"/>
                <w:szCs w:val="20"/>
                <w:highlight w:val="none"/>
                <w:lang w:val="en-US" w:eastAsia="zh-CN"/>
              </w:rPr>
            </w:pPr>
            <w:r>
              <w:rPr>
                <w:rFonts w:hint="eastAsia" w:ascii="宋体" w:hAnsi="宋体"/>
                <w:color w:val="auto"/>
                <w:sz w:val="24"/>
                <w:szCs w:val="20"/>
                <w:highlight w:val="none"/>
              </w:rPr>
              <w:t>项</w:t>
            </w:r>
          </w:p>
        </w:tc>
        <w:tc>
          <w:tcPr>
            <w:tcW w:w="1984" w:type="dxa"/>
            <w:tcBorders>
              <w:top w:val="single" w:color="000000" w:sz="4" w:space="0"/>
              <w:left w:val="single" w:color="000000" w:sz="4" w:space="0"/>
              <w:bottom w:val="single" w:color="000000" w:sz="4" w:space="0"/>
              <w:right w:val="single" w:color="000000" w:sz="4" w:space="0"/>
            </w:tcBorders>
            <w:noWrap/>
            <w:vAlign w:val="top"/>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olor w:val="auto"/>
                <w:sz w:val="24"/>
                <w:szCs w:val="20"/>
                <w:highlight w:val="none"/>
                <w:lang w:val="en-US" w:eastAsia="zh-CN"/>
              </w:rPr>
            </w:pPr>
            <w:r>
              <w:rPr>
                <w:rFonts w:hint="eastAsia" w:ascii="宋体" w:hAnsi="宋体"/>
                <w:color w:val="auto"/>
                <w:sz w:val="24"/>
                <w:szCs w:val="20"/>
                <w:highlight w:val="none"/>
              </w:rPr>
              <w:t>50万元</w:t>
            </w:r>
          </w:p>
        </w:tc>
      </w:tr>
      <w:tr>
        <w:tblPrEx>
          <w:tblCellMar>
            <w:top w:w="15" w:type="dxa"/>
            <w:left w:w="15" w:type="dxa"/>
            <w:bottom w:w="15" w:type="dxa"/>
            <w:right w:w="15" w:type="dxa"/>
          </w:tblCellMar>
        </w:tblPrEx>
        <w:trPr>
          <w:trHeight w:val="360" w:hRule="atLeast"/>
          <w:jc w:val="center"/>
        </w:trPr>
        <w:tc>
          <w:tcPr>
            <w:tcW w:w="9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olor w:val="auto"/>
                <w:sz w:val="24"/>
                <w:szCs w:val="20"/>
                <w:highlight w:val="none"/>
              </w:rPr>
            </w:pPr>
            <w:r>
              <w:rPr>
                <w:rFonts w:hint="eastAsia" w:ascii="宋体" w:hAnsi="宋体"/>
                <w:color w:val="auto"/>
                <w:sz w:val="24"/>
                <w:szCs w:val="20"/>
                <w:highlight w:val="none"/>
              </w:rPr>
              <w:t>11</w:t>
            </w:r>
          </w:p>
        </w:tc>
        <w:tc>
          <w:tcPr>
            <w:tcW w:w="2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olor w:val="auto"/>
                <w:sz w:val="24"/>
                <w:szCs w:val="20"/>
                <w:highlight w:val="none"/>
                <w:lang w:val="en-US" w:eastAsia="zh-CN"/>
              </w:rPr>
            </w:pPr>
            <w:r>
              <w:rPr>
                <w:rFonts w:hint="eastAsia" w:ascii="宋体" w:hAnsi="宋体"/>
                <w:color w:val="auto"/>
                <w:sz w:val="24"/>
                <w:szCs w:val="20"/>
                <w:highlight w:val="none"/>
              </w:rPr>
              <w:t>不可预见费</w:t>
            </w:r>
          </w:p>
        </w:tc>
        <w:tc>
          <w:tcPr>
            <w:tcW w:w="16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olor w:val="auto"/>
                <w:sz w:val="24"/>
                <w:szCs w:val="20"/>
                <w:highlight w:val="none"/>
                <w:lang w:val="en-US" w:eastAsia="zh-CN"/>
              </w:rPr>
            </w:pPr>
            <w:r>
              <w:rPr>
                <w:rFonts w:hint="eastAsia" w:ascii="宋体" w:hAnsi="宋体"/>
                <w:color w:val="auto"/>
                <w:sz w:val="24"/>
                <w:szCs w:val="20"/>
                <w:highlight w:val="none"/>
              </w:rPr>
              <w:t>项</w:t>
            </w:r>
          </w:p>
        </w:tc>
        <w:tc>
          <w:tcPr>
            <w:tcW w:w="1984" w:type="dxa"/>
            <w:tcBorders>
              <w:top w:val="single" w:color="000000" w:sz="4" w:space="0"/>
              <w:left w:val="single" w:color="000000" w:sz="4" w:space="0"/>
              <w:bottom w:val="single" w:color="000000" w:sz="4" w:space="0"/>
              <w:right w:val="single" w:color="000000" w:sz="4" w:space="0"/>
            </w:tcBorders>
            <w:noWrap/>
            <w:vAlign w:val="top"/>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olor w:val="auto"/>
                <w:sz w:val="24"/>
                <w:szCs w:val="20"/>
                <w:highlight w:val="none"/>
                <w:lang w:val="en-US" w:eastAsia="zh-CN"/>
              </w:rPr>
            </w:pPr>
            <w:r>
              <w:rPr>
                <w:rFonts w:hint="eastAsia" w:ascii="宋体" w:hAnsi="宋体"/>
                <w:color w:val="auto"/>
                <w:sz w:val="24"/>
                <w:szCs w:val="20"/>
                <w:highlight w:val="none"/>
              </w:rPr>
              <w:t>50万元</w:t>
            </w:r>
          </w:p>
        </w:tc>
      </w:tr>
      <w:tr>
        <w:tblPrEx>
          <w:tblCellMar>
            <w:top w:w="15" w:type="dxa"/>
            <w:left w:w="15" w:type="dxa"/>
            <w:bottom w:w="15" w:type="dxa"/>
            <w:right w:w="15" w:type="dxa"/>
          </w:tblCellMar>
        </w:tblPrEx>
        <w:trPr>
          <w:trHeight w:val="360" w:hRule="atLeast"/>
          <w:jc w:val="center"/>
        </w:trPr>
        <w:tc>
          <w:tcPr>
            <w:tcW w:w="9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szCs w:val="20"/>
                <w:highlight w:val="none"/>
              </w:rPr>
            </w:pPr>
          </w:p>
        </w:tc>
        <w:tc>
          <w:tcPr>
            <w:tcW w:w="2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olor w:val="auto"/>
                <w:sz w:val="24"/>
                <w:szCs w:val="20"/>
                <w:highlight w:val="none"/>
                <w:lang w:val="en-US" w:eastAsia="zh-CN"/>
              </w:rPr>
            </w:pPr>
            <w:r>
              <w:rPr>
                <w:rFonts w:hint="eastAsia" w:ascii="宋体" w:hAnsi="宋体"/>
                <w:color w:val="auto"/>
                <w:sz w:val="24"/>
                <w:szCs w:val="20"/>
                <w:highlight w:val="none"/>
              </w:rPr>
              <w:t>合     计</w:t>
            </w:r>
          </w:p>
        </w:tc>
        <w:tc>
          <w:tcPr>
            <w:tcW w:w="16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szCs w:val="20"/>
                <w:highlight w:val="none"/>
                <w:lang w:val="en-US" w:eastAsia="zh-CN"/>
              </w:rPr>
            </w:pPr>
          </w:p>
        </w:tc>
        <w:tc>
          <w:tcPr>
            <w:tcW w:w="1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olor w:val="auto"/>
                <w:sz w:val="24"/>
                <w:szCs w:val="20"/>
                <w:highlight w:val="none"/>
                <w:lang w:val="en-US" w:eastAsia="zh-CN"/>
              </w:rPr>
            </w:pPr>
            <w:r>
              <w:rPr>
                <w:rFonts w:hint="eastAsia" w:ascii="宋体" w:hAnsi="宋体"/>
                <w:color w:val="auto"/>
                <w:sz w:val="24"/>
                <w:szCs w:val="20"/>
                <w:highlight w:val="none"/>
                <w:lang w:val="en-US" w:eastAsia="zh-CN"/>
              </w:rPr>
              <w:t>8</w:t>
            </w:r>
            <w:r>
              <w:rPr>
                <w:rFonts w:hint="eastAsia" w:ascii="宋体" w:hAnsi="宋体"/>
                <w:color w:val="auto"/>
                <w:sz w:val="24"/>
                <w:szCs w:val="20"/>
                <w:highlight w:val="none"/>
              </w:rPr>
              <w:t>00万元</w:t>
            </w:r>
          </w:p>
        </w:tc>
      </w:tr>
    </w:tbl>
    <w:p>
      <w:pPr>
        <w:pStyle w:val="12"/>
        <w:widowControl/>
        <w:spacing w:line="360" w:lineRule="auto"/>
        <w:ind w:firstLine="480" w:firstLineChars="200"/>
        <w:rPr>
          <w:rStyle w:val="16"/>
          <w:rFonts w:hint="default" w:ascii="宋体" w:hAnsi="宋体" w:eastAsia="宋体" w:cs="宋体"/>
          <w:b w:val="0"/>
          <w:bCs/>
          <w:color w:val="auto"/>
          <w:highlight w:val="none"/>
          <w:lang w:val="en-US" w:eastAsia="zh-CN"/>
        </w:rPr>
      </w:pPr>
      <w:r>
        <w:rPr>
          <w:rStyle w:val="16"/>
          <w:rFonts w:hint="eastAsia" w:ascii="宋体" w:hAnsi="宋体" w:eastAsia="宋体" w:cs="宋体"/>
          <w:b w:val="0"/>
          <w:bCs/>
          <w:color w:val="auto"/>
          <w:highlight w:val="none"/>
          <w:lang w:val="en-US" w:eastAsia="zh-CN"/>
        </w:rPr>
        <w:t>7.供应商应根据招标文件所提出的产品技术规格、数量和服务要求，选择具有最佳性能价格比的产品及服务前来报价。</w:t>
      </w:r>
    </w:p>
    <w:p>
      <w:pPr>
        <w:pStyle w:val="12"/>
        <w:widowControl/>
        <w:spacing w:before="75" w:beforeAutospacing="0" w:after="75" w:afterAutospacing="0"/>
        <w:outlineLvl w:val="1"/>
        <w:rPr>
          <w:color w:val="auto"/>
          <w:highlight w:val="none"/>
        </w:rPr>
      </w:pPr>
      <w:r>
        <w:rPr>
          <w:rFonts w:hint="eastAsia" w:ascii="宋体" w:hAnsi="宋体" w:eastAsia="宋体" w:cs="宋体"/>
          <w:b/>
          <w:bCs/>
          <w:color w:val="auto"/>
          <w:highlight w:val="none"/>
        </w:rPr>
        <w:t>二、技术和服务要求</w:t>
      </w:r>
      <w:r>
        <w:rPr>
          <w:rStyle w:val="16"/>
          <w:rFonts w:hint="eastAsia" w:ascii="宋体" w:hAnsi="宋体" w:eastAsia="宋体" w:cs="宋体"/>
          <w:color w:val="auto"/>
          <w:highlight w:val="none"/>
        </w:rPr>
        <w:t>（以“★”标示的内容为不允许负偏离的实质性要求）</w:t>
      </w:r>
    </w:p>
    <w:p>
      <w:pPr>
        <w:pStyle w:val="12"/>
        <w:widowControl/>
        <w:outlineLvl w:val="2"/>
        <w:rPr>
          <w:rStyle w:val="16"/>
          <w:rFonts w:ascii="宋体" w:hAnsi="宋体" w:eastAsia="宋体" w:cs="宋体"/>
          <w:b w:val="0"/>
          <w:bCs/>
          <w:color w:val="auto"/>
          <w:highlight w:val="none"/>
        </w:rPr>
      </w:pPr>
      <w:r>
        <w:rPr>
          <w:rStyle w:val="16"/>
          <w:rFonts w:hint="eastAsia" w:ascii="宋体" w:hAnsi="宋体" w:eastAsia="宋体" w:cs="宋体"/>
          <w:color w:val="auto"/>
          <w:highlight w:val="none"/>
        </w:rPr>
        <w:t>（一）、技术要求（以下为本项目基本要求，不允许负偏离，否则视为无效标。供应商可提供同档次或优于的技术要求。）</w:t>
      </w:r>
    </w:p>
    <w:p>
      <w:pPr>
        <w:pStyle w:val="12"/>
        <w:keepNext w:val="0"/>
        <w:keepLines w:val="0"/>
        <w:widowControl/>
        <w:suppressLineNumbers w:val="0"/>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1.中标人须保证营业执照、餐饮服务许可证、食品流通许可证等相关证件齐全有效，依法须经批准的项目，经相关部门批准后方可开展经营活动。</w:t>
      </w:r>
    </w:p>
    <w:p>
      <w:pPr>
        <w:pStyle w:val="12"/>
        <w:keepNext w:val="0"/>
        <w:keepLines w:val="0"/>
        <w:widowControl/>
        <w:suppressLineNumbers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.投标人按照招投标文件基本要求和改造方案</w:t>
      </w:r>
      <w:r>
        <w:rPr>
          <w:rFonts w:hint="eastAsia" w:ascii="宋体" w:hAnsi="宋体" w:eastAsia="宋体" w:cs="宋体"/>
          <w:color w:val="auto"/>
          <w:kern w:val="0"/>
          <w:sz w:val="24"/>
          <w:szCs w:val="24"/>
          <w:highlight w:val="none"/>
          <w:lang w:val="en-US" w:eastAsia="zh-CN"/>
        </w:rPr>
        <w:t>以及招标文件的响应内容</w:t>
      </w:r>
      <w:r>
        <w:rPr>
          <w:rFonts w:hint="eastAsia" w:ascii="宋体" w:hAnsi="宋体" w:eastAsia="宋体" w:cs="宋体"/>
          <w:color w:val="auto"/>
          <w:kern w:val="0"/>
          <w:sz w:val="24"/>
          <w:szCs w:val="24"/>
          <w:highlight w:val="none"/>
        </w:rPr>
        <w:t>，委托专业设计单位对食堂进行正式设计。</w:t>
      </w:r>
    </w:p>
    <w:p>
      <w:pPr>
        <w:widowControl/>
        <w:numPr>
          <w:ilvl w:val="-1"/>
          <w:numId w:val="0"/>
        </w:num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装修改造和设备添置具体由中标人按照</w:t>
      </w:r>
      <w:r>
        <w:rPr>
          <w:rFonts w:hint="eastAsia" w:ascii="宋体" w:hAnsi="宋体" w:eastAsia="宋体" w:cs="宋体"/>
          <w:color w:val="auto"/>
          <w:sz w:val="24"/>
          <w:szCs w:val="24"/>
          <w:highlight w:val="none"/>
          <w:lang w:val="en-US" w:eastAsia="zh-CN"/>
        </w:rPr>
        <w:t>招标单位</w:t>
      </w:r>
      <w:r>
        <w:rPr>
          <w:rFonts w:hint="eastAsia" w:ascii="宋体" w:hAnsi="宋体" w:eastAsia="宋体" w:cs="宋体"/>
          <w:color w:val="auto"/>
          <w:sz w:val="24"/>
          <w:szCs w:val="24"/>
          <w:highlight w:val="none"/>
        </w:rPr>
        <w:t>审核同意的设计装修方案进行施工和</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val="en-US" w:eastAsia="zh-CN"/>
        </w:rPr>
        <w:t>招标单位</w:t>
      </w:r>
      <w:r>
        <w:rPr>
          <w:rFonts w:hint="eastAsia" w:ascii="宋体" w:hAnsi="宋体" w:eastAsia="宋体" w:cs="宋体"/>
          <w:color w:val="auto"/>
          <w:sz w:val="24"/>
          <w:szCs w:val="24"/>
          <w:highlight w:val="none"/>
        </w:rPr>
        <w:t>指定</w:t>
      </w:r>
      <w:r>
        <w:rPr>
          <w:rFonts w:hint="eastAsia" w:ascii="宋体" w:hAnsi="宋体" w:eastAsia="宋体" w:cs="宋体"/>
          <w:color w:val="auto"/>
          <w:sz w:val="24"/>
          <w:szCs w:val="24"/>
          <w:highlight w:val="none"/>
          <w:lang w:val="en-US" w:eastAsia="zh-CN"/>
        </w:rPr>
        <w:t>专</w:t>
      </w:r>
      <w:r>
        <w:rPr>
          <w:rFonts w:hint="eastAsia" w:ascii="宋体" w:hAnsi="宋体" w:eastAsia="宋体" w:cs="宋体"/>
          <w:color w:val="auto"/>
          <w:sz w:val="24"/>
          <w:szCs w:val="24"/>
          <w:highlight w:val="none"/>
        </w:rPr>
        <w:t>人作为现场代表，并聘请监理单位进行全程监督，监理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造价咨询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第三方审核费用</w:t>
      </w:r>
      <w:r>
        <w:rPr>
          <w:rFonts w:hint="eastAsia" w:ascii="宋体" w:hAnsi="宋体" w:eastAsia="宋体" w:cs="宋体"/>
          <w:color w:val="auto"/>
          <w:sz w:val="24"/>
          <w:szCs w:val="24"/>
          <w:highlight w:val="none"/>
        </w:rPr>
        <w:t>由中标人</w:t>
      </w:r>
      <w:r>
        <w:rPr>
          <w:rFonts w:hint="eastAsia" w:ascii="宋体" w:hAnsi="宋体" w:eastAsia="宋体" w:cs="宋体"/>
          <w:color w:val="auto"/>
          <w:sz w:val="24"/>
          <w:szCs w:val="24"/>
          <w:highlight w:val="none"/>
          <w:lang w:val="en-US" w:eastAsia="zh-CN"/>
        </w:rPr>
        <w:t>负责，</w:t>
      </w:r>
      <w:r>
        <w:rPr>
          <w:rFonts w:hint="eastAsia" w:ascii="宋体" w:hAnsi="宋体" w:eastAsia="宋体" w:cs="宋体"/>
          <w:color w:val="auto"/>
          <w:sz w:val="24"/>
          <w:szCs w:val="24"/>
          <w:highlight w:val="none"/>
        </w:rPr>
        <w:t>汇入</w:t>
      </w:r>
      <w:r>
        <w:rPr>
          <w:rFonts w:hint="eastAsia" w:ascii="宋体" w:hAnsi="宋体" w:eastAsia="宋体" w:cs="宋体"/>
          <w:color w:val="auto"/>
          <w:sz w:val="24"/>
          <w:szCs w:val="24"/>
          <w:highlight w:val="none"/>
          <w:lang w:val="en-US" w:eastAsia="zh-CN"/>
        </w:rPr>
        <w:t>招标单位</w:t>
      </w:r>
      <w:r>
        <w:rPr>
          <w:rFonts w:hint="eastAsia" w:ascii="宋体" w:hAnsi="宋体" w:eastAsia="宋体" w:cs="宋体"/>
          <w:color w:val="auto"/>
          <w:sz w:val="24"/>
          <w:szCs w:val="24"/>
          <w:highlight w:val="none"/>
        </w:rPr>
        <w:t>账户由</w:t>
      </w:r>
      <w:r>
        <w:rPr>
          <w:rFonts w:hint="eastAsia" w:ascii="宋体" w:hAnsi="宋体" w:eastAsia="宋体" w:cs="宋体"/>
          <w:color w:val="auto"/>
          <w:sz w:val="24"/>
          <w:szCs w:val="24"/>
          <w:highlight w:val="none"/>
          <w:lang w:val="en-US" w:eastAsia="zh-CN"/>
        </w:rPr>
        <w:t>招标单位</w:t>
      </w:r>
      <w:r>
        <w:rPr>
          <w:rFonts w:hint="eastAsia" w:ascii="宋体" w:hAnsi="宋体" w:eastAsia="宋体" w:cs="宋体"/>
          <w:color w:val="auto"/>
          <w:sz w:val="24"/>
          <w:szCs w:val="24"/>
          <w:highlight w:val="none"/>
        </w:rPr>
        <w:t>支付。</w:t>
      </w:r>
    </w:p>
    <w:p>
      <w:pPr>
        <w:widowControl/>
        <w:numPr>
          <w:ilvl w:val="-1"/>
          <w:numId w:val="0"/>
        </w:num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投标人首年需一次性投入至少</w:t>
      </w:r>
      <w:r>
        <w:rPr>
          <w:rFonts w:hint="eastAsia" w:ascii="宋体" w:hAnsi="宋体" w:cs="宋体"/>
          <w:color w:val="auto"/>
          <w:sz w:val="24"/>
          <w:szCs w:val="24"/>
          <w:highlight w:val="none"/>
          <w:lang w:val="en-US" w:eastAsia="zh-CN"/>
        </w:rPr>
        <w:t>800</w:t>
      </w:r>
      <w:r>
        <w:rPr>
          <w:rFonts w:hint="eastAsia" w:ascii="宋体" w:hAnsi="宋体" w:eastAsia="宋体" w:cs="宋体"/>
          <w:color w:val="auto"/>
          <w:sz w:val="24"/>
          <w:szCs w:val="24"/>
          <w:highlight w:val="none"/>
        </w:rPr>
        <w:t>万元对</w:t>
      </w:r>
      <w:r>
        <w:rPr>
          <w:rFonts w:hint="eastAsia" w:ascii="宋体" w:hAnsi="宋体" w:eastAsia="宋体" w:cs="宋体"/>
          <w:color w:val="auto"/>
          <w:sz w:val="24"/>
          <w:szCs w:val="24"/>
          <w:highlight w:val="none"/>
          <w:lang w:val="en-US" w:eastAsia="zh-CN"/>
        </w:rPr>
        <w:t>餐厅</w:t>
      </w:r>
      <w:r>
        <w:rPr>
          <w:rFonts w:hint="eastAsia" w:ascii="宋体" w:hAnsi="宋体" w:eastAsia="宋体" w:cs="宋体"/>
          <w:color w:val="auto"/>
          <w:sz w:val="24"/>
          <w:szCs w:val="24"/>
          <w:highlight w:val="none"/>
        </w:rPr>
        <w:t>进行设施设备投入及装修改造，以满足食堂安全、正常运行。投标人须填写《</w:t>
      </w:r>
      <w:r>
        <w:rPr>
          <w:rFonts w:hint="eastAsia" w:ascii="宋体" w:hAnsi="宋体" w:cs="宋体"/>
          <w:color w:val="auto"/>
          <w:sz w:val="24"/>
          <w:szCs w:val="24"/>
          <w:highlight w:val="none"/>
          <w:lang w:eastAsia="zh-CN"/>
        </w:rPr>
        <w:t>泉州师范学院第五餐厅</w:t>
      </w:r>
      <w:r>
        <w:rPr>
          <w:rFonts w:hint="eastAsia" w:ascii="宋体" w:hAnsi="宋体" w:eastAsia="宋体" w:cs="宋体"/>
          <w:color w:val="auto"/>
          <w:sz w:val="24"/>
          <w:szCs w:val="24"/>
          <w:highlight w:val="none"/>
        </w:rPr>
        <w:t>经营权承包项目招标费用承诺书》，</w:t>
      </w:r>
      <w:bookmarkStart w:id="0" w:name="_GoBack"/>
      <w:r>
        <w:rPr>
          <w:rFonts w:hint="eastAsia" w:ascii="宋体" w:hAnsi="宋体" w:eastAsia="宋体" w:cs="宋体"/>
          <w:color w:val="auto"/>
          <w:sz w:val="24"/>
          <w:szCs w:val="24"/>
          <w:highlight w:val="none"/>
        </w:rPr>
        <w:t>格式详见第七章投标文件格式报价部分。</w:t>
      </w:r>
      <w:bookmarkEnd w:id="0"/>
    </w:p>
    <w:p>
      <w:pPr>
        <w:widowControl/>
        <w:spacing w:after="12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.为确保食堂的正常运营，中标人按实际经营期限，每年须向</w:t>
      </w:r>
      <w:r>
        <w:rPr>
          <w:rFonts w:hint="eastAsia" w:ascii="宋体" w:hAnsi="宋体" w:cs="宋体"/>
          <w:color w:val="auto"/>
          <w:sz w:val="24"/>
          <w:szCs w:val="24"/>
          <w:highlight w:val="none"/>
          <w:lang w:eastAsia="zh-CN"/>
        </w:rPr>
        <w:t>招标</w:t>
      </w:r>
      <w:r>
        <w:rPr>
          <w:rFonts w:hint="eastAsia" w:ascii="宋体" w:hAnsi="宋体" w:eastAsia="宋体" w:cs="宋体"/>
          <w:color w:val="auto"/>
          <w:sz w:val="24"/>
          <w:szCs w:val="24"/>
          <w:highlight w:val="none"/>
        </w:rPr>
        <w:t>单位缴纳5万元的食堂资产维修</w:t>
      </w:r>
      <w:r>
        <w:rPr>
          <w:rFonts w:hint="eastAsia" w:ascii="宋体" w:hAnsi="宋体" w:cs="宋体"/>
          <w:color w:val="auto"/>
          <w:sz w:val="24"/>
          <w:szCs w:val="24"/>
          <w:highlight w:val="none"/>
          <w:lang w:val="en-US" w:eastAsia="zh-CN"/>
        </w:rPr>
        <w:t>维护</w:t>
      </w:r>
      <w:r>
        <w:rPr>
          <w:rFonts w:hint="eastAsia" w:ascii="宋体" w:hAnsi="宋体" w:eastAsia="宋体" w:cs="宋体"/>
          <w:color w:val="auto"/>
          <w:sz w:val="24"/>
          <w:szCs w:val="24"/>
          <w:highlight w:val="none"/>
        </w:rPr>
        <w:t>费用，投标人须填写《</w:t>
      </w:r>
      <w:r>
        <w:rPr>
          <w:rFonts w:hint="eastAsia" w:ascii="宋体" w:hAnsi="宋体" w:cs="宋体"/>
          <w:color w:val="auto"/>
          <w:sz w:val="24"/>
          <w:szCs w:val="24"/>
          <w:highlight w:val="none"/>
          <w:lang w:eastAsia="zh-CN"/>
        </w:rPr>
        <w:t>泉州师范学院第五餐厅</w:t>
      </w:r>
      <w:r>
        <w:rPr>
          <w:rFonts w:hint="eastAsia" w:ascii="宋体" w:hAnsi="宋体" w:eastAsia="宋体" w:cs="宋体"/>
          <w:color w:val="auto"/>
          <w:sz w:val="24"/>
          <w:szCs w:val="24"/>
          <w:highlight w:val="none"/>
        </w:rPr>
        <w:t>经营权承包项目招标费用承诺书》，格式</w:t>
      </w:r>
      <w:r>
        <w:rPr>
          <w:rFonts w:hint="eastAsia" w:ascii="宋体" w:hAnsi="宋体" w:eastAsia="宋体" w:cs="宋体"/>
          <w:color w:val="auto"/>
          <w:sz w:val="24"/>
          <w:szCs w:val="24"/>
          <w:highlight w:val="none"/>
          <w:lang w:eastAsia="zh-CN"/>
        </w:rPr>
        <w:t>详见第七章投标文件格式报价部分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此费用不含在本项目招标预算中。</w:t>
      </w:r>
    </w:p>
    <w:p>
      <w:pPr>
        <w:widowControl/>
        <w:spacing w:after="12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.本项目工程量较大并且时间紧，需于</w:t>
      </w:r>
      <w:r>
        <w:rPr>
          <w:rFonts w:hint="eastAsia" w:ascii="宋体" w:hAnsi="宋体" w:eastAsia="宋体" w:cs="宋体"/>
          <w:color w:val="auto"/>
          <w:kern w:val="0"/>
          <w:sz w:val="24"/>
          <w:szCs w:val="24"/>
          <w:highlight w:val="none"/>
          <w:lang w:val="en-US" w:eastAsia="zh-CN"/>
        </w:rPr>
        <w:t>2022年8月25日前</w:t>
      </w:r>
      <w:r>
        <w:rPr>
          <w:rFonts w:hint="eastAsia" w:ascii="宋体" w:hAnsi="宋体" w:eastAsia="宋体" w:cs="宋体"/>
          <w:color w:val="auto"/>
          <w:kern w:val="0"/>
          <w:sz w:val="24"/>
          <w:szCs w:val="24"/>
          <w:highlight w:val="none"/>
        </w:rPr>
        <w:t>正式营业，否则每延期一天开业，投标人应向</w:t>
      </w:r>
      <w:r>
        <w:rPr>
          <w:rFonts w:hint="eastAsia" w:ascii="宋体" w:hAnsi="宋体" w:eastAsia="宋体" w:cs="宋体"/>
          <w:color w:val="auto"/>
          <w:kern w:val="0"/>
          <w:sz w:val="24"/>
          <w:szCs w:val="24"/>
          <w:highlight w:val="none"/>
          <w:lang w:eastAsia="zh-CN"/>
        </w:rPr>
        <w:t>招标</w:t>
      </w:r>
      <w:r>
        <w:rPr>
          <w:rFonts w:hint="eastAsia" w:ascii="宋体" w:hAnsi="宋体" w:eastAsia="宋体" w:cs="宋体"/>
          <w:color w:val="auto"/>
          <w:kern w:val="0"/>
          <w:sz w:val="24"/>
          <w:szCs w:val="24"/>
          <w:highlight w:val="none"/>
        </w:rPr>
        <w:t>单位支付违约金每日人民币</w:t>
      </w:r>
      <w:r>
        <w:rPr>
          <w:rFonts w:hint="eastAsia" w:ascii="宋体" w:hAnsi="宋体" w:eastAsia="宋体" w:cs="宋体"/>
          <w:color w:val="auto"/>
          <w:kern w:val="0"/>
          <w:sz w:val="24"/>
          <w:szCs w:val="24"/>
          <w:highlight w:val="none"/>
          <w:lang w:val="en-US" w:eastAsia="zh-CN"/>
        </w:rPr>
        <w:t>5000</w:t>
      </w:r>
      <w:r>
        <w:rPr>
          <w:rFonts w:hint="eastAsia" w:ascii="宋体" w:hAnsi="宋体" w:eastAsia="宋体" w:cs="宋体"/>
          <w:color w:val="auto"/>
          <w:kern w:val="0"/>
          <w:sz w:val="24"/>
          <w:szCs w:val="24"/>
          <w:highlight w:val="none"/>
        </w:rPr>
        <w:t>元整。</w:t>
      </w:r>
    </w:p>
    <w:p>
      <w:pPr>
        <w:pStyle w:val="25"/>
        <w:outlineLvl w:val="2"/>
        <w:rPr>
          <w:rStyle w:val="16"/>
          <w:rFonts w:hint="eastAsia" w:ascii="宋体" w:hAnsi="宋体" w:eastAsia="宋体" w:cs="宋体"/>
          <w:color w:val="auto"/>
          <w:kern w:val="0"/>
          <w:sz w:val="24"/>
          <w:szCs w:val="24"/>
          <w:highlight w:val="none"/>
          <w:lang w:val="en-US" w:eastAsia="zh-CN" w:bidi="ar-SA"/>
        </w:rPr>
      </w:pPr>
      <w:r>
        <w:rPr>
          <w:rStyle w:val="16"/>
          <w:rFonts w:hint="eastAsia" w:ascii="宋体" w:hAnsi="宋体" w:eastAsia="宋体" w:cs="宋体"/>
          <w:color w:val="auto"/>
          <w:kern w:val="0"/>
          <w:sz w:val="24"/>
          <w:szCs w:val="24"/>
          <w:highlight w:val="none"/>
          <w:lang w:val="en-US" w:eastAsia="zh-CN" w:bidi="ar-SA"/>
        </w:rPr>
        <w:t>（二）服务要求</w:t>
      </w:r>
    </w:p>
    <w:p>
      <w:pPr>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服务</w:t>
      </w:r>
      <w:r>
        <w:rPr>
          <w:rFonts w:hint="eastAsia" w:ascii="宋体" w:hAnsi="宋体" w:eastAsia="宋体" w:cs="宋体"/>
          <w:color w:val="auto"/>
          <w:sz w:val="24"/>
          <w:szCs w:val="24"/>
          <w:highlight w:val="none"/>
          <w:lang w:val="en-US" w:eastAsia="zh-CN"/>
        </w:rPr>
        <w:t>定位</w:t>
      </w:r>
    </w:p>
    <w:p>
      <w:pPr>
        <w:pStyle w:val="25"/>
        <w:spacing w:line="360" w:lineRule="auto"/>
        <w:ind w:firstLine="480" w:firstLineChars="200"/>
        <w:rPr>
          <w:rFonts w:hint="default" w:eastAsia="宋体"/>
          <w:color w:val="auto"/>
          <w:sz w:val="24"/>
          <w:szCs w:val="24"/>
          <w:highlight w:val="none"/>
          <w:lang w:val="en-US" w:eastAsia="zh-CN"/>
        </w:rPr>
      </w:pPr>
      <w:r>
        <w:rPr>
          <w:rFonts w:hint="eastAsia" w:ascii="宋体" w:hAnsi="宋体" w:eastAsia="宋体" w:cs="宋体"/>
          <w:color w:val="auto"/>
          <w:sz w:val="24"/>
          <w:szCs w:val="24"/>
          <w:highlight w:val="none"/>
        </w:rPr>
        <w:t>根据</w:t>
      </w:r>
      <w:r>
        <w:rPr>
          <w:rFonts w:hint="eastAsia" w:ascii="宋体" w:hAnsi="宋体" w:cs="宋体"/>
          <w:color w:val="auto"/>
          <w:sz w:val="24"/>
          <w:szCs w:val="24"/>
          <w:highlight w:val="none"/>
          <w:lang w:eastAsia="zh-CN"/>
        </w:rPr>
        <w:t>招标</w:t>
      </w:r>
      <w:r>
        <w:rPr>
          <w:rFonts w:hint="eastAsia" w:ascii="宋体" w:hAnsi="宋体" w:eastAsia="宋体" w:cs="宋体"/>
          <w:color w:val="auto"/>
          <w:sz w:val="24"/>
          <w:szCs w:val="24"/>
          <w:highlight w:val="none"/>
        </w:rPr>
        <w:t>单位的发展规划，拟把第</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餐厅</w:t>
      </w:r>
      <w:r>
        <w:rPr>
          <w:rFonts w:hint="eastAsia" w:ascii="宋体" w:hAnsi="宋体" w:eastAsia="宋体" w:cs="宋体"/>
          <w:color w:val="auto"/>
          <w:sz w:val="24"/>
          <w:szCs w:val="24"/>
          <w:highlight w:val="none"/>
          <w:lang w:val="en-US" w:eastAsia="zh-CN"/>
        </w:rPr>
        <w:t>建成集师生用餐、</w:t>
      </w:r>
      <w:r>
        <w:rPr>
          <w:rFonts w:hint="eastAsia" w:ascii="宋体" w:hAnsi="宋体" w:cs="宋体"/>
          <w:color w:val="auto"/>
          <w:sz w:val="24"/>
          <w:szCs w:val="24"/>
          <w:highlight w:val="none"/>
          <w:lang w:eastAsia="zh-CN"/>
        </w:rPr>
        <w:t>招标</w:t>
      </w:r>
      <w:r>
        <w:rPr>
          <w:rFonts w:hint="eastAsia" w:ascii="宋体" w:hAnsi="宋体" w:eastAsia="宋体" w:cs="宋体"/>
          <w:color w:val="auto"/>
          <w:sz w:val="24"/>
          <w:szCs w:val="24"/>
          <w:highlight w:val="none"/>
        </w:rPr>
        <w:t>单位</w:t>
      </w:r>
      <w:r>
        <w:rPr>
          <w:rFonts w:hint="eastAsia" w:ascii="宋体" w:hAnsi="宋体" w:eastAsia="宋体" w:cs="宋体"/>
          <w:color w:val="auto"/>
          <w:sz w:val="24"/>
          <w:szCs w:val="24"/>
          <w:highlight w:val="none"/>
          <w:lang w:val="en-US" w:eastAsia="zh-CN"/>
        </w:rPr>
        <w:t>培训班用餐及公务用餐等为一体的智能化、时尚化、</w:t>
      </w:r>
      <w:r>
        <w:rPr>
          <w:rFonts w:hint="eastAsia" w:ascii="宋体" w:hAnsi="宋体" w:eastAsia="宋体" w:cs="宋体"/>
          <w:color w:val="auto"/>
          <w:sz w:val="24"/>
          <w:szCs w:val="24"/>
          <w:highlight w:val="none"/>
        </w:rPr>
        <w:t>现代化特色餐厅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满足</w:t>
      </w:r>
      <w:r>
        <w:rPr>
          <w:rFonts w:hint="eastAsia" w:ascii="宋体" w:hAnsi="宋体" w:eastAsia="宋体" w:cs="宋体"/>
          <w:color w:val="auto"/>
          <w:sz w:val="24"/>
          <w:szCs w:val="24"/>
          <w:highlight w:val="none"/>
        </w:rPr>
        <w:t>学生大众</w:t>
      </w:r>
      <w:r>
        <w:rPr>
          <w:rFonts w:hint="eastAsia" w:ascii="宋体" w:hAnsi="宋体" w:eastAsia="宋体" w:cs="宋体"/>
          <w:color w:val="auto"/>
          <w:sz w:val="24"/>
          <w:szCs w:val="24"/>
          <w:highlight w:val="none"/>
          <w:lang w:eastAsia="zh-CN"/>
        </w:rPr>
        <w:t>菜肴</w:t>
      </w:r>
      <w:r>
        <w:rPr>
          <w:rFonts w:hint="eastAsia" w:ascii="宋体" w:hAnsi="宋体" w:eastAsia="宋体" w:cs="宋体"/>
          <w:color w:val="auto"/>
          <w:sz w:val="24"/>
          <w:szCs w:val="24"/>
          <w:highlight w:val="none"/>
        </w:rPr>
        <w:t>、特色风味小吃、</w:t>
      </w:r>
      <w:r>
        <w:rPr>
          <w:rFonts w:hint="eastAsia" w:ascii="宋体" w:hAnsi="宋体" w:eastAsia="宋体" w:cs="宋体"/>
          <w:color w:val="auto"/>
          <w:sz w:val="24"/>
          <w:szCs w:val="24"/>
          <w:highlight w:val="none"/>
          <w:lang w:eastAsia="zh-CN"/>
        </w:rPr>
        <w:t>智能自助</w:t>
      </w:r>
      <w:r>
        <w:rPr>
          <w:rFonts w:hint="eastAsia" w:ascii="宋体" w:hAnsi="宋体" w:eastAsia="宋体" w:cs="宋体"/>
          <w:color w:val="auto"/>
          <w:sz w:val="24"/>
          <w:szCs w:val="24"/>
          <w:highlight w:val="none"/>
          <w:lang w:val="en-US" w:eastAsia="zh-CN"/>
        </w:rPr>
        <w:t>用餐、</w:t>
      </w:r>
      <w:r>
        <w:rPr>
          <w:rFonts w:hint="eastAsia" w:ascii="宋体" w:hAnsi="宋体" w:eastAsia="宋体" w:cs="宋体"/>
          <w:color w:val="auto"/>
          <w:sz w:val="24"/>
          <w:szCs w:val="24"/>
          <w:highlight w:val="none"/>
        </w:rPr>
        <w:t>休闲娱乐</w:t>
      </w:r>
      <w:r>
        <w:rPr>
          <w:rFonts w:hint="eastAsia" w:ascii="宋体" w:hAnsi="宋体" w:eastAsia="宋体" w:cs="宋体"/>
          <w:color w:val="auto"/>
          <w:sz w:val="24"/>
          <w:szCs w:val="24"/>
          <w:highlight w:val="none"/>
          <w:lang w:val="en-US" w:eastAsia="zh-CN"/>
        </w:rPr>
        <w:t>等多样化需求，</w:t>
      </w:r>
      <w:r>
        <w:rPr>
          <w:rFonts w:hint="eastAsia" w:ascii="宋体" w:hAnsi="宋体" w:eastAsia="宋体" w:cs="宋体"/>
          <w:color w:val="auto"/>
          <w:sz w:val="24"/>
          <w:szCs w:val="24"/>
          <w:highlight w:val="none"/>
        </w:rPr>
        <w:t>进一步提高</w:t>
      </w:r>
      <w:r>
        <w:rPr>
          <w:rFonts w:hint="eastAsia" w:ascii="宋体" w:hAnsi="宋体" w:eastAsia="宋体" w:cs="宋体"/>
          <w:color w:val="auto"/>
          <w:sz w:val="24"/>
          <w:szCs w:val="24"/>
          <w:highlight w:val="none"/>
          <w:lang w:val="en-US" w:eastAsia="zh-CN"/>
        </w:rPr>
        <w:t>餐饮</w:t>
      </w:r>
      <w:r>
        <w:rPr>
          <w:rFonts w:hint="eastAsia" w:ascii="宋体" w:hAnsi="宋体" w:eastAsia="宋体" w:cs="宋体"/>
          <w:color w:val="auto"/>
          <w:sz w:val="24"/>
          <w:szCs w:val="24"/>
          <w:highlight w:val="none"/>
        </w:rPr>
        <w:t>服务档次。</w:t>
      </w:r>
      <w:r>
        <w:rPr>
          <w:rFonts w:hint="eastAsia" w:ascii="宋体" w:hAnsi="宋体" w:eastAsia="宋体" w:cs="宋体"/>
          <w:color w:val="auto"/>
          <w:sz w:val="24"/>
          <w:szCs w:val="24"/>
          <w:highlight w:val="none"/>
          <w:lang w:val="en-US" w:eastAsia="zh-CN"/>
        </w:rPr>
        <w:t>并配合</w:t>
      </w:r>
      <w:r>
        <w:rPr>
          <w:rFonts w:hint="eastAsia" w:ascii="宋体" w:hAnsi="宋体" w:cs="宋体"/>
          <w:color w:val="auto"/>
          <w:sz w:val="24"/>
          <w:szCs w:val="24"/>
          <w:highlight w:val="none"/>
          <w:lang w:val="en-US" w:eastAsia="zh-CN"/>
        </w:rPr>
        <w:t>招标单位</w:t>
      </w:r>
      <w:r>
        <w:rPr>
          <w:rFonts w:hint="eastAsia" w:ascii="宋体" w:hAnsi="宋体" w:eastAsia="宋体" w:cs="宋体"/>
          <w:color w:val="auto"/>
          <w:sz w:val="24"/>
          <w:szCs w:val="24"/>
          <w:highlight w:val="none"/>
          <w:lang w:val="en-US" w:eastAsia="zh-CN"/>
        </w:rPr>
        <w:t>做好重大活动及节日餐饮工作，调整包括但不限于营业时间、经营品类等工作。</w:t>
      </w:r>
    </w:p>
    <w:p>
      <w:pPr>
        <w:widowControl/>
        <w:numPr>
          <w:ilvl w:val="0"/>
          <w:numId w:val="2"/>
        </w:numPr>
        <w:spacing w:after="120" w:line="360" w:lineRule="auto"/>
        <w:ind w:firstLine="48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管理体制</w:t>
      </w:r>
    </w:p>
    <w:p>
      <w:pPr>
        <w:widowControl/>
        <w:numPr>
          <w:ilvl w:val="0"/>
          <w:numId w:val="0"/>
        </w:numPr>
        <w:spacing w:after="12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中标者对餐厅实行自主经营、独立核算、自负盈亏、自主分配，不得改变经营用途、超范围经营或转包给第三方经营。经营过程中必须按照《餐饮服务食品安全操作规范》等要求，努力为广大师生员工创造一个温馨、舒适、卫生安全的用餐环境；提供价格合理、品种丰富，并具特色的可口饭菜。坚持社会效益与经济效益并重的办伙理念，增强服务意识，提高服务层次，兼顾时代特色，全心全意为师生服务。</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单位有关部门监督管理人员按《食品安全法》等法律法规</w:t>
      </w:r>
      <w:r>
        <w:rPr>
          <w:rFonts w:hint="eastAsia" w:ascii="宋体" w:hAnsi="宋体" w:eastAsia="宋体" w:cs="宋体"/>
          <w:color w:val="auto"/>
          <w:sz w:val="24"/>
          <w:szCs w:val="24"/>
          <w:highlight w:val="none"/>
          <w:lang w:val="en-US" w:eastAsia="zh-CN"/>
        </w:rPr>
        <w:t>及招标单位有关规定</w:t>
      </w:r>
      <w:r>
        <w:rPr>
          <w:rFonts w:hint="eastAsia" w:ascii="宋体" w:hAnsi="宋体" w:eastAsia="宋体" w:cs="宋体"/>
          <w:color w:val="auto"/>
          <w:sz w:val="24"/>
          <w:szCs w:val="24"/>
          <w:highlight w:val="none"/>
        </w:rPr>
        <w:t>对餐厅运营进行全程监管。加强食堂管理，严格管控原料</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、加工制作、清洗消毒、留样管理和用水卫生等关键环节，仔细查验供货者的食品经营许可证等合格证明文件，对</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的原料按照保证食品安全的条件要求贮存。</w:t>
      </w:r>
      <w:r>
        <w:rPr>
          <w:rFonts w:hint="eastAsia" w:ascii="宋体" w:hAnsi="宋体" w:eastAsia="宋体" w:cs="宋体"/>
          <w:color w:val="auto"/>
          <w:sz w:val="24"/>
          <w:szCs w:val="24"/>
          <w:highlight w:val="none"/>
          <w:lang w:val="en-US" w:eastAsia="zh-CN"/>
        </w:rPr>
        <w:t>招标单位有关部门</w:t>
      </w:r>
      <w:r>
        <w:rPr>
          <w:rFonts w:hint="eastAsia" w:ascii="宋体" w:hAnsi="宋体" w:eastAsia="宋体" w:cs="宋体"/>
          <w:color w:val="auto"/>
          <w:sz w:val="24"/>
          <w:szCs w:val="24"/>
          <w:highlight w:val="none"/>
        </w:rPr>
        <w:t>对餐厅经营管理和服务进行评分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餐厅经营实行奖惩措施和退出机制。</w:t>
      </w:r>
    </w:p>
    <w:p>
      <w:pPr>
        <w:autoSpaceDE/>
        <w:autoSpaceDN/>
        <w:adjustRightInd/>
        <w:spacing w:line="360" w:lineRule="auto"/>
        <w:ind w:firstLine="480" w:firstLineChars="200"/>
        <w:rPr>
          <w:rFonts w:hint="eastAsia"/>
          <w:color w:val="auto"/>
          <w:sz w:val="24"/>
          <w:szCs w:val="24"/>
          <w:highlight w:val="none"/>
        </w:rPr>
      </w:pPr>
      <w:r>
        <w:rPr>
          <w:rFonts w:hint="eastAsia" w:ascii="宋体" w:hAnsi="宋体" w:eastAsia="宋体" w:cs="宋体"/>
          <w:color w:val="auto"/>
          <w:sz w:val="24"/>
          <w:szCs w:val="24"/>
          <w:highlight w:val="none"/>
        </w:rPr>
        <w:t>③根据《食品安全法》等法律法规的要求，中标人需提供相应的规章制度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经营方案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装修设计方案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设备方案、</w:t>
      </w:r>
      <w:r>
        <w:rPr>
          <w:rFonts w:hint="eastAsia" w:ascii="宋体" w:hAnsi="宋体" w:eastAsia="宋体" w:cs="宋体"/>
          <w:color w:val="auto"/>
          <w:sz w:val="24"/>
          <w:szCs w:val="24"/>
          <w:highlight w:val="none"/>
        </w:rPr>
        <w:t>投资估算等作为基本评分依据。</w:t>
      </w:r>
    </w:p>
    <w:p>
      <w:pPr>
        <w:widowControl/>
        <w:numPr>
          <w:ilvl w:val="0"/>
          <w:numId w:val="0"/>
        </w:numPr>
        <w:spacing w:after="120"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3.资产管理</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根据五部委文件规定，学校餐厅实行“零租赁”。经营期间产生的所有水、电、燃气费和税费</w:t>
      </w:r>
      <w:r>
        <w:rPr>
          <w:rFonts w:hint="eastAsia" w:ascii="宋体" w:hAnsi="宋体" w:eastAsia="宋体" w:cs="宋体"/>
          <w:color w:val="auto"/>
          <w:sz w:val="24"/>
          <w:szCs w:val="24"/>
          <w:highlight w:val="none"/>
          <w:lang w:val="en-US" w:eastAsia="zh-CN"/>
        </w:rPr>
        <w:t>等相关费用</w:t>
      </w:r>
      <w:r>
        <w:rPr>
          <w:rFonts w:hint="eastAsia" w:ascii="宋体" w:hAnsi="宋体" w:eastAsia="宋体" w:cs="宋体"/>
          <w:color w:val="auto"/>
          <w:sz w:val="24"/>
          <w:szCs w:val="24"/>
          <w:highlight w:val="none"/>
        </w:rPr>
        <w:t>由中标者自行承担。</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lang w:val="zh-CN"/>
        </w:rPr>
        <w:t>经营期间，中标人经营区内水、电、燃气费按水、电、气表实际用量和招标人统一规定的价格结算，由中标人自行承担。所产生的费用中标人应按招标</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lang w:val="zh-CN"/>
        </w:rPr>
        <w:t>要求的日期向招标</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lang w:val="zh-CN"/>
        </w:rPr>
        <w:t>交清。若因上述费用不及时交纳，而造成水、电、气等的停止供应，招标</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lang w:val="zh-CN"/>
        </w:rPr>
        <w:t xml:space="preserve">不承担任何责任。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rPr>
        <w:t>中标者需以</w:t>
      </w:r>
      <w:r>
        <w:rPr>
          <w:rFonts w:hint="eastAsia" w:ascii="宋体" w:hAnsi="宋体" w:eastAsia="宋体" w:cs="宋体"/>
          <w:color w:val="auto"/>
          <w:sz w:val="24"/>
          <w:szCs w:val="24"/>
          <w:highlight w:val="none"/>
          <w:lang w:val="en-US" w:eastAsia="zh-CN"/>
        </w:rPr>
        <w:t>投标文件承诺的拟投入的装修费用</w:t>
      </w:r>
      <w:r>
        <w:rPr>
          <w:rFonts w:hint="eastAsia" w:ascii="宋体" w:hAnsi="宋体" w:eastAsia="宋体" w:cs="宋体"/>
          <w:color w:val="auto"/>
          <w:sz w:val="24"/>
          <w:szCs w:val="24"/>
          <w:highlight w:val="none"/>
        </w:rPr>
        <w:t>一次性投入对餐厅进行装修改造。装修完毕后由</w:t>
      </w:r>
      <w:r>
        <w:rPr>
          <w:rFonts w:hint="eastAsia" w:ascii="宋体" w:hAnsi="宋体" w:eastAsia="宋体" w:cs="宋体"/>
          <w:color w:val="auto"/>
          <w:sz w:val="24"/>
          <w:szCs w:val="24"/>
          <w:highlight w:val="none"/>
          <w:lang w:val="en-US" w:eastAsia="zh-CN"/>
        </w:rPr>
        <w:t>招标单位</w:t>
      </w:r>
      <w:r>
        <w:rPr>
          <w:rFonts w:hint="eastAsia" w:ascii="宋体" w:hAnsi="宋体" w:eastAsia="宋体" w:cs="宋体"/>
          <w:color w:val="auto"/>
          <w:sz w:val="24"/>
          <w:szCs w:val="24"/>
          <w:highlight w:val="none"/>
        </w:rPr>
        <w:t>组织验收，由</w:t>
      </w:r>
      <w:r>
        <w:rPr>
          <w:rFonts w:hint="eastAsia" w:ascii="宋体" w:hAnsi="宋体" w:eastAsia="宋体" w:cs="宋体"/>
          <w:color w:val="auto"/>
          <w:sz w:val="24"/>
          <w:szCs w:val="24"/>
          <w:highlight w:val="none"/>
          <w:lang w:val="en-US" w:eastAsia="zh-CN"/>
        </w:rPr>
        <w:t>招标单位</w:t>
      </w:r>
      <w:r>
        <w:rPr>
          <w:rFonts w:hint="eastAsia" w:ascii="宋体" w:hAnsi="宋体" w:eastAsia="宋体" w:cs="宋体"/>
          <w:color w:val="auto"/>
          <w:sz w:val="24"/>
          <w:szCs w:val="24"/>
          <w:highlight w:val="none"/>
        </w:rPr>
        <w:t>按规定送第三方审核确认，如果投资额不足部分需补齐给</w:t>
      </w:r>
      <w:r>
        <w:rPr>
          <w:rFonts w:hint="eastAsia" w:ascii="宋体" w:hAnsi="宋体" w:eastAsia="宋体" w:cs="宋体"/>
          <w:color w:val="auto"/>
          <w:sz w:val="24"/>
          <w:szCs w:val="24"/>
          <w:highlight w:val="none"/>
          <w:lang w:val="en-US" w:eastAsia="zh-CN"/>
        </w:rPr>
        <w:t>招标单位</w:t>
      </w:r>
      <w:r>
        <w:rPr>
          <w:rFonts w:hint="eastAsia" w:ascii="宋体" w:hAnsi="宋体" w:eastAsia="宋体" w:cs="宋体"/>
          <w:color w:val="auto"/>
          <w:sz w:val="24"/>
          <w:szCs w:val="24"/>
          <w:highlight w:val="none"/>
        </w:rPr>
        <w:t>，超过部分</w:t>
      </w:r>
      <w:r>
        <w:rPr>
          <w:rFonts w:hint="eastAsia" w:ascii="宋体" w:hAnsi="宋体" w:eastAsia="宋体" w:cs="宋体"/>
          <w:color w:val="auto"/>
          <w:sz w:val="24"/>
          <w:szCs w:val="24"/>
          <w:highlight w:val="none"/>
          <w:lang w:val="en-US" w:eastAsia="zh-CN"/>
        </w:rPr>
        <w:t>招标单位</w:t>
      </w:r>
      <w:r>
        <w:rPr>
          <w:rFonts w:hint="eastAsia" w:ascii="宋体" w:hAnsi="宋体" w:eastAsia="宋体" w:cs="宋体"/>
          <w:color w:val="auto"/>
          <w:sz w:val="24"/>
          <w:szCs w:val="24"/>
          <w:highlight w:val="none"/>
        </w:rPr>
        <w:t>不予补偿。</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④</w:t>
      </w:r>
      <w:r>
        <w:rPr>
          <w:rFonts w:hint="eastAsia" w:ascii="宋体" w:hAnsi="宋体" w:eastAsia="宋体" w:cs="宋体"/>
          <w:color w:val="auto"/>
          <w:sz w:val="24"/>
          <w:szCs w:val="24"/>
          <w:highlight w:val="none"/>
        </w:rPr>
        <w:t>中标者对餐厅进行装修改造后，经营场所以及所有设备和固定装饰物等资产所有权均属于</w:t>
      </w:r>
      <w:r>
        <w:rPr>
          <w:rFonts w:hint="eastAsia" w:ascii="宋体" w:hAnsi="宋体" w:eastAsia="宋体" w:cs="宋体"/>
          <w:color w:val="auto"/>
          <w:sz w:val="24"/>
          <w:szCs w:val="24"/>
          <w:highlight w:val="none"/>
          <w:lang w:val="en-US" w:eastAsia="zh-CN"/>
        </w:rPr>
        <w:t>招标单位</w:t>
      </w:r>
      <w:r>
        <w:rPr>
          <w:rFonts w:hint="eastAsia" w:ascii="宋体" w:hAnsi="宋体" w:eastAsia="宋体" w:cs="宋体"/>
          <w:color w:val="auto"/>
          <w:sz w:val="24"/>
          <w:szCs w:val="24"/>
          <w:highlight w:val="none"/>
        </w:rPr>
        <w:t>。经营期满后中标者不得进行损坏或者移动，否则照价进行赔偿。</w:t>
      </w:r>
    </w:p>
    <w:p>
      <w:pPr>
        <w:widowControl/>
        <w:numPr>
          <w:ilvl w:val="0"/>
          <w:numId w:val="0"/>
        </w:numPr>
        <w:spacing w:after="120"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zh-CN" w:eastAsia="zh-CN" w:bidi="ar-SA"/>
        </w:rPr>
        <w:t>、</w:t>
      </w:r>
      <w:r>
        <w:rPr>
          <w:rFonts w:hint="eastAsia" w:ascii="宋体" w:hAnsi="宋体" w:eastAsia="宋体" w:cs="宋体"/>
          <w:color w:val="auto"/>
          <w:kern w:val="2"/>
          <w:sz w:val="24"/>
          <w:szCs w:val="24"/>
          <w:highlight w:val="none"/>
          <w:lang w:val="en-US" w:eastAsia="zh-CN" w:bidi="ar-SA"/>
        </w:rPr>
        <w:t>装修要求</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hint="default"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kern w:val="0"/>
          <w:sz w:val="24"/>
          <w:szCs w:val="24"/>
          <w:highlight w:val="none"/>
          <w:shd w:val="clear" w:color="auto" w:fill="FFFFFF"/>
        </w:rPr>
        <w:t>装修改造完工时间：合同签订起</w:t>
      </w:r>
      <w:r>
        <w:rPr>
          <w:rFonts w:hint="eastAsia" w:ascii="宋体" w:hAnsi="宋体" w:eastAsia="宋体" w:cs="宋体"/>
          <w:color w:val="auto"/>
          <w:kern w:val="0"/>
          <w:sz w:val="24"/>
          <w:szCs w:val="24"/>
          <w:highlight w:val="none"/>
          <w:shd w:val="clear" w:color="auto" w:fill="FFFFFF"/>
          <w:lang w:val="en-US" w:eastAsia="zh-CN"/>
        </w:rPr>
        <w:t>180个日历日</w:t>
      </w:r>
    </w:p>
    <w:p>
      <w:pPr>
        <w:keepNext w:val="0"/>
        <w:keepLines w:val="0"/>
        <w:pageBreakBefore w:val="0"/>
        <w:widowControl/>
        <w:kinsoku/>
        <w:wordWrap/>
        <w:overflowPunct/>
        <w:topLinePunct w:val="0"/>
        <w:autoSpaceDE/>
        <w:autoSpaceDN/>
        <w:bidi w:val="0"/>
        <w:adjustRightInd/>
        <w:snapToGrid/>
        <w:spacing w:line="360" w:lineRule="auto"/>
        <w:ind w:firstLine="64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kern w:val="0"/>
          <w:sz w:val="24"/>
          <w:szCs w:val="24"/>
          <w:highlight w:val="none"/>
          <w:shd w:val="clear" w:color="auto" w:fill="FFFFFF"/>
        </w:rPr>
        <w:t>餐厅整体以宽敞明亮、现代简约风作为主体风格。每个区域着重以不同装饰区分，档口</w:t>
      </w:r>
      <w:r>
        <w:rPr>
          <w:rFonts w:hint="eastAsia" w:ascii="宋体" w:hAnsi="宋体" w:eastAsia="宋体" w:cs="宋体"/>
          <w:color w:val="auto"/>
          <w:kern w:val="0"/>
          <w:sz w:val="24"/>
          <w:szCs w:val="24"/>
          <w:highlight w:val="none"/>
          <w:shd w:val="clear" w:color="auto" w:fill="FFFFFF"/>
          <w:lang w:val="en-US" w:eastAsia="zh-CN"/>
        </w:rPr>
        <w:t>布局鲜明</w:t>
      </w:r>
      <w:r>
        <w:rPr>
          <w:rFonts w:hint="eastAsia" w:ascii="宋体" w:hAnsi="宋体" w:eastAsia="宋体" w:cs="宋体"/>
          <w:color w:val="auto"/>
          <w:kern w:val="0"/>
          <w:sz w:val="24"/>
          <w:szCs w:val="24"/>
          <w:highlight w:val="none"/>
          <w:shd w:val="clear" w:color="auto" w:fill="FFFFFF"/>
        </w:rPr>
        <w:t>。依托人工智能、大数据、物联网、数字化技术</w:t>
      </w:r>
      <w:r>
        <w:rPr>
          <w:rFonts w:hint="eastAsia" w:ascii="宋体" w:hAnsi="宋体" w:eastAsia="宋体" w:cs="宋体"/>
          <w:color w:val="auto"/>
          <w:kern w:val="0"/>
          <w:sz w:val="24"/>
          <w:szCs w:val="24"/>
          <w:highlight w:val="none"/>
          <w:shd w:val="clear" w:color="auto" w:fill="FFFFFF"/>
          <w:lang w:val="en-US" w:eastAsia="zh-CN"/>
        </w:rPr>
        <w:t>的智慧系统</w:t>
      </w:r>
      <w:r>
        <w:rPr>
          <w:rFonts w:hint="eastAsia" w:ascii="宋体" w:hAnsi="宋体" w:eastAsia="宋体" w:cs="宋体"/>
          <w:color w:val="auto"/>
          <w:kern w:val="0"/>
          <w:sz w:val="24"/>
          <w:szCs w:val="24"/>
          <w:highlight w:val="none"/>
          <w:shd w:val="clear" w:color="auto" w:fill="FFFFFF"/>
        </w:rPr>
        <w:t>，</w:t>
      </w:r>
      <w:r>
        <w:rPr>
          <w:rFonts w:hint="eastAsia" w:ascii="宋体" w:hAnsi="宋体" w:eastAsia="宋体" w:cs="宋体"/>
          <w:color w:val="auto"/>
          <w:kern w:val="0"/>
          <w:sz w:val="24"/>
          <w:szCs w:val="24"/>
          <w:highlight w:val="none"/>
          <w:shd w:val="clear" w:color="auto" w:fill="FFFFFF"/>
          <w:lang w:val="en-US" w:eastAsia="zh-CN"/>
        </w:rPr>
        <w:t>打造</w:t>
      </w:r>
      <w:r>
        <w:rPr>
          <w:rFonts w:hint="eastAsia" w:ascii="宋体" w:hAnsi="宋体" w:eastAsia="宋体" w:cs="宋体"/>
          <w:color w:val="auto"/>
          <w:kern w:val="0"/>
          <w:sz w:val="24"/>
          <w:szCs w:val="24"/>
          <w:highlight w:val="none"/>
          <w:shd w:val="clear" w:color="auto" w:fill="FFFFFF"/>
        </w:rPr>
        <w:t>贯穿用户用餐、食堂管理、数据管理、场景管理、智能硬件等环节</w:t>
      </w:r>
      <w:r>
        <w:rPr>
          <w:rFonts w:hint="eastAsia" w:ascii="宋体" w:hAnsi="宋体" w:eastAsia="宋体" w:cs="宋体"/>
          <w:color w:val="auto"/>
          <w:kern w:val="0"/>
          <w:sz w:val="24"/>
          <w:szCs w:val="24"/>
          <w:highlight w:val="none"/>
          <w:shd w:val="clear" w:color="auto" w:fill="FFFFFF"/>
          <w:lang w:val="en-US" w:eastAsia="zh-CN"/>
        </w:rPr>
        <w:t>的</w:t>
      </w:r>
      <w:r>
        <w:rPr>
          <w:rFonts w:hint="eastAsia" w:ascii="宋体" w:hAnsi="宋体" w:eastAsia="宋体" w:cs="宋体"/>
          <w:color w:val="auto"/>
          <w:kern w:val="0"/>
          <w:sz w:val="24"/>
          <w:szCs w:val="24"/>
          <w:highlight w:val="none"/>
          <w:shd w:val="clear" w:color="auto" w:fill="FFFFFF"/>
        </w:rPr>
        <w:t>智能食堂。</w:t>
      </w:r>
      <w:r>
        <w:rPr>
          <w:rFonts w:hint="eastAsia" w:ascii="宋体" w:hAnsi="宋体" w:eastAsia="宋体" w:cs="宋体"/>
          <w:color w:val="auto"/>
          <w:kern w:val="0"/>
          <w:sz w:val="24"/>
          <w:szCs w:val="24"/>
          <w:highlight w:val="none"/>
          <w:shd w:val="clear" w:color="auto" w:fill="FFFFFF"/>
          <w:lang w:val="en-US" w:eastAsia="zh-CN"/>
        </w:rPr>
        <w:t>投标人须按照投标文件响应的相关内容，以有利于招标单位的原则进行装修。</w:t>
      </w:r>
    </w:p>
    <w:p>
      <w:pPr>
        <w:widowControl/>
        <w:numPr>
          <w:ilvl w:val="0"/>
          <w:numId w:val="0"/>
        </w:numPr>
        <w:spacing w:after="120" w:line="360" w:lineRule="auto"/>
        <w:ind w:firstLine="480" w:firstLineChars="200"/>
        <w:jc w:val="left"/>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zh-CN" w:eastAsia="zh-CN" w:bidi="ar-SA"/>
        </w:rPr>
        <w:t>、装修及验收流程</w:t>
      </w:r>
    </w:p>
    <w:p>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中标人按照</w:t>
      </w:r>
      <w:r>
        <w:rPr>
          <w:rFonts w:hint="eastAsia" w:ascii="宋体" w:hAnsi="宋体" w:eastAsia="宋体" w:cs="宋体"/>
          <w:color w:val="auto"/>
          <w:sz w:val="24"/>
          <w:szCs w:val="24"/>
          <w:highlight w:val="none"/>
          <w:lang w:val="en-US" w:eastAsia="zh-CN"/>
        </w:rPr>
        <w:t>招标单位</w:t>
      </w:r>
      <w:r>
        <w:rPr>
          <w:rFonts w:hint="eastAsia" w:ascii="宋体" w:hAnsi="宋体" w:eastAsia="宋体" w:cs="宋体"/>
          <w:color w:val="auto"/>
          <w:sz w:val="24"/>
          <w:szCs w:val="24"/>
          <w:highlight w:val="none"/>
        </w:rPr>
        <w:t>制定</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餐厅改造方案和基本要求</w:t>
      </w:r>
      <w:r>
        <w:rPr>
          <w:rFonts w:hint="eastAsia" w:ascii="宋体" w:hAnsi="宋体" w:eastAsia="宋体" w:cs="宋体"/>
          <w:color w:val="auto"/>
          <w:sz w:val="24"/>
          <w:szCs w:val="24"/>
          <w:highlight w:val="none"/>
          <w:lang w:val="en-US" w:eastAsia="zh-CN"/>
        </w:rPr>
        <w:t>以及投标文件响应内容</w:t>
      </w:r>
      <w:r>
        <w:rPr>
          <w:rFonts w:hint="eastAsia" w:ascii="宋体" w:hAnsi="宋体" w:eastAsia="宋体" w:cs="宋体"/>
          <w:color w:val="auto"/>
          <w:sz w:val="24"/>
          <w:szCs w:val="24"/>
          <w:highlight w:val="none"/>
        </w:rPr>
        <w:t>，委托专业设计公司对餐厅进行正式设计</w:t>
      </w:r>
      <w:r>
        <w:rPr>
          <w:rFonts w:hint="eastAsia" w:ascii="宋体" w:hAnsi="宋体" w:eastAsia="宋体" w:cs="宋体"/>
          <w:color w:val="auto"/>
          <w:sz w:val="24"/>
          <w:szCs w:val="24"/>
          <w:highlight w:val="none"/>
          <w:lang w:eastAsia="zh-CN"/>
        </w:rPr>
        <w:t>。</w:t>
      </w:r>
    </w:p>
    <w:p>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rPr>
        <w:t>中标人出具</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施工图和效果图由</w:t>
      </w:r>
      <w:r>
        <w:rPr>
          <w:rFonts w:hint="eastAsia" w:ascii="宋体" w:hAnsi="宋体" w:eastAsia="宋体" w:cs="宋体"/>
          <w:color w:val="auto"/>
          <w:sz w:val="24"/>
          <w:szCs w:val="24"/>
          <w:highlight w:val="none"/>
          <w:lang w:val="en-US" w:eastAsia="zh-CN"/>
        </w:rPr>
        <w:t>招标单位</w:t>
      </w:r>
      <w:r>
        <w:rPr>
          <w:rFonts w:hint="eastAsia" w:ascii="宋体" w:hAnsi="宋体" w:eastAsia="宋体" w:cs="宋体"/>
          <w:color w:val="auto"/>
          <w:sz w:val="24"/>
          <w:szCs w:val="24"/>
          <w:highlight w:val="none"/>
        </w:rPr>
        <w:t>进行确认后方可进行装修。</w:t>
      </w:r>
    </w:p>
    <w:p>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rPr>
        <w:t>装修改造和设备添置具体由中标人按照</w:t>
      </w:r>
      <w:r>
        <w:rPr>
          <w:rFonts w:hint="eastAsia" w:ascii="宋体" w:hAnsi="宋体" w:eastAsia="宋体" w:cs="宋体"/>
          <w:color w:val="auto"/>
          <w:sz w:val="24"/>
          <w:szCs w:val="24"/>
          <w:highlight w:val="none"/>
          <w:lang w:val="en-US" w:eastAsia="zh-CN"/>
        </w:rPr>
        <w:t>招标单位</w:t>
      </w:r>
      <w:r>
        <w:rPr>
          <w:rFonts w:hint="eastAsia" w:ascii="宋体" w:hAnsi="宋体" w:eastAsia="宋体" w:cs="宋体"/>
          <w:color w:val="auto"/>
          <w:sz w:val="24"/>
          <w:szCs w:val="24"/>
          <w:highlight w:val="none"/>
        </w:rPr>
        <w:t>审核同意的设计装修方案进行施工和采购，由</w:t>
      </w:r>
      <w:r>
        <w:rPr>
          <w:rFonts w:hint="eastAsia" w:ascii="宋体" w:hAnsi="宋体" w:eastAsia="宋体" w:cs="宋体"/>
          <w:color w:val="auto"/>
          <w:sz w:val="24"/>
          <w:szCs w:val="24"/>
          <w:highlight w:val="none"/>
          <w:lang w:val="en-US" w:eastAsia="zh-CN"/>
        </w:rPr>
        <w:t>招标单位</w:t>
      </w:r>
      <w:r>
        <w:rPr>
          <w:rFonts w:hint="eastAsia" w:ascii="宋体" w:hAnsi="宋体" w:eastAsia="宋体" w:cs="宋体"/>
          <w:color w:val="auto"/>
          <w:sz w:val="24"/>
          <w:szCs w:val="24"/>
          <w:highlight w:val="none"/>
        </w:rPr>
        <w:t>指定</w:t>
      </w:r>
      <w:r>
        <w:rPr>
          <w:rFonts w:hint="eastAsia" w:ascii="宋体" w:hAnsi="宋体" w:eastAsia="宋体" w:cs="宋体"/>
          <w:color w:val="auto"/>
          <w:sz w:val="24"/>
          <w:szCs w:val="24"/>
          <w:highlight w:val="none"/>
          <w:lang w:val="en-US" w:eastAsia="zh-CN"/>
        </w:rPr>
        <w:t>专</w:t>
      </w:r>
      <w:r>
        <w:rPr>
          <w:rFonts w:hint="eastAsia" w:ascii="宋体" w:hAnsi="宋体" w:eastAsia="宋体" w:cs="宋体"/>
          <w:color w:val="auto"/>
          <w:sz w:val="24"/>
          <w:szCs w:val="24"/>
          <w:highlight w:val="none"/>
        </w:rPr>
        <w:t>人作为现场代表，并聘请监理单位进行全程监督，监理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造价咨询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第三方审核费用</w:t>
      </w:r>
      <w:r>
        <w:rPr>
          <w:rFonts w:hint="eastAsia" w:ascii="宋体" w:hAnsi="宋体" w:eastAsia="宋体" w:cs="宋体"/>
          <w:color w:val="auto"/>
          <w:sz w:val="24"/>
          <w:szCs w:val="24"/>
          <w:highlight w:val="none"/>
        </w:rPr>
        <w:t>由中标人</w:t>
      </w:r>
      <w:r>
        <w:rPr>
          <w:rFonts w:hint="eastAsia" w:ascii="宋体" w:hAnsi="宋体" w:eastAsia="宋体" w:cs="宋体"/>
          <w:color w:val="auto"/>
          <w:sz w:val="24"/>
          <w:szCs w:val="24"/>
          <w:highlight w:val="none"/>
          <w:lang w:val="en-US" w:eastAsia="zh-CN"/>
        </w:rPr>
        <w:t>负责，</w:t>
      </w:r>
      <w:r>
        <w:rPr>
          <w:rFonts w:hint="eastAsia" w:ascii="宋体" w:hAnsi="宋体" w:eastAsia="宋体" w:cs="宋体"/>
          <w:color w:val="auto"/>
          <w:sz w:val="24"/>
          <w:szCs w:val="24"/>
          <w:highlight w:val="none"/>
        </w:rPr>
        <w:t>汇入</w:t>
      </w:r>
      <w:r>
        <w:rPr>
          <w:rFonts w:hint="eastAsia" w:ascii="宋体" w:hAnsi="宋体" w:eastAsia="宋体" w:cs="宋体"/>
          <w:color w:val="auto"/>
          <w:sz w:val="24"/>
          <w:szCs w:val="24"/>
          <w:highlight w:val="none"/>
          <w:lang w:val="en-US" w:eastAsia="zh-CN"/>
        </w:rPr>
        <w:t>招标单位</w:t>
      </w:r>
      <w:r>
        <w:rPr>
          <w:rFonts w:hint="eastAsia" w:ascii="宋体" w:hAnsi="宋体" w:eastAsia="宋体" w:cs="宋体"/>
          <w:color w:val="auto"/>
          <w:sz w:val="24"/>
          <w:szCs w:val="24"/>
          <w:highlight w:val="none"/>
        </w:rPr>
        <w:t>账户由</w:t>
      </w:r>
      <w:r>
        <w:rPr>
          <w:rFonts w:hint="eastAsia" w:ascii="宋体" w:hAnsi="宋体" w:eastAsia="宋体" w:cs="宋体"/>
          <w:color w:val="auto"/>
          <w:sz w:val="24"/>
          <w:szCs w:val="24"/>
          <w:highlight w:val="none"/>
          <w:lang w:val="en-US" w:eastAsia="zh-CN"/>
        </w:rPr>
        <w:t>招标单位</w:t>
      </w:r>
      <w:r>
        <w:rPr>
          <w:rFonts w:hint="eastAsia" w:ascii="宋体" w:hAnsi="宋体" w:eastAsia="宋体" w:cs="宋体"/>
          <w:color w:val="auto"/>
          <w:sz w:val="24"/>
          <w:szCs w:val="24"/>
          <w:highlight w:val="none"/>
        </w:rPr>
        <w:t>支付。</w:t>
      </w:r>
    </w:p>
    <w:p>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④</w:t>
      </w:r>
      <w:r>
        <w:rPr>
          <w:rFonts w:hint="eastAsia" w:ascii="宋体" w:hAnsi="宋体" w:eastAsia="宋体" w:cs="宋体"/>
          <w:color w:val="auto"/>
          <w:sz w:val="24"/>
          <w:szCs w:val="24"/>
          <w:highlight w:val="none"/>
          <w:lang w:val="zh-CN"/>
        </w:rPr>
        <w:t>中标人投入的装修改造费用和添置设备费用不得低于人民币</w:t>
      </w:r>
      <w:r>
        <w:rPr>
          <w:rFonts w:hint="eastAsia" w:ascii="宋体" w:hAnsi="宋体" w:eastAsia="宋体" w:cs="宋体"/>
          <w:color w:val="auto"/>
          <w:sz w:val="24"/>
          <w:szCs w:val="24"/>
          <w:highlight w:val="none"/>
          <w:u w:val="single"/>
          <w:lang w:val="en-US" w:eastAsia="zh-CN"/>
        </w:rPr>
        <w:t xml:space="preserve"> 800 </w:t>
      </w:r>
      <w:r>
        <w:rPr>
          <w:rFonts w:hint="eastAsia" w:ascii="宋体" w:hAnsi="宋体" w:eastAsia="宋体" w:cs="宋体"/>
          <w:color w:val="auto"/>
          <w:sz w:val="24"/>
          <w:szCs w:val="24"/>
          <w:highlight w:val="none"/>
          <w:lang w:val="zh-CN"/>
        </w:rPr>
        <w:t>万元（</w:t>
      </w:r>
      <w:r>
        <w:rPr>
          <w:rFonts w:hint="eastAsia" w:ascii="宋体" w:hAnsi="宋体" w:eastAsia="宋体" w:cs="宋体"/>
          <w:color w:val="auto"/>
          <w:sz w:val="24"/>
          <w:szCs w:val="24"/>
          <w:highlight w:val="none"/>
        </w:rPr>
        <w:t>以投标承诺费用金额为准，需一次性投入）</w:t>
      </w:r>
      <w:r>
        <w:rPr>
          <w:rFonts w:hint="eastAsia" w:ascii="宋体" w:hAnsi="宋体" w:eastAsia="宋体" w:cs="宋体"/>
          <w:color w:val="auto"/>
          <w:sz w:val="24"/>
          <w:szCs w:val="24"/>
          <w:highlight w:val="none"/>
          <w:lang w:val="zh-CN"/>
        </w:rPr>
        <w:t>，工程施工完毕后</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val="en-US" w:eastAsia="zh-CN"/>
        </w:rPr>
        <w:t>招标单位对</w:t>
      </w:r>
      <w:r>
        <w:rPr>
          <w:rFonts w:hint="eastAsia" w:asciiTheme="minorEastAsia" w:hAnsiTheme="minorEastAsia" w:eastAsiaTheme="minorEastAsia"/>
          <w:color w:val="auto"/>
          <w:sz w:val="24"/>
          <w:szCs w:val="24"/>
          <w:highlight w:val="none"/>
          <w:lang w:val="zh-CN"/>
        </w:rPr>
        <w:t>装修和设备添置情况</w:t>
      </w:r>
      <w:r>
        <w:rPr>
          <w:rFonts w:hint="eastAsia" w:ascii="宋体" w:hAnsi="宋体" w:eastAsia="宋体" w:cs="宋体"/>
          <w:color w:val="auto"/>
          <w:sz w:val="24"/>
          <w:szCs w:val="24"/>
          <w:highlight w:val="none"/>
          <w:lang w:val="en-US" w:eastAsia="zh-CN"/>
        </w:rPr>
        <w:t>进行</w:t>
      </w:r>
      <w:r>
        <w:rPr>
          <w:rFonts w:hint="eastAsia" w:ascii="宋体" w:hAnsi="宋体" w:eastAsia="宋体" w:cs="宋体"/>
          <w:color w:val="auto"/>
          <w:sz w:val="24"/>
          <w:szCs w:val="24"/>
          <w:highlight w:val="none"/>
        </w:rPr>
        <w:t>验收</w:t>
      </w:r>
      <w:r>
        <w:rPr>
          <w:rFonts w:hint="eastAsia" w:ascii="宋体" w:hAnsi="宋体" w:eastAsia="宋体" w:cs="宋体"/>
          <w:strike w:val="0"/>
          <w:color w:val="auto"/>
          <w:sz w:val="24"/>
          <w:szCs w:val="24"/>
          <w:highlight w:val="none"/>
        </w:rPr>
        <w:t>，按规定</w:t>
      </w:r>
      <w:r>
        <w:rPr>
          <w:rFonts w:hint="eastAsia" w:ascii="宋体" w:hAnsi="宋体" w:cs="宋体"/>
          <w:strike w:val="0"/>
          <w:color w:val="auto"/>
          <w:sz w:val="24"/>
          <w:szCs w:val="24"/>
          <w:highlight w:val="none"/>
          <w:lang w:val="en-US" w:eastAsia="zh-CN"/>
        </w:rPr>
        <w:t>委托</w:t>
      </w:r>
      <w:r>
        <w:rPr>
          <w:rFonts w:hint="eastAsia" w:ascii="宋体" w:hAnsi="宋体" w:eastAsia="宋体" w:cs="宋体"/>
          <w:strike w:val="0"/>
          <w:color w:val="auto"/>
          <w:sz w:val="24"/>
          <w:szCs w:val="24"/>
          <w:highlight w:val="none"/>
        </w:rPr>
        <w:t>第三方审核确认，如果投资额不足，不足部分投标人需补齐给</w:t>
      </w:r>
      <w:r>
        <w:rPr>
          <w:rFonts w:hint="eastAsia" w:ascii="宋体" w:hAnsi="宋体" w:eastAsia="宋体" w:cs="宋体"/>
          <w:strike w:val="0"/>
          <w:color w:val="auto"/>
          <w:sz w:val="24"/>
          <w:szCs w:val="24"/>
          <w:highlight w:val="none"/>
          <w:lang w:eastAsia="zh-CN"/>
        </w:rPr>
        <w:t>招标</w:t>
      </w:r>
      <w:r>
        <w:rPr>
          <w:rFonts w:hint="eastAsia" w:ascii="宋体" w:hAnsi="宋体" w:eastAsia="宋体" w:cs="宋体"/>
          <w:strike w:val="0"/>
          <w:color w:val="auto"/>
          <w:sz w:val="24"/>
          <w:szCs w:val="24"/>
          <w:highlight w:val="none"/>
        </w:rPr>
        <w:t>单位，超过部分</w:t>
      </w:r>
      <w:r>
        <w:rPr>
          <w:rFonts w:hint="eastAsia" w:ascii="宋体" w:hAnsi="宋体" w:eastAsia="宋体" w:cs="宋体"/>
          <w:strike w:val="0"/>
          <w:color w:val="auto"/>
          <w:sz w:val="24"/>
          <w:szCs w:val="24"/>
          <w:highlight w:val="none"/>
          <w:lang w:eastAsia="zh-CN"/>
        </w:rPr>
        <w:t>招标</w:t>
      </w:r>
      <w:r>
        <w:rPr>
          <w:rFonts w:hint="eastAsia" w:ascii="宋体" w:hAnsi="宋体" w:eastAsia="宋体" w:cs="宋体"/>
          <w:strike w:val="0"/>
          <w:color w:val="auto"/>
          <w:sz w:val="24"/>
          <w:szCs w:val="24"/>
          <w:highlight w:val="none"/>
        </w:rPr>
        <w:t>单位不予补偿。</w:t>
      </w:r>
    </w:p>
    <w:p>
      <w:pPr>
        <w:numPr>
          <w:ilvl w:val="0"/>
          <w:numId w:val="0"/>
        </w:num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⑤本项目</w:t>
      </w:r>
      <w:r>
        <w:rPr>
          <w:rFonts w:hint="eastAsia" w:ascii="宋体" w:hAnsi="宋体" w:eastAsia="宋体" w:cs="宋体"/>
          <w:color w:val="auto"/>
          <w:sz w:val="24"/>
          <w:szCs w:val="24"/>
          <w:highlight w:val="none"/>
          <w:lang w:val="zh-CN"/>
        </w:rPr>
        <w:t>涉及装修改造等国家有相关资质要求的项目,中标供应商中标后必须委托符合国家规定且有相应资质的公司施工或安装,且在进场前报</w:t>
      </w:r>
      <w:r>
        <w:rPr>
          <w:rFonts w:hint="eastAsia" w:ascii="宋体" w:hAnsi="宋体" w:eastAsia="宋体" w:cs="宋体"/>
          <w:color w:val="auto"/>
          <w:sz w:val="24"/>
          <w:szCs w:val="24"/>
          <w:highlight w:val="none"/>
          <w:lang w:val="en-US" w:eastAsia="zh-CN"/>
        </w:rPr>
        <w:t>招标单位</w:t>
      </w:r>
      <w:r>
        <w:rPr>
          <w:rFonts w:hint="eastAsia" w:ascii="宋体" w:hAnsi="宋体" w:eastAsia="宋体" w:cs="宋体"/>
          <w:color w:val="auto"/>
          <w:sz w:val="24"/>
          <w:szCs w:val="24"/>
          <w:highlight w:val="none"/>
          <w:lang w:val="zh-CN"/>
        </w:rPr>
        <w:t>备案。中标供应商必须考虑由此产生的所有责任及风险，并承担连带责任。</w:t>
      </w:r>
    </w:p>
    <w:p>
      <w:pPr>
        <w:widowControl/>
        <w:numPr>
          <w:ilvl w:val="0"/>
          <w:numId w:val="0"/>
        </w:numPr>
        <w:spacing w:after="120"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6、考核标准</w:t>
      </w:r>
    </w:p>
    <w:p>
      <w:pPr>
        <w:pStyle w:val="12"/>
        <w:spacing w:before="0" w:beforeAutospacing="0" w:after="0" w:afterAutospacing="0" w:line="360" w:lineRule="auto"/>
        <w:ind w:firstLine="480" w:firstLineChars="200"/>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kern w:val="2"/>
          <w:sz w:val="24"/>
          <w:szCs w:val="24"/>
          <w:highlight w:val="none"/>
          <w:lang w:val="zh-CN" w:eastAsia="zh-CN" w:bidi="ar-SA"/>
        </w:rPr>
        <w:t>考核类型：每月考核和阶段性抽查。</w:t>
      </w:r>
    </w:p>
    <w:p>
      <w:pPr>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kern w:val="2"/>
          <w:sz w:val="24"/>
          <w:szCs w:val="24"/>
          <w:highlight w:val="none"/>
          <w:lang w:val="en-US" w:eastAsia="zh-CN" w:bidi="ar-SA"/>
        </w:rPr>
        <w:t>招标单位根据《第五餐厅违约评分细则》，由招标单位对中标人的服务进行考核，中标人应当认真全面履行。考核过程中若发现问题，招标单位责令限期整改。</w:t>
      </w:r>
    </w:p>
    <w:p>
      <w:pPr>
        <w:pStyle w:val="25"/>
        <w:rPr>
          <w:rFonts w:hint="eastAsia"/>
          <w:color w:val="auto"/>
          <w:highlight w:val="none"/>
          <w:lang w:val="zh-CN"/>
        </w:rPr>
      </w:pPr>
    </w:p>
    <w:p>
      <w:pPr>
        <w:pStyle w:val="25"/>
        <w:rPr>
          <w:rFonts w:hint="eastAsia"/>
          <w:color w:val="auto"/>
          <w:highlight w:val="none"/>
          <w:lang w:val="zh-CN"/>
        </w:rPr>
      </w:pPr>
    </w:p>
    <w:p>
      <w:pPr>
        <w:jc w:val="center"/>
        <w:rPr>
          <w:b/>
          <w:bCs w:val="0"/>
          <w:color w:val="auto"/>
          <w:sz w:val="32"/>
          <w:szCs w:val="40"/>
          <w:highlight w:val="none"/>
        </w:rPr>
      </w:pPr>
      <w:r>
        <w:rPr>
          <w:rFonts w:hint="eastAsia"/>
          <w:b/>
          <w:bCs w:val="0"/>
          <w:color w:val="auto"/>
          <w:sz w:val="32"/>
          <w:szCs w:val="40"/>
          <w:highlight w:val="none"/>
        </w:rPr>
        <w:t>第五餐厅违约评分细则</w:t>
      </w:r>
    </w:p>
    <w:tbl>
      <w:tblPr>
        <w:tblStyle w:val="13"/>
        <w:tblW w:w="970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1291"/>
        <w:gridCol w:w="6397"/>
        <w:gridCol w:w="773"/>
        <w:gridCol w:w="123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2"/>
              <w:widowControl/>
              <w:spacing w:beforeAutospacing="0" w:afterAutospacing="0" w:line="320" w:lineRule="atLeast"/>
              <w:jc w:val="center"/>
              <w:rPr>
                <w:rFonts w:ascii="Times New Roman" w:hAnsi="Times New Roman"/>
                <w:color w:val="auto"/>
                <w:sz w:val="21"/>
                <w:szCs w:val="21"/>
                <w:highlight w:val="none"/>
              </w:rPr>
            </w:pPr>
            <w:r>
              <w:rPr>
                <w:rFonts w:ascii="方正黑体_GBK" w:hAnsi="方正黑体_GBK" w:eastAsia="方正黑体_GBK" w:cs="方正黑体_GBK"/>
                <w:color w:val="auto"/>
                <w:highlight w:val="none"/>
              </w:rPr>
              <w:t>检查项目</w:t>
            </w:r>
          </w:p>
        </w:tc>
        <w:tc>
          <w:tcPr>
            <w:tcW w:w="6397" w:type="dxa"/>
            <w:tcBorders>
              <w:top w:val="single" w:color="auto" w:sz="8" w:space="0"/>
              <w:left w:val="nil"/>
              <w:bottom w:val="single" w:color="auto" w:sz="8" w:space="0"/>
              <w:right w:val="single" w:color="auto" w:sz="8" w:space="0"/>
            </w:tcBorders>
            <w:shd w:val="clear" w:color="auto" w:fill="auto"/>
            <w:vAlign w:val="center"/>
          </w:tcPr>
          <w:p>
            <w:pPr>
              <w:pStyle w:val="12"/>
              <w:widowControl/>
              <w:spacing w:beforeAutospacing="0" w:afterAutospacing="0" w:line="320" w:lineRule="atLeast"/>
              <w:jc w:val="center"/>
              <w:rPr>
                <w:rFonts w:ascii="Times New Roman" w:hAnsi="Times New Roman"/>
                <w:color w:val="auto"/>
                <w:sz w:val="21"/>
                <w:szCs w:val="21"/>
                <w:highlight w:val="none"/>
              </w:rPr>
            </w:pPr>
            <w:r>
              <w:rPr>
                <w:rFonts w:ascii="方正黑体_GBK" w:hAnsi="方正黑体_GBK" w:eastAsia="方正黑体_GBK" w:cs="方正黑体_GBK"/>
                <w:color w:val="auto"/>
                <w:highlight w:val="none"/>
              </w:rPr>
              <w:t>检查内容与扣分标准</w:t>
            </w:r>
          </w:p>
        </w:tc>
        <w:tc>
          <w:tcPr>
            <w:tcW w:w="773" w:type="dxa"/>
            <w:tcBorders>
              <w:top w:val="single" w:color="auto" w:sz="8" w:space="0"/>
              <w:left w:val="nil"/>
              <w:bottom w:val="single" w:color="auto" w:sz="8" w:space="0"/>
              <w:right w:val="single" w:color="auto" w:sz="8" w:space="0"/>
            </w:tcBorders>
            <w:shd w:val="clear" w:color="auto" w:fill="auto"/>
            <w:vAlign w:val="center"/>
          </w:tcPr>
          <w:p>
            <w:pPr>
              <w:pStyle w:val="12"/>
              <w:widowControl/>
              <w:spacing w:beforeAutospacing="0" w:afterAutospacing="0" w:line="320" w:lineRule="atLeast"/>
              <w:jc w:val="center"/>
              <w:rPr>
                <w:rFonts w:ascii="Times New Roman" w:hAnsi="Times New Roman"/>
                <w:color w:val="auto"/>
                <w:sz w:val="21"/>
                <w:szCs w:val="21"/>
                <w:highlight w:val="none"/>
              </w:rPr>
            </w:pPr>
            <w:r>
              <w:rPr>
                <w:rFonts w:ascii="方正黑体_GBK" w:hAnsi="方正黑体_GBK" w:eastAsia="方正黑体_GBK" w:cs="方正黑体_GBK"/>
                <w:color w:val="auto"/>
                <w:highlight w:val="none"/>
              </w:rPr>
              <w:t>分值</w:t>
            </w:r>
          </w:p>
        </w:tc>
        <w:tc>
          <w:tcPr>
            <w:tcW w:w="1239" w:type="dxa"/>
            <w:tcBorders>
              <w:top w:val="single" w:color="auto" w:sz="8" w:space="0"/>
              <w:left w:val="nil"/>
              <w:bottom w:val="single" w:color="auto" w:sz="8" w:space="0"/>
              <w:right w:val="single" w:color="auto" w:sz="8" w:space="0"/>
            </w:tcBorders>
            <w:shd w:val="clear" w:color="auto" w:fill="auto"/>
            <w:vAlign w:val="center"/>
          </w:tcPr>
          <w:p>
            <w:pPr>
              <w:pStyle w:val="12"/>
              <w:widowControl/>
              <w:spacing w:beforeAutospacing="0" w:afterAutospacing="0" w:line="320" w:lineRule="atLeast"/>
              <w:jc w:val="center"/>
              <w:rPr>
                <w:rFonts w:ascii="Times New Roman" w:hAnsi="Times New Roman"/>
                <w:color w:val="auto"/>
                <w:sz w:val="21"/>
                <w:szCs w:val="21"/>
                <w:highlight w:val="none"/>
              </w:rPr>
            </w:pPr>
            <w:r>
              <w:rPr>
                <w:rFonts w:ascii="方正黑体_GBK" w:hAnsi="方正黑体_GBK" w:eastAsia="方正黑体_GBK" w:cs="方正黑体_GBK"/>
                <w:color w:val="auto"/>
                <w:highlight w:val="none"/>
              </w:rPr>
              <w:t>扣分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291" w:type="dxa"/>
            <w:vMerge w:val="restart"/>
            <w:tcBorders>
              <w:top w:val="nil"/>
              <w:left w:val="single" w:color="auto" w:sz="8" w:space="0"/>
              <w:bottom w:val="single" w:color="auto" w:sz="8" w:space="0"/>
              <w:right w:val="single" w:color="auto" w:sz="8" w:space="0"/>
            </w:tcBorders>
            <w:shd w:val="clear" w:color="auto" w:fill="auto"/>
            <w:vAlign w:val="center"/>
          </w:tcPr>
          <w:p>
            <w:pPr>
              <w:pStyle w:val="12"/>
              <w:widowControl/>
              <w:spacing w:beforeAutospacing="0" w:afterAutospacing="0" w:line="320" w:lineRule="atLeas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一、许可管理</w:t>
            </w:r>
          </w:p>
        </w:tc>
        <w:tc>
          <w:tcPr>
            <w:tcW w:w="6397" w:type="dxa"/>
            <w:tcBorders>
              <w:top w:val="nil"/>
              <w:left w:val="nil"/>
              <w:bottom w:val="single" w:color="auto" w:sz="8" w:space="0"/>
              <w:right w:val="single" w:color="auto" w:sz="8" w:space="0"/>
            </w:tcBorders>
            <w:shd w:val="clear" w:color="auto" w:fill="auto"/>
            <w:vAlign w:val="center"/>
          </w:tcPr>
          <w:p>
            <w:pPr>
              <w:pStyle w:val="12"/>
              <w:widowControl/>
              <w:spacing w:beforeAutospacing="0" w:afterAutospacing="0" w:line="280" w:lineRule="atLeas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1.未按照核定的许可范围加工制作食品，扣3分。</w:t>
            </w:r>
            <w:r>
              <w:rPr>
                <w:rFonts w:hint="eastAsia" w:ascii="宋体" w:hAnsi="宋体" w:eastAsia="宋体" w:cs="宋体"/>
                <w:color w:val="auto"/>
                <w:sz w:val="21"/>
                <w:szCs w:val="21"/>
                <w:highlight w:val="none"/>
                <w:lang w:eastAsia="zh-CN"/>
              </w:rPr>
              <w:t>▲</w:t>
            </w:r>
          </w:p>
        </w:tc>
        <w:tc>
          <w:tcPr>
            <w:tcW w:w="773" w:type="dxa"/>
            <w:vMerge w:val="restart"/>
            <w:tcBorders>
              <w:top w:val="nil"/>
              <w:left w:val="nil"/>
              <w:bottom w:val="single" w:color="auto" w:sz="8" w:space="0"/>
              <w:right w:val="single" w:color="auto" w:sz="8" w:space="0"/>
            </w:tcBorders>
            <w:shd w:val="clear" w:color="auto" w:fill="auto"/>
            <w:vAlign w:val="center"/>
          </w:tcPr>
          <w:p>
            <w:pPr>
              <w:pStyle w:val="12"/>
              <w:widowControl/>
              <w:spacing w:beforeAutospacing="0" w:afterAutospacing="0" w:line="320" w:lineRule="atLeast"/>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12</w:t>
            </w:r>
          </w:p>
        </w:tc>
        <w:tc>
          <w:tcPr>
            <w:tcW w:w="1239" w:type="dxa"/>
            <w:vMerge w:val="restart"/>
            <w:tcBorders>
              <w:top w:val="nil"/>
              <w:left w:val="nil"/>
              <w:bottom w:val="single" w:color="auto" w:sz="8" w:space="0"/>
              <w:right w:val="single" w:color="auto" w:sz="8" w:space="0"/>
            </w:tcBorders>
            <w:shd w:val="clear" w:color="auto" w:fill="auto"/>
            <w:vAlign w:val="center"/>
          </w:tcPr>
          <w:p>
            <w:pPr>
              <w:pStyle w:val="12"/>
              <w:widowControl/>
              <w:spacing w:beforeAutospacing="0" w:afterAutospacing="0" w:line="320" w:lineRule="atLeast"/>
              <w:jc w:val="both"/>
              <w:rPr>
                <w:rFonts w:ascii="Times New Roman" w:hAnsi="Times New Roman"/>
                <w:color w:val="auto"/>
                <w:sz w:val="21"/>
                <w:szCs w:val="21"/>
                <w:highlight w:val="none"/>
              </w:rPr>
            </w:pPr>
            <w:r>
              <w:rPr>
                <w:rFonts w:ascii="Times New Roman" w:hAnsi="Times New Roman"/>
                <w:color w:val="auto"/>
                <w:sz w:val="21"/>
                <w:szCs w:val="21"/>
                <w:highlight w:val="none"/>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291"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hAnsi="宋体" w:eastAsia="宋体" w:cs="宋体"/>
                <w:color w:val="auto"/>
                <w:sz w:val="24"/>
                <w:highlight w:val="none"/>
              </w:rPr>
            </w:pPr>
          </w:p>
        </w:tc>
        <w:tc>
          <w:tcPr>
            <w:tcW w:w="6397" w:type="dxa"/>
            <w:tcBorders>
              <w:top w:val="nil"/>
              <w:left w:val="nil"/>
              <w:bottom w:val="single" w:color="auto" w:sz="8" w:space="0"/>
              <w:right w:val="single" w:color="auto" w:sz="8" w:space="0"/>
            </w:tcBorders>
            <w:shd w:val="clear" w:color="auto" w:fill="auto"/>
            <w:vAlign w:val="center"/>
          </w:tcPr>
          <w:p>
            <w:pPr>
              <w:pStyle w:val="12"/>
              <w:widowControl/>
              <w:spacing w:beforeAutospacing="0" w:afterAutospacing="0" w:line="280" w:lineRule="atLeas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2.擅自改变经营场所设施或使用功能的，发现一项扣2分。</w:t>
            </w:r>
            <w:r>
              <w:rPr>
                <w:rFonts w:hint="eastAsia" w:ascii="宋体" w:hAnsi="宋体" w:eastAsia="宋体" w:cs="宋体"/>
                <w:color w:val="auto"/>
                <w:sz w:val="21"/>
                <w:szCs w:val="21"/>
                <w:highlight w:val="none"/>
                <w:lang w:eastAsia="zh-CN"/>
              </w:rPr>
              <w:t>▲</w:t>
            </w:r>
          </w:p>
        </w:tc>
        <w:tc>
          <w:tcPr>
            <w:tcW w:w="773" w:type="dxa"/>
            <w:vMerge w:val="continue"/>
            <w:tcBorders>
              <w:top w:val="nil"/>
              <w:left w:val="nil"/>
              <w:bottom w:val="single" w:color="auto" w:sz="8" w:space="0"/>
              <w:right w:val="single" w:color="auto" w:sz="8" w:space="0"/>
            </w:tcBorders>
            <w:shd w:val="clear" w:color="auto" w:fill="auto"/>
            <w:vAlign w:val="center"/>
          </w:tcPr>
          <w:p>
            <w:pPr>
              <w:rPr>
                <w:rFonts w:ascii="宋体"/>
                <w:color w:val="auto"/>
                <w:sz w:val="24"/>
                <w:highlight w:val="none"/>
              </w:rPr>
            </w:pPr>
          </w:p>
        </w:tc>
        <w:tc>
          <w:tcPr>
            <w:tcW w:w="1239" w:type="dxa"/>
            <w:vMerge w:val="continue"/>
            <w:tcBorders>
              <w:top w:val="nil"/>
              <w:left w:val="nil"/>
              <w:bottom w:val="single" w:color="auto" w:sz="8" w:space="0"/>
              <w:right w:val="single" w:color="auto" w:sz="8" w:space="0"/>
            </w:tcBorders>
            <w:shd w:val="clear" w:color="auto" w:fill="auto"/>
            <w:vAlign w:val="center"/>
          </w:tcPr>
          <w:p>
            <w:pPr>
              <w:rPr>
                <w:rFonts w:ascii="宋体"/>
                <w:color w:val="auto"/>
                <w:sz w:val="24"/>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291"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hAnsi="宋体" w:eastAsia="宋体" w:cs="宋体"/>
                <w:color w:val="auto"/>
                <w:sz w:val="24"/>
                <w:highlight w:val="none"/>
              </w:rPr>
            </w:pPr>
          </w:p>
        </w:tc>
        <w:tc>
          <w:tcPr>
            <w:tcW w:w="6397" w:type="dxa"/>
            <w:tcBorders>
              <w:top w:val="nil"/>
              <w:left w:val="nil"/>
              <w:bottom w:val="single" w:color="auto" w:sz="8" w:space="0"/>
              <w:right w:val="single" w:color="auto" w:sz="8" w:space="0"/>
            </w:tcBorders>
            <w:shd w:val="clear" w:color="auto" w:fill="auto"/>
            <w:vAlign w:val="center"/>
          </w:tcPr>
          <w:p>
            <w:pPr>
              <w:pStyle w:val="12"/>
              <w:widowControl/>
              <w:spacing w:beforeAutospacing="0" w:afterAutospacing="0" w:line="280" w:lineRule="atLeas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3.未规范悬挂或摆放许可证、监督信息公示牌及餐饮监管部门要求公示的其他内容，每缺一项扣1分。</w:t>
            </w:r>
          </w:p>
        </w:tc>
        <w:tc>
          <w:tcPr>
            <w:tcW w:w="773" w:type="dxa"/>
            <w:vMerge w:val="continue"/>
            <w:tcBorders>
              <w:top w:val="nil"/>
              <w:left w:val="nil"/>
              <w:bottom w:val="single" w:color="auto" w:sz="8" w:space="0"/>
              <w:right w:val="single" w:color="auto" w:sz="8" w:space="0"/>
            </w:tcBorders>
            <w:shd w:val="clear" w:color="auto" w:fill="auto"/>
            <w:vAlign w:val="center"/>
          </w:tcPr>
          <w:p>
            <w:pPr>
              <w:rPr>
                <w:rFonts w:ascii="宋体"/>
                <w:color w:val="auto"/>
                <w:sz w:val="24"/>
                <w:highlight w:val="none"/>
              </w:rPr>
            </w:pPr>
          </w:p>
        </w:tc>
        <w:tc>
          <w:tcPr>
            <w:tcW w:w="1239" w:type="dxa"/>
            <w:vMerge w:val="continue"/>
            <w:tcBorders>
              <w:top w:val="nil"/>
              <w:left w:val="nil"/>
              <w:bottom w:val="single" w:color="auto" w:sz="8" w:space="0"/>
              <w:right w:val="single" w:color="auto" w:sz="8" w:space="0"/>
            </w:tcBorders>
            <w:shd w:val="clear" w:color="auto" w:fill="auto"/>
            <w:vAlign w:val="center"/>
          </w:tcPr>
          <w:p>
            <w:pPr>
              <w:rPr>
                <w:rFonts w:ascii="宋体"/>
                <w:color w:val="auto"/>
                <w:sz w:val="24"/>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291"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hAnsi="宋体" w:eastAsia="宋体" w:cs="宋体"/>
                <w:color w:val="auto"/>
                <w:sz w:val="24"/>
                <w:highlight w:val="none"/>
              </w:rPr>
            </w:pPr>
          </w:p>
        </w:tc>
        <w:tc>
          <w:tcPr>
            <w:tcW w:w="6397" w:type="dxa"/>
            <w:tcBorders>
              <w:top w:val="nil"/>
              <w:left w:val="nil"/>
              <w:bottom w:val="single" w:color="auto" w:sz="8" w:space="0"/>
              <w:right w:val="single" w:color="auto" w:sz="8" w:space="0"/>
            </w:tcBorders>
            <w:shd w:val="clear" w:color="auto" w:fill="auto"/>
            <w:vAlign w:val="center"/>
          </w:tcPr>
          <w:p>
            <w:pPr>
              <w:pStyle w:val="12"/>
              <w:widowControl/>
              <w:spacing w:beforeAutospacing="0" w:afterAutospacing="0" w:line="280" w:lineRule="atLeas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4.岗位责任、健康管理和培训、采购索证索票、加工制作、餐用具消毒和保洁、餐厨废弃物处置、食品安全突发事件应急处置预案、投诉受理等制度，每缺一项扣1分。</w:t>
            </w:r>
          </w:p>
        </w:tc>
        <w:tc>
          <w:tcPr>
            <w:tcW w:w="773" w:type="dxa"/>
            <w:vMerge w:val="continue"/>
            <w:tcBorders>
              <w:top w:val="nil"/>
              <w:left w:val="nil"/>
              <w:bottom w:val="single" w:color="auto" w:sz="8" w:space="0"/>
              <w:right w:val="single" w:color="auto" w:sz="8" w:space="0"/>
            </w:tcBorders>
            <w:shd w:val="clear" w:color="auto" w:fill="auto"/>
            <w:vAlign w:val="center"/>
          </w:tcPr>
          <w:p>
            <w:pPr>
              <w:rPr>
                <w:rFonts w:ascii="宋体"/>
                <w:color w:val="auto"/>
                <w:sz w:val="24"/>
                <w:highlight w:val="none"/>
              </w:rPr>
            </w:pPr>
          </w:p>
        </w:tc>
        <w:tc>
          <w:tcPr>
            <w:tcW w:w="1239" w:type="dxa"/>
            <w:vMerge w:val="continue"/>
            <w:tcBorders>
              <w:top w:val="nil"/>
              <w:left w:val="nil"/>
              <w:bottom w:val="single" w:color="auto" w:sz="8" w:space="0"/>
              <w:right w:val="single" w:color="auto" w:sz="8" w:space="0"/>
            </w:tcBorders>
            <w:shd w:val="clear" w:color="auto" w:fill="auto"/>
            <w:vAlign w:val="center"/>
          </w:tcPr>
          <w:p>
            <w:pPr>
              <w:rPr>
                <w:rFonts w:ascii="宋体"/>
                <w:color w:val="auto"/>
                <w:sz w:val="24"/>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291" w:type="dxa"/>
            <w:vMerge w:val="restart"/>
            <w:tcBorders>
              <w:top w:val="nil"/>
              <w:left w:val="single" w:color="auto" w:sz="8" w:space="0"/>
              <w:bottom w:val="single" w:color="auto" w:sz="8" w:space="0"/>
              <w:right w:val="single" w:color="auto" w:sz="8" w:space="0"/>
            </w:tcBorders>
            <w:shd w:val="clear" w:color="auto" w:fill="auto"/>
            <w:vAlign w:val="center"/>
          </w:tcPr>
          <w:p>
            <w:pPr>
              <w:pStyle w:val="12"/>
              <w:widowControl/>
              <w:spacing w:beforeAutospacing="0" w:afterAutospacing="0" w:line="320" w:lineRule="atLeas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二、人员管理</w:t>
            </w:r>
          </w:p>
        </w:tc>
        <w:tc>
          <w:tcPr>
            <w:tcW w:w="6397" w:type="dxa"/>
            <w:tcBorders>
              <w:top w:val="nil"/>
              <w:left w:val="nil"/>
              <w:bottom w:val="single" w:color="auto" w:sz="8" w:space="0"/>
              <w:right w:val="single" w:color="auto" w:sz="8" w:space="0"/>
            </w:tcBorders>
            <w:shd w:val="clear" w:color="auto" w:fill="auto"/>
            <w:vAlign w:val="center"/>
          </w:tcPr>
          <w:p>
            <w:pPr>
              <w:pStyle w:val="12"/>
              <w:widowControl/>
              <w:spacing w:beforeAutospacing="0" w:afterAutospacing="0" w:line="280" w:lineRule="atLeas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5.未配备食品安全管理员，扣1分；从业人员不能提供有效健康证明，每发现1人，扣1分。</w:t>
            </w:r>
          </w:p>
        </w:tc>
        <w:tc>
          <w:tcPr>
            <w:tcW w:w="773" w:type="dxa"/>
            <w:vMerge w:val="restart"/>
            <w:tcBorders>
              <w:top w:val="nil"/>
              <w:left w:val="nil"/>
              <w:bottom w:val="single" w:color="auto" w:sz="8" w:space="0"/>
              <w:right w:val="single" w:color="auto" w:sz="8" w:space="0"/>
            </w:tcBorders>
            <w:shd w:val="clear" w:color="auto" w:fill="auto"/>
            <w:vAlign w:val="center"/>
          </w:tcPr>
          <w:p>
            <w:pPr>
              <w:pStyle w:val="12"/>
              <w:widowControl/>
              <w:spacing w:beforeAutospacing="0" w:afterAutospacing="0" w:line="320" w:lineRule="atLeast"/>
              <w:jc w:val="center"/>
              <w:rPr>
                <w:rFonts w:ascii="Times New Roman" w:hAnsi="Times New Roman"/>
                <w:color w:val="auto"/>
                <w:sz w:val="21"/>
                <w:szCs w:val="21"/>
                <w:highlight w:val="none"/>
              </w:rPr>
            </w:pPr>
            <w:r>
              <w:rPr>
                <w:rFonts w:ascii="Times New Roman" w:hAnsi="Times New Roman"/>
                <w:color w:val="auto"/>
                <w:sz w:val="21"/>
                <w:szCs w:val="21"/>
                <w:highlight w:val="none"/>
              </w:rPr>
              <w:t>10</w:t>
            </w:r>
          </w:p>
        </w:tc>
        <w:tc>
          <w:tcPr>
            <w:tcW w:w="1239" w:type="dxa"/>
            <w:vMerge w:val="restart"/>
            <w:tcBorders>
              <w:top w:val="nil"/>
              <w:left w:val="nil"/>
              <w:bottom w:val="single" w:color="auto" w:sz="8" w:space="0"/>
              <w:right w:val="single" w:color="auto" w:sz="8" w:space="0"/>
            </w:tcBorders>
            <w:shd w:val="clear" w:color="auto" w:fill="auto"/>
            <w:vAlign w:val="center"/>
          </w:tcPr>
          <w:p>
            <w:pPr>
              <w:pStyle w:val="12"/>
              <w:widowControl/>
              <w:spacing w:beforeAutospacing="0" w:afterAutospacing="0" w:line="320" w:lineRule="atLeast"/>
              <w:jc w:val="both"/>
              <w:rPr>
                <w:rFonts w:ascii="Times New Roman" w:hAnsi="Times New Roman"/>
                <w:color w:val="auto"/>
                <w:sz w:val="21"/>
                <w:szCs w:val="21"/>
                <w:highlight w:val="none"/>
              </w:rPr>
            </w:pPr>
            <w:r>
              <w:rPr>
                <w:rFonts w:ascii="Times New Roman" w:hAnsi="Times New Roman"/>
                <w:color w:val="auto"/>
                <w:sz w:val="21"/>
                <w:szCs w:val="21"/>
                <w:highlight w:val="none"/>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291"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hAnsi="宋体" w:eastAsia="宋体" w:cs="宋体"/>
                <w:color w:val="auto"/>
                <w:sz w:val="24"/>
                <w:highlight w:val="none"/>
              </w:rPr>
            </w:pPr>
          </w:p>
        </w:tc>
        <w:tc>
          <w:tcPr>
            <w:tcW w:w="6397" w:type="dxa"/>
            <w:tcBorders>
              <w:top w:val="nil"/>
              <w:left w:val="nil"/>
              <w:bottom w:val="single" w:color="auto" w:sz="8" w:space="0"/>
              <w:right w:val="single" w:color="auto" w:sz="8" w:space="0"/>
            </w:tcBorders>
            <w:shd w:val="clear" w:color="auto" w:fill="auto"/>
            <w:vAlign w:val="center"/>
          </w:tcPr>
          <w:p>
            <w:pPr>
              <w:pStyle w:val="12"/>
              <w:widowControl/>
              <w:spacing w:beforeAutospacing="0" w:afterAutospacing="0" w:line="280" w:lineRule="atLeas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不能提供晨检记录，扣2分；留长指甲、涂指甲油、佩带饰物、手部不清洁、在食品处理区内存放私人物品、吸烟和饮食等可能污染食品的行为，每发现一起扣0.5分；进入专间未更换清洁工作服、工作帽、未戴口罩，每发现一起扣1分。</w:t>
            </w:r>
          </w:p>
        </w:tc>
        <w:tc>
          <w:tcPr>
            <w:tcW w:w="773" w:type="dxa"/>
            <w:vMerge w:val="continue"/>
            <w:tcBorders>
              <w:top w:val="nil"/>
              <w:left w:val="nil"/>
              <w:bottom w:val="single" w:color="auto" w:sz="8" w:space="0"/>
              <w:right w:val="single" w:color="auto" w:sz="8" w:space="0"/>
            </w:tcBorders>
            <w:shd w:val="clear" w:color="auto" w:fill="auto"/>
            <w:vAlign w:val="center"/>
          </w:tcPr>
          <w:p>
            <w:pPr>
              <w:rPr>
                <w:rFonts w:ascii="宋体"/>
                <w:color w:val="auto"/>
                <w:sz w:val="24"/>
                <w:highlight w:val="none"/>
              </w:rPr>
            </w:pPr>
          </w:p>
        </w:tc>
        <w:tc>
          <w:tcPr>
            <w:tcW w:w="1239" w:type="dxa"/>
            <w:vMerge w:val="continue"/>
            <w:tcBorders>
              <w:top w:val="nil"/>
              <w:left w:val="nil"/>
              <w:bottom w:val="single" w:color="auto" w:sz="8" w:space="0"/>
              <w:right w:val="single" w:color="auto" w:sz="8" w:space="0"/>
            </w:tcBorders>
            <w:shd w:val="clear" w:color="auto" w:fill="auto"/>
            <w:vAlign w:val="center"/>
          </w:tcPr>
          <w:p>
            <w:pPr>
              <w:rPr>
                <w:rFonts w:ascii="宋体"/>
                <w:color w:val="auto"/>
                <w:sz w:val="24"/>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291"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hAnsi="宋体" w:eastAsia="宋体" w:cs="宋体"/>
                <w:color w:val="auto"/>
                <w:sz w:val="24"/>
                <w:highlight w:val="none"/>
              </w:rPr>
            </w:pPr>
          </w:p>
        </w:tc>
        <w:tc>
          <w:tcPr>
            <w:tcW w:w="6397" w:type="dxa"/>
            <w:tcBorders>
              <w:top w:val="nil"/>
              <w:left w:val="nil"/>
              <w:bottom w:val="single" w:color="auto" w:sz="8" w:space="0"/>
              <w:right w:val="single" w:color="auto" w:sz="8" w:space="0"/>
            </w:tcBorders>
            <w:shd w:val="clear" w:color="auto" w:fill="auto"/>
            <w:vAlign w:val="center"/>
          </w:tcPr>
          <w:p>
            <w:pPr>
              <w:pStyle w:val="12"/>
              <w:widowControl/>
              <w:spacing w:beforeAutospacing="0" w:afterAutospacing="0" w:line="280" w:lineRule="atLeas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7.未开展或参加食品安全知识培训，不能提供培训记录扣1分，从业人员不熟悉本职工作应具备的食品安全知识，每发现一人扣1分。</w:t>
            </w:r>
          </w:p>
        </w:tc>
        <w:tc>
          <w:tcPr>
            <w:tcW w:w="773" w:type="dxa"/>
            <w:vMerge w:val="continue"/>
            <w:tcBorders>
              <w:top w:val="nil"/>
              <w:left w:val="nil"/>
              <w:bottom w:val="single" w:color="auto" w:sz="8" w:space="0"/>
              <w:right w:val="single" w:color="auto" w:sz="8" w:space="0"/>
            </w:tcBorders>
            <w:shd w:val="clear" w:color="auto" w:fill="auto"/>
            <w:vAlign w:val="center"/>
          </w:tcPr>
          <w:p>
            <w:pPr>
              <w:rPr>
                <w:rFonts w:ascii="宋体"/>
                <w:color w:val="auto"/>
                <w:sz w:val="24"/>
                <w:highlight w:val="none"/>
              </w:rPr>
            </w:pPr>
          </w:p>
        </w:tc>
        <w:tc>
          <w:tcPr>
            <w:tcW w:w="1239" w:type="dxa"/>
            <w:vMerge w:val="continue"/>
            <w:tcBorders>
              <w:top w:val="nil"/>
              <w:left w:val="nil"/>
              <w:bottom w:val="single" w:color="auto" w:sz="8" w:space="0"/>
              <w:right w:val="single" w:color="auto" w:sz="8" w:space="0"/>
            </w:tcBorders>
            <w:shd w:val="clear" w:color="auto" w:fill="auto"/>
            <w:vAlign w:val="center"/>
          </w:tcPr>
          <w:p>
            <w:pPr>
              <w:rPr>
                <w:rFonts w:ascii="宋体"/>
                <w:color w:val="auto"/>
                <w:sz w:val="24"/>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291" w:type="dxa"/>
            <w:vMerge w:val="restart"/>
            <w:tcBorders>
              <w:top w:val="nil"/>
              <w:left w:val="single" w:color="auto" w:sz="8" w:space="0"/>
              <w:bottom w:val="single" w:color="auto" w:sz="8" w:space="0"/>
              <w:right w:val="single" w:color="auto" w:sz="8" w:space="0"/>
            </w:tcBorders>
            <w:shd w:val="clear" w:color="auto" w:fill="auto"/>
            <w:vAlign w:val="center"/>
          </w:tcPr>
          <w:p>
            <w:pPr>
              <w:pStyle w:val="12"/>
              <w:widowControl/>
              <w:spacing w:beforeAutospacing="0" w:afterAutospacing="0" w:line="320" w:lineRule="atLeas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三、场所环境</w:t>
            </w:r>
          </w:p>
        </w:tc>
        <w:tc>
          <w:tcPr>
            <w:tcW w:w="6397" w:type="dxa"/>
            <w:tcBorders>
              <w:top w:val="nil"/>
              <w:left w:val="nil"/>
              <w:bottom w:val="single" w:color="auto" w:sz="8" w:space="0"/>
              <w:right w:val="single" w:color="auto" w:sz="8" w:space="0"/>
            </w:tcBorders>
            <w:shd w:val="clear" w:color="auto" w:fill="auto"/>
            <w:vAlign w:val="center"/>
          </w:tcPr>
          <w:p>
            <w:pPr>
              <w:pStyle w:val="12"/>
              <w:widowControl/>
              <w:spacing w:beforeAutospacing="0" w:afterAutospacing="0" w:line="280" w:lineRule="atLeas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8.功能间（区）无标识，每发现一处扣1分；清洁工具存放与食品处理区未分开，扣1分。</w:t>
            </w:r>
          </w:p>
        </w:tc>
        <w:tc>
          <w:tcPr>
            <w:tcW w:w="773" w:type="dxa"/>
            <w:vMerge w:val="restart"/>
            <w:tcBorders>
              <w:top w:val="nil"/>
              <w:left w:val="nil"/>
              <w:bottom w:val="single" w:color="auto" w:sz="8" w:space="0"/>
              <w:right w:val="single" w:color="auto" w:sz="8" w:space="0"/>
            </w:tcBorders>
            <w:shd w:val="clear" w:color="auto" w:fill="auto"/>
            <w:vAlign w:val="center"/>
          </w:tcPr>
          <w:p>
            <w:pPr>
              <w:pStyle w:val="12"/>
              <w:widowControl/>
              <w:spacing w:beforeAutospacing="0" w:afterAutospacing="0" w:line="320" w:lineRule="atLeast"/>
              <w:jc w:val="center"/>
              <w:rPr>
                <w:rFonts w:ascii="Times New Roman" w:hAnsi="Times New Roman"/>
                <w:color w:val="auto"/>
                <w:sz w:val="21"/>
                <w:szCs w:val="21"/>
                <w:highlight w:val="none"/>
              </w:rPr>
            </w:pPr>
            <w:r>
              <w:rPr>
                <w:rFonts w:ascii="Times New Roman" w:hAnsi="Times New Roman"/>
                <w:color w:val="auto"/>
                <w:sz w:val="21"/>
                <w:szCs w:val="21"/>
                <w:highlight w:val="none"/>
              </w:rPr>
              <w:t>10</w:t>
            </w:r>
          </w:p>
        </w:tc>
        <w:tc>
          <w:tcPr>
            <w:tcW w:w="1239" w:type="dxa"/>
            <w:vMerge w:val="restart"/>
            <w:tcBorders>
              <w:top w:val="nil"/>
              <w:left w:val="nil"/>
              <w:bottom w:val="single" w:color="auto" w:sz="8" w:space="0"/>
              <w:right w:val="single" w:color="auto" w:sz="8" w:space="0"/>
            </w:tcBorders>
            <w:shd w:val="clear" w:color="auto" w:fill="auto"/>
            <w:vAlign w:val="center"/>
          </w:tcPr>
          <w:p>
            <w:pPr>
              <w:pStyle w:val="12"/>
              <w:widowControl/>
              <w:spacing w:beforeAutospacing="0" w:afterAutospacing="0" w:line="320" w:lineRule="atLeast"/>
              <w:jc w:val="both"/>
              <w:rPr>
                <w:rFonts w:ascii="Times New Roman" w:hAnsi="Times New Roman"/>
                <w:color w:val="auto"/>
                <w:sz w:val="21"/>
                <w:szCs w:val="21"/>
                <w:highlight w:val="none"/>
              </w:rPr>
            </w:pPr>
            <w:r>
              <w:rPr>
                <w:rFonts w:ascii="Times New Roman" w:hAnsi="Times New Roman"/>
                <w:color w:val="auto"/>
                <w:sz w:val="21"/>
                <w:szCs w:val="21"/>
                <w:highlight w:val="none"/>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291"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hAnsi="宋体" w:eastAsia="宋体" w:cs="宋体"/>
                <w:color w:val="auto"/>
                <w:sz w:val="24"/>
                <w:highlight w:val="none"/>
              </w:rPr>
            </w:pPr>
          </w:p>
        </w:tc>
        <w:tc>
          <w:tcPr>
            <w:tcW w:w="6397" w:type="dxa"/>
            <w:tcBorders>
              <w:top w:val="nil"/>
              <w:left w:val="nil"/>
              <w:bottom w:val="single" w:color="auto" w:sz="8" w:space="0"/>
              <w:right w:val="single" w:color="auto" w:sz="8" w:space="0"/>
            </w:tcBorders>
            <w:shd w:val="clear" w:color="auto" w:fill="auto"/>
            <w:vAlign w:val="center"/>
          </w:tcPr>
          <w:p>
            <w:pPr>
              <w:pStyle w:val="12"/>
              <w:widowControl/>
              <w:spacing w:beforeAutospacing="0" w:afterAutospacing="0" w:line="280" w:lineRule="atLeas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9.场所内发现鼠迹、蟑螂或苍蝇等，扣1分。</w:t>
            </w:r>
          </w:p>
        </w:tc>
        <w:tc>
          <w:tcPr>
            <w:tcW w:w="773" w:type="dxa"/>
            <w:vMerge w:val="continue"/>
            <w:tcBorders>
              <w:top w:val="nil"/>
              <w:left w:val="nil"/>
              <w:bottom w:val="single" w:color="auto" w:sz="8" w:space="0"/>
              <w:right w:val="single" w:color="auto" w:sz="8" w:space="0"/>
            </w:tcBorders>
            <w:shd w:val="clear" w:color="auto" w:fill="auto"/>
            <w:vAlign w:val="center"/>
          </w:tcPr>
          <w:p>
            <w:pPr>
              <w:rPr>
                <w:rFonts w:ascii="宋体"/>
                <w:color w:val="auto"/>
                <w:sz w:val="24"/>
                <w:highlight w:val="none"/>
              </w:rPr>
            </w:pPr>
          </w:p>
        </w:tc>
        <w:tc>
          <w:tcPr>
            <w:tcW w:w="1239" w:type="dxa"/>
            <w:vMerge w:val="continue"/>
            <w:tcBorders>
              <w:top w:val="nil"/>
              <w:left w:val="nil"/>
              <w:bottom w:val="single" w:color="auto" w:sz="8" w:space="0"/>
              <w:right w:val="single" w:color="auto" w:sz="8" w:space="0"/>
            </w:tcBorders>
            <w:shd w:val="clear" w:color="auto" w:fill="auto"/>
            <w:vAlign w:val="center"/>
          </w:tcPr>
          <w:p>
            <w:pPr>
              <w:rPr>
                <w:rFonts w:ascii="宋体"/>
                <w:color w:val="auto"/>
                <w:sz w:val="24"/>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291"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hAnsi="宋体" w:eastAsia="宋体" w:cs="宋体"/>
                <w:color w:val="auto"/>
                <w:sz w:val="24"/>
                <w:highlight w:val="none"/>
              </w:rPr>
            </w:pPr>
          </w:p>
        </w:tc>
        <w:tc>
          <w:tcPr>
            <w:tcW w:w="6397" w:type="dxa"/>
            <w:tcBorders>
              <w:top w:val="nil"/>
              <w:left w:val="nil"/>
              <w:bottom w:val="single" w:color="auto" w:sz="8" w:space="0"/>
              <w:right w:val="single" w:color="auto" w:sz="8" w:space="0"/>
            </w:tcBorders>
            <w:shd w:val="clear" w:color="auto" w:fill="auto"/>
            <w:vAlign w:val="center"/>
          </w:tcPr>
          <w:p>
            <w:pPr>
              <w:pStyle w:val="12"/>
              <w:widowControl/>
              <w:spacing w:beforeAutospacing="0" w:afterAutospacing="0" w:line="280" w:lineRule="atLeas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10.墙面、天花板、门窗和地面不清洁、积垢、霉斑，每处扣0.5分；地面油腻湿滑，每处扣0.5分。</w:t>
            </w:r>
          </w:p>
        </w:tc>
        <w:tc>
          <w:tcPr>
            <w:tcW w:w="773" w:type="dxa"/>
            <w:vMerge w:val="continue"/>
            <w:tcBorders>
              <w:top w:val="nil"/>
              <w:left w:val="nil"/>
              <w:bottom w:val="single" w:color="auto" w:sz="8" w:space="0"/>
              <w:right w:val="single" w:color="auto" w:sz="8" w:space="0"/>
            </w:tcBorders>
            <w:shd w:val="clear" w:color="auto" w:fill="auto"/>
            <w:vAlign w:val="center"/>
          </w:tcPr>
          <w:p>
            <w:pPr>
              <w:rPr>
                <w:rFonts w:ascii="宋体"/>
                <w:color w:val="auto"/>
                <w:sz w:val="24"/>
                <w:highlight w:val="none"/>
              </w:rPr>
            </w:pPr>
          </w:p>
        </w:tc>
        <w:tc>
          <w:tcPr>
            <w:tcW w:w="1239" w:type="dxa"/>
            <w:vMerge w:val="continue"/>
            <w:tcBorders>
              <w:top w:val="nil"/>
              <w:left w:val="nil"/>
              <w:bottom w:val="single" w:color="auto" w:sz="8" w:space="0"/>
              <w:right w:val="single" w:color="auto" w:sz="8" w:space="0"/>
            </w:tcBorders>
            <w:shd w:val="clear" w:color="auto" w:fill="auto"/>
            <w:vAlign w:val="center"/>
          </w:tcPr>
          <w:p>
            <w:pPr>
              <w:rPr>
                <w:rFonts w:ascii="宋体"/>
                <w:color w:val="auto"/>
                <w:sz w:val="24"/>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291"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hAnsi="宋体" w:eastAsia="宋体" w:cs="宋体"/>
                <w:color w:val="auto"/>
                <w:sz w:val="24"/>
                <w:highlight w:val="none"/>
              </w:rPr>
            </w:pPr>
          </w:p>
        </w:tc>
        <w:tc>
          <w:tcPr>
            <w:tcW w:w="6397" w:type="dxa"/>
            <w:tcBorders>
              <w:top w:val="nil"/>
              <w:left w:val="nil"/>
              <w:bottom w:val="single" w:color="auto" w:sz="8" w:space="0"/>
              <w:right w:val="single" w:color="auto" w:sz="8" w:space="0"/>
            </w:tcBorders>
            <w:shd w:val="clear" w:color="auto" w:fill="auto"/>
            <w:vAlign w:val="center"/>
          </w:tcPr>
          <w:p>
            <w:pPr>
              <w:pStyle w:val="12"/>
              <w:widowControl/>
              <w:spacing w:beforeAutospacing="0" w:afterAutospacing="0" w:line="280" w:lineRule="atLeast"/>
              <w:jc w:val="both"/>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11.不能提供餐厨废弃物回收协议、处置台帐、废弃物回收单位资质证明，各扣1分；废弃物容器未配盖子、外观不清洁，各扣0.5分。</w:t>
            </w:r>
          </w:p>
        </w:tc>
        <w:tc>
          <w:tcPr>
            <w:tcW w:w="773" w:type="dxa"/>
            <w:vMerge w:val="continue"/>
            <w:tcBorders>
              <w:top w:val="nil"/>
              <w:left w:val="nil"/>
              <w:bottom w:val="single" w:color="auto" w:sz="8" w:space="0"/>
              <w:right w:val="single" w:color="auto" w:sz="8" w:space="0"/>
            </w:tcBorders>
            <w:shd w:val="clear" w:color="auto" w:fill="auto"/>
            <w:vAlign w:val="center"/>
          </w:tcPr>
          <w:p>
            <w:pPr>
              <w:rPr>
                <w:rFonts w:ascii="宋体"/>
                <w:color w:val="auto"/>
                <w:sz w:val="24"/>
                <w:highlight w:val="none"/>
              </w:rPr>
            </w:pPr>
          </w:p>
        </w:tc>
        <w:tc>
          <w:tcPr>
            <w:tcW w:w="1239" w:type="dxa"/>
            <w:vMerge w:val="continue"/>
            <w:tcBorders>
              <w:top w:val="nil"/>
              <w:left w:val="nil"/>
              <w:bottom w:val="single" w:color="auto" w:sz="8" w:space="0"/>
              <w:right w:val="single" w:color="auto" w:sz="8" w:space="0"/>
            </w:tcBorders>
            <w:shd w:val="clear" w:color="auto" w:fill="auto"/>
            <w:vAlign w:val="center"/>
          </w:tcPr>
          <w:p>
            <w:pPr>
              <w:rPr>
                <w:rFonts w:ascii="宋体"/>
                <w:color w:val="auto"/>
                <w:sz w:val="24"/>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291" w:type="dxa"/>
            <w:vMerge w:val="restart"/>
            <w:tcBorders>
              <w:top w:val="nil"/>
              <w:left w:val="single" w:color="auto" w:sz="8" w:space="0"/>
              <w:bottom w:val="single" w:color="auto" w:sz="8" w:space="0"/>
              <w:right w:val="single" w:color="auto" w:sz="8" w:space="0"/>
            </w:tcBorders>
            <w:shd w:val="clear" w:color="auto" w:fill="auto"/>
            <w:vAlign w:val="center"/>
          </w:tcPr>
          <w:p>
            <w:pPr>
              <w:pStyle w:val="12"/>
              <w:widowControl/>
              <w:spacing w:beforeAutospacing="0" w:afterAutospacing="0" w:line="32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四、设施设备</w:t>
            </w:r>
          </w:p>
        </w:tc>
        <w:tc>
          <w:tcPr>
            <w:tcW w:w="6397" w:type="dxa"/>
            <w:tcBorders>
              <w:top w:val="nil"/>
              <w:left w:val="nil"/>
              <w:bottom w:val="single" w:color="auto" w:sz="8" w:space="0"/>
              <w:right w:val="single" w:color="auto" w:sz="8" w:space="0"/>
            </w:tcBorders>
            <w:shd w:val="clear" w:color="auto" w:fill="auto"/>
            <w:vAlign w:val="center"/>
          </w:tcPr>
          <w:p>
            <w:pPr>
              <w:pStyle w:val="12"/>
              <w:widowControl/>
              <w:spacing w:beforeAutospacing="0" w:afterAutospacing="0" w:line="280" w:lineRule="atLeas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12.未</w:t>
            </w:r>
            <w:r>
              <w:rPr>
                <w:rFonts w:hint="eastAsia" w:ascii="宋体" w:hAnsi="宋体" w:eastAsia="宋体" w:cs="宋体"/>
                <w:color w:val="auto"/>
                <w:sz w:val="21"/>
                <w:szCs w:val="21"/>
                <w:highlight w:val="none"/>
                <w:lang w:val="en-US" w:eastAsia="zh-CN"/>
              </w:rPr>
              <w:t>配备</w:t>
            </w:r>
            <w:r>
              <w:rPr>
                <w:rFonts w:hint="eastAsia" w:ascii="宋体" w:hAnsi="宋体" w:eastAsia="宋体" w:cs="宋体"/>
                <w:color w:val="auto"/>
                <w:sz w:val="21"/>
                <w:szCs w:val="21"/>
                <w:highlight w:val="none"/>
              </w:rPr>
              <w:t>洗手消毒设施、餐具消毒和保洁设施，每处扣2分，设施无明显标识、数量不能满足经营需要，每处扣1分。</w:t>
            </w:r>
          </w:p>
        </w:tc>
        <w:tc>
          <w:tcPr>
            <w:tcW w:w="773" w:type="dxa"/>
            <w:vMerge w:val="restart"/>
            <w:tcBorders>
              <w:top w:val="nil"/>
              <w:left w:val="nil"/>
              <w:bottom w:val="single" w:color="auto" w:sz="8" w:space="0"/>
              <w:right w:val="single" w:color="auto" w:sz="8" w:space="0"/>
            </w:tcBorders>
            <w:shd w:val="clear" w:color="auto" w:fill="auto"/>
            <w:vAlign w:val="center"/>
          </w:tcPr>
          <w:p>
            <w:pPr>
              <w:pStyle w:val="12"/>
              <w:widowControl/>
              <w:spacing w:beforeAutospacing="0" w:afterAutospacing="0" w:line="320" w:lineRule="atLeast"/>
              <w:jc w:val="center"/>
              <w:rPr>
                <w:rFonts w:ascii="Times New Roman" w:hAnsi="Times New Roman"/>
                <w:color w:val="auto"/>
                <w:sz w:val="21"/>
                <w:szCs w:val="21"/>
                <w:highlight w:val="none"/>
              </w:rPr>
            </w:pPr>
            <w:r>
              <w:rPr>
                <w:rFonts w:ascii="Times New Roman" w:hAnsi="Times New Roman"/>
                <w:color w:val="auto"/>
                <w:sz w:val="21"/>
                <w:szCs w:val="21"/>
                <w:highlight w:val="none"/>
              </w:rPr>
              <w:t>12</w:t>
            </w:r>
          </w:p>
        </w:tc>
        <w:tc>
          <w:tcPr>
            <w:tcW w:w="1239" w:type="dxa"/>
            <w:vMerge w:val="restart"/>
            <w:tcBorders>
              <w:top w:val="nil"/>
              <w:left w:val="nil"/>
              <w:bottom w:val="single" w:color="auto" w:sz="8" w:space="0"/>
              <w:right w:val="single" w:color="auto" w:sz="8" w:space="0"/>
            </w:tcBorders>
            <w:shd w:val="clear" w:color="auto" w:fill="auto"/>
            <w:vAlign w:val="center"/>
          </w:tcPr>
          <w:p>
            <w:pPr>
              <w:pStyle w:val="12"/>
              <w:widowControl/>
              <w:spacing w:beforeAutospacing="0" w:afterAutospacing="0" w:line="320" w:lineRule="atLeast"/>
              <w:jc w:val="both"/>
              <w:rPr>
                <w:rFonts w:ascii="Times New Roman" w:hAnsi="Times New Roman"/>
                <w:color w:val="auto"/>
                <w:sz w:val="21"/>
                <w:szCs w:val="21"/>
                <w:highlight w:val="none"/>
              </w:rPr>
            </w:pPr>
            <w:r>
              <w:rPr>
                <w:rFonts w:ascii="Times New Roman" w:hAnsi="Times New Roman"/>
                <w:color w:val="auto"/>
                <w:sz w:val="21"/>
                <w:szCs w:val="21"/>
                <w:highlight w:val="none"/>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291"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hAnsi="宋体" w:eastAsia="宋体" w:cs="宋体"/>
                <w:color w:val="auto"/>
                <w:sz w:val="24"/>
                <w:highlight w:val="none"/>
              </w:rPr>
            </w:pPr>
          </w:p>
        </w:tc>
        <w:tc>
          <w:tcPr>
            <w:tcW w:w="6397" w:type="dxa"/>
            <w:tcBorders>
              <w:top w:val="nil"/>
              <w:left w:val="nil"/>
              <w:bottom w:val="single" w:color="auto" w:sz="8" w:space="0"/>
              <w:right w:val="single" w:color="auto" w:sz="8" w:space="0"/>
            </w:tcBorders>
            <w:shd w:val="clear" w:color="auto" w:fill="auto"/>
            <w:vAlign w:val="center"/>
          </w:tcPr>
          <w:p>
            <w:pPr>
              <w:pStyle w:val="12"/>
              <w:widowControl/>
              <w:spacing w:beforeAutospacing="0" w:afterAutospacing="0" w:line="280" w:lineRule="atLeas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13.通风排烟设施表面污垢严重，扣1分；排气口未装防止有害动物侵入的网罩，扣0.5分；安装在</w:t>
            </w:r>
            <w:r>
              <w:rPr>
                <w:rFonts w:hint="eastAsia" w:ascii="宋体" w:hAnsi="宋体" w:eastAsia="宋体" w:cs="宋体"/>
                <w:color w:val="auto"/>
                <w:sz w:val="21"/>
                <w:szCs w:val="21"/>
                <w:highlight w:val="none"/>
                <w:lang w:val="en-US" w:eastAsia="zh-CN"/>
              </w:rPr>
              <w:t>无预包装</w:t>
            </w:r>
            <w:r>
              <w:rPr>
                <w:rFonts w:hint="eastAsia" w:ascii="宋体" w:hAnsi="宋体" w:eastAsia="宋体" w:cs="宋体"/>
                <w:color w:val="auto"/>
                <w:sz w:val="21"/>
                <w:szCs w:val="21"/>
                <w:highlight w:val="none"/>
              </w:rPr>
              <w:t>食品正上方的照明设施未使用防护罩，扣0.5分。</w:t>
            </w:r>
          </w:p>
        </w:tc>
        <w:tc>
          <w:tcPr>
            <w:tcW w:w="773" w:type="dxa"/>
            <w:vMerge w:val="continue"/>
            <w:tcBorders>
              <w:top w:val="nil"/>
              <w:left w:val="nil"/>
              <w:bottom w:val="single" w:color="auto" w:sz="8" w:space="0"/>
              <w:right w:val="single" w:color="auto" w:sz="8" w:space="0"/>
            </w:tcBorders>
            <w:shd w:val="clear" w:color="auto" w:fill="auto"/>
            <w:vAlign w:val="center"/>
          </w:tcPr>
          <w:p>
            <w:pPr>
              <w:rPr>
                <w:rFonts w:ascii="宋体"/>
                <w:color w:val="auto"/>
                <w:sz w:val="24"/>
                <w:highlight w:val="none"/>
              </w:rPr>
            </w:pPr>
          </w:p>
        </w:tc>
        <w:tc>
          <w:tcPr>
            <w:tcW w:w="1239" w:type="dxa"/>
            <w:vMerge w:val="continue"/>
            <w:tcBorders>
              <w:top w:val="nil"/>
              <w:left w:val="nil"/>
              <w:bottom w:val="single" w:color="auto" w:sz="8" w:space="0"/>
              <w:right w:val="single" w:color="auto" w:sz="8" w:space="0"/>
            </w:tcBorders>
            <w:shd w:val="clear" w:color="auto" w:fill="auto"/>
            <w:vAlign w:val="center"/>
          </w:tcPr>
          <w:p>
            <w:pPr>
              <w:rPr>
                <w:rFonts w:ascii="宋体"/>
                <w:color w:val="auto"/>
                <w:sz w:val="24"/>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291"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hAnsi="宋体" w:eastAsia="宋体" w:cs="宋体"/>
                <w:color w:val="auto"/>
                <w:sz w:val="24"/>
                <w:highlight w:val="none"/>
              </w:rPr>
            </w:pPr>
          </w:p>
        </w:tc>
        <w:tc>
          <w:tcPr>
            <w:tcW w:w="6397" w:type="dxa"/>
            <w:tcBorders>
              <w:top w:val="nil"/>
              <w:left w:val="nil"/>
              <w:bottom w:val="single" w:color="auto" w:sz="8" w:space="0"/>
              <w:right w:val="single" w:color="auto" w:sz="8" w:space="0"/>
            </w:tcBorders>
            <w:shd w:val="clear" w:color="auto" w:fill="auto"/>
            <w:vAlign w:val="center"/>
          </w:tcPr>
          <w:p>
            <w:pPr>
              <w:pStyle w:val="12"/>
              <w:widowControl/>
              <w:spacing w:beforeAutospacing="0" w:afterAutospacing="0" w:line="280" w:lineRule="atLeas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14.肉类、蔬菜类、水产品专用清洗水池，每缺一类扣2分；餐具、拖把与工用具专用清洗水池，每缺一类扣2分。</w:t>
            </w:r>
          </w:p>
        </w:tc>
        <w:tc>
          <w:tcPr>
            <w:tcW w:w="773" w:type="dxa"/>
            <w:vMerge w:val="continue"/>
            <w:tcBorders>
              <w:top w:val="nil"/>
              <w:left w:val="nil"/>
              <w:bottom w:val="single" w:color="auto" w:sz="8" w:space="0"/>
              <w:right w:val="single" w:color="auto" w:sz="8" w:space="0"/>
            </w:tcBorders>
            <w:shd w:val="clear" w:color="auto" w:fill="auto"/>
            <w:vAlign w:val="center"/>
          </w:tcPr>
          <w:p>
            <w:pPr>
              <w:rPr>
                <w:rFonts w:ascii="宋体"/>
                <w:color w:val="auto"/>
                <w:sz w:val="24"/>
                <w:highlight w:val="none"/>
              </w:rPr>
            </w:pPr>
          </w:p>
        </w:tc>
        <w:tc>
          <w:tcPr>
            <w:tcW w:w="1239" w:type="dxa"/>
            <w:vMerge w:val="continue"/>
            <w:tcBorders>
              <w:top w:val="nil"/>
              <w:left w:val="nil"/>
              <w:bottom w:val="single" w:color="auto" w:sz="8" w:space="0"/>
              <w:right w:val="single" w:color="auto" w:sz="8" w:space="0"/>
            </w:tcBorders>
            <w:shd w:val="clear" w:color="auto" w:fill="auto"/>
            <w:vAlign w:val="center"/>
          </w:tcPr>
          <w:p>
            <w:pPr>
              <w:rPr>
                <w:rFonts w:ascii="宋体"/>
                <w:color w:val="auto"/>
                <w:sz w:val="24"/>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291"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hAnsi="宋体" w:eastAsia="宋体" w:cs="宋体"/>
                <w:color w:val="auto"/>
                <w:sz w:val="24"/>
                <w:highlight w:val="none"/>
              </w:rPr>
            </w:pPr>
          </w:p>
        </w:tc>
        <w:tc>
          <w:tcPr>
            <w:tcW w:w="6397" w:type="dxa"/>
            <w:tcBorders>
              <w:top w:val="nil"/>
              <w:left w:val="nil"/>
              <w:bottom w:val="single" w:color="auto" w:sz="8" w:space="0"/>
              <w:right w:val="single" w:color="auto" w:sz="8" w:space="0"/>
            </w:tcBorders>
            <w:shd w:val="clear" w:color="auto" w:fill="auto"/>
            <w:vAlign w:val="center"/>
          </w:tcPr>
          <w:p>
            <w:pPr>
              <w:pStyle w:val="12"/>
              <w:widowControl/>
              <w:spacing w:beforeAutospacing="0" w:afterAutospacing="0" w:line="280" w:lineRule="atLeas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15.未查见防尘防鼠防虫害设施，扣2分；接触食品的设备、工具、容器、包装材料等不符合食品安全标准或要求，各扣0.5分；生熟食品的加工工具和容器未分开使用，无明显区分标识，各扣1分。</w:t>
            </w:r>
          </w:p>
        </w:tc>
        <w:tc>
          <w:tcPr>
            <w:tcW w:w="773" w:type="dxa"/>
            <w:vMerge w:val="continue"/>
            <w:tcBorders>
              <w:top w:val="nil"/>
              <w:left w:val="nil"/>
              <w:bottom w:val="single" w:color="auto" w:sz="8" w:space="0"/>
              <w:right w:val="single" w:color="auto" w:sz="8" w:space="0"/>
            </w:tcBorders>
            <w:shd w:val="clear" w:color="auto" w:fill="auto"/>
            <w:vAlign w:val="center"/>
          </w:tcPr>
          <w:p>
            <w:pPr>
              <w:rPr>
                <w:rFonts w:ascii="宋体"/>
                <w:color w:val="auto"/>
                <w:sz w:val="24"/>
                <w:highlight w:val="none"/>
              </w:rPr>
            </w:pPr>
          </w:p>
        </w:tc>
        <w:tc>
          <w:tcPr>
            <w:tcW w:w="1239" w:type="dxa"/>
            <w:vMerge w:val="continue"/>
            <w:tcBorders>
              <w:top w:val="nil"/>
              <w:left w:val="nil"/>
              <w:bottom w:val="single" w:color="auto" w:sz="8" w:space="0"/>
              <w:right w:val="single" w:color="auto" w:sz="8" w:space="0"/>
            </w:tcBorders>
            <w:shd w:val="clear" w:color="auto" w:fill="auto"/>
            <w:vAlign w:val="center"/>
          </w:tcPr>
          <w:p>
            <w:pPr>
              <w:rPr>
                <w:rFonts w:ascii="宋体"/>
                <w:color w:val="auto"/>
                <w:sz w:val="24"/>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291"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hAnsi="宋体" w:eastAsia="宋体" w:cs="宋体"/>
                <w:color w:val="auto"/>
                <w:sz w:val="24"/>
                <w:highlight w:val="none"/>
              </w:rPr>
            </w:pPr>
          </w:p>
        </w:tc>
        <w:tc>
          <w:tcPr>
            <w:tcW w:w="6397" w:type="dxa"/>
            <w:tcBorders>
              <w:top w:val="nil"/>
              <w:left w:val="nil"/>
              <w:bottom w:val="single" w:color="auto" w:sz="8" w:space="0"/>
              <w:right w:val="single" w:color="auto" w:sz="8" w:space="0"/>
            </w:tcBorders>
            <w:shd w:val="clear" w:color="auto" w:fill="auto"/>
            <w:vAlign w:val="center"/>
          </w:tcPr>
          <w:p>
            <w:pPr>
              <w:pStyle w:val="12"/>
              <w:widowControl/>
              <w:spacing w:beforeAutospacing="0" w:afterAutospacing="0" w:line="280" w:lineRule="atLeas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16.紫外线灯、净水设备、制冰设备等直接影响食品安全的设备无定期维护检修记录，扣1分；冷藏设施不能正常运转，未定期进行清洗消毒，扣2分。</w:t>
            </w:r>
          </w:p>
        </w:tc>
        <w:tc>
          <w:tcPr>
            <w:tcW w:w="773" w:type="dxa"/>
            <w:vMerge w:val="continue"/>
            <w:tcBorders>
              <w:top w:val="nil"/>
              <w:left w:val="nil"/>
              <w:bottom w:val="single" w:color="auto" w:sz="8" w:space="0"/>
              <w:right w:val="single" w:color="auto" w:sz="8" w:space="0"/>
            </w:tcBorders>
            <w:shd w:val="clear" w:color="auto" w:fill="auto"/>
            <w:vAlign w:val="center"/>
          </w:tcPr>
          <w:p>
            <w:pPr>
              <w:rPr>
                <w:rFonts w:ascii="宋体"/>
                <w:color w:val="auto"/>
                <w:sz w:val="24"/>
                <w:highlight w:val="none"/>
              </w:rPr>
            </w:pPr>
          </w:p>
        </w:tc>
        <w:tc>
          <w:tcPr>
            <w:tcW w:w="1239" w:type="dxa"/>
            <w:vMerge w:val="continue"/>
            <w:tcBorders>
              <w:top w:val="nil"/>
              <w:left w:val="nil"/>
              <w:bottom w:val="single" w:color="auto" w:sz="8" w:space="0"/>
              <w:right w:val="single" w:color="auto" w:sz="8" w:space="0"/>
            </w:tcBorders>
            <w:shd w:val="clear" w:color="auto" w:fill="auto"/>
            <w:vAlign w:val="center"/>
          </w:tcPr>
          <w:p>
            <w:pPr>
              <w:rPr>
                <w:rFonts w:ascii="宋体"/>
                <w:color w:val="auto"/>
                <w:sz w:val="24"/>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9" w:hRule="atLeast"/>
          <w:jc w:val="center"/>
        </w:trPr>
        <w:tc>
          <w:tcPr>
            <w:tcW w:w="1291" w:type="dxa"/>
            <w:vMerge w:val="restart"/>
            <w:tcBorders>
              <w:top w:val="nil"/>
              <w:left w:val="single" w:color="auto" w:sz="8" w:space="0"/>
              <w:bottom w:val="single" w:color="auto" w:sz="8" w:space="0"/>
              <w:right w:val="single" w:color="auto" w:sz="8" w:space="0"/>
            </w:tcBorders>
            <w:shd w:val="clear" w:color="auto" w:fill="auto"/>
            <w:vAlign w:val="center"/>
          </w:tcPr>
          <w:p>
            <w:pPr>
              <w:pStyle w:val="12"/>
              <w:widowControl/>
              <w:spacing w:beforeAutospacing="0" w:afterAutospacing="0" w:line="320" w:lineRule="atLeas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五、采购贮存</w:t>
            </w:r>
          </w:p>
        </w:tc>
        <w:tc>
          <w:tcPr>
            <w:tcW w:w="6397" w:type="dxa"/>
            <w:tcBorders>
              <w:top w:val="nil"/>
              <w:left w:val="nil"/>
              <w:bottom w:val="single" w:color="auto" w:sz="8" w:space="0"/>
              <w:right w:val="single" w:color="auto" w:sz="8" w:space="0"/>
            </w:tcBorders>
            <w:shd w:val="clear" w:color="auto" w:fill="auto"/>
            <w:vAlign w:val="center"/>
          </w:tcPr>
          <w:p>
            <w:pPr>
              <w:pStyle w:val="12"/>
              <w:widowControl/>
              <w:spacing w:beforeAutospacing="0" w:afterAutospacing="0" w:line="280" w:lineRule="atLeas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17.现场检查发现了禁止经营的食品及原料，扣3分。</w:t>
            </w:r>
            <w:r>
              <w:rPr>
                <w:rFonts w:hint="eastAsia" w:ascii="宋体" w:hAnsi="宋体" w:eastAsia="宋体" w:cs="宋体"/>
                <w:color w:val="auto"/>
                <w:sz w:val="21"/>
                <w:szCs w:val="21"/>
                <w:highlight w:val="none"/>
                <w:lang w:eastAsia="zh-CN"/>
              </w:rPr>
              <w:t>▲</w:t>
            </w:r>
          </w:p>
        </w:tc>
        <w:tc>
          <w:tcPr>
            <w:tcW w:w="773" w:type="dxa"/>
            <w:vMerge w:val="restart"/>
            <w:tcBorders>
              <w:top w:val="nil"/>
              <w:left w:val="nil"/>
              <w:bottom w:val="single" w:color="auto" w:sz="8" w:space="0"/>
              <w:right w:val="single" w:color="auto" w:sz="8" w:space="0"/>
            </w:tcBorders>
            <w:shd w:val="clear" w:color="auto" w:fill="auto"/>
            <w:vAlign w:val="center"/>
          </w:tcPr>
          <w:p>
            <w:pPr>
              <w:pStyle w:val="12"/>
              <w:widowControl/>
              <w:spacing w:beforeAutospacing="0" w:afterAutospacing="0" w:line="320" w:lineRule="atLeast"/>
              <w:jc w:val="center"/>
              <w:rPr>
                <w:rFonts w:ascii="Times New Roman" w:hAnsi="Times New Roman"/>
                <w:color w:val="auto"/>
                <w:sz w:val="21"/>
                <w:szCs w:val="21"/>
                <w:highlight w:val="none"/>
              </w:rPr>
            </w:pPr>
            <w:r>
              <w:rPr>
                <w:rFonts w:ascii="Times New Roman" w:hAnsi="Times New Roman"/>
                <w:color w:val="auto"/>
                <w:sz w:val="21"/>
                <w:szCs w:val="21"/>
                <w:highlight w:val="none"/>
              </w:rPr>
              <w:t>12</w:t>
            </w:r>
          </w:p>
        </w:tc>
        <w:tc>
          <w:tcPr>
            <w:tcW w:w="1239" w:type="dxa"/>
            <w:vMerge w:val="restart"/>
            <w:tcBorders>
              <w:top w:val="nil"/>
              <w:left w:val="nil"/>
              <w:bottom w:val="single" w:color="auto" w:sz="8" w:space="0"/>
              <w:right w:val="single" w:color="auto" w:sz="8" w:space="0"/>
            </w:tcBorders>
            <w:shd w:val="clear" w:color="auto" w:fill="auto"/>
            <w:vAlign w:val="center"/>
          </w:tcPr>
          <w:p>
            <w:pPr>
              <w:pStyle w:val="12"/>
              <w:widowControl/>
              <w:spacing w:beforeAutospacing="0" w:afterAutospacing="0" w:line="320" w:lineRule="atLeast"/>
              <w:jc w:val="both"/>
              <w:rPr>
                <w:rFonts w:ascii="Times New Roman" w:hAnsi="Times New Roman"/>
                <w:color w:val="auto"/>
                <w:sz w:val="21"/>
                <w:szCs w:val="21"/>
                <w:highlight w:val="none"/>
              </w:rPr>
            </w:pPr>
            <w:r>
              <w:rPr>
                <w:rFonts w:ascii="Times New Roman" w:hAnsi="Times New Roman"/>
                <w:color w:val="auto"/>
                <w:sz w:val="21"/>
                <w:szCs w:val="21"/>
                <w:highlight w:val="none"/>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60" w:hRule="atLeast"/>
          <w:jc w:val="center"/>
        </w:trPr>
        <w:tc>
          <w:tcPr>
            <w:tcW w:w="1291"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hAnsi="宋体" w:eastAsia="宋体" w:cs="宋体"/>
                <w:color w:val="auto"/>
                <w:sz w:val="24"/>
                <w:highlight w:val="none"/>
              </w:rPr>
            </w:pPr>
          </w:p>
        </w:tc>
        <w:tc>
          <w:tcPr>
            <w:tcW w:w="6397" w:type="dxa"/>
            <w:tcBorders>
              <w:top w:val="nil"/>
              <w:left w:val="nil"/>
              <w:bottom w:val="single" w:color="auto" w:sz="8" w:space="0"/>
              <w:right w:val="single" w:color="auto" w:sz="8" w:space="0"/>
            </w:tcBorders>
            <w:shd w:val="clear" w:color="auto" w:fill="auto"/>
            <w:vAlign w:val="center"/>
          </w:tcPr>
          <w:p>
            <w:pPr>
              <w:pStyle w:val="12"/>
              <w:widowControl/>
              <w:spacing w:beforeAutospacing="0" w:afterAutospacing="0" w:line="280" w:lineRule="atLeas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18.食品、食品原料及食品添加剂未建立索证索票和台帐记录，各扣2分；食品相关产品未建立索证索票和台帐记录，扣1分；索证索票和台帐记录不全，扣1分。</w:t>
            </w:r>
          </w:p>
        </w:tc>
        <w:tc>
          <w:tcPr>
            <w:tcW w:w="773" w:type="dxa"/>
            <w:vMerge w:val="continue"/>
            <w:tcBorders>
              <w:top w:val="nil"/>
              <w:left w:val="nil"/>
              <w:bottom w:val="single" w:color="auto" w:sz="8" w:space="0"/>
              <w:right w:val="single" w:color="auto" w:sz="8" w:space="0"/>
            </w:tcBorders>
            <w:shd w:val="clear" w:color="auto" w:fill="auto"/>
            <w:vAlign w:val="center"/>
          </w:tcPr>
          <w:p>
            <w:pPr>
              <w:rPr>
                <w:rFonts w:ascii="宋体"/>
                <w:color w:val="auto"/>
                <w:sz w:val="24"/>
                <w:highlight w:val="none"/>
              </w:rPr>
            </w:pPr>
          </w:p>
        </w:tc>
        <w:tc>
          <w:tcPr>
            <w:tcW w:w="1239" w:type="dxa"/>
            <w:vMerge w:val="continue"/>
            <w:tcBorders>
              <w:top w:val="nil"/>
              <w:left w:val="nil"/>
              <w:bottom w:val="single" w:color="auto" w:sz="8" w:space="0"/>
              <w:right w:val="single" w:color="auto" w:sz="8" w:space="0"/>
            </w:tcBorders>
            <w:shd w:val="clear" w:color="auto" w:fill="auto"/>
            <w:vAlign w:val="center"/>
          </w:tcPr>
          <w:p>
            <w:pPr>
              <w:rPr>
                <w:rFonts w:ascii="宋体"/>
                <w:color w:val="auto"/>
                <w:sz w:val="24"/>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91"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hAnsi="宋体" w:eastAsia="宋体" w:cs="宋体"/>
                <w:color w:val="auto"/>
                <w:sz w:val="24"/>
                <w:highlight w:val="none"/>
              </w:rPr>
            </w:pPr>
          </w:p>
        </w:tc>
        <w:tc>
          <w:tcPr>
            <w:tcW w:w="6397" w:type="dxa"/>
            <w:tcBorders>
              <w:top w:val="nil"/>
              <w:left w:val="nil"/>
              <w:bottom w:val="single" w:color="auto" w:sz="8" w:space="0"/>
              <w:right w:val="single" w:color="auto" w:sz="8" w:space="0"/>
            </w:tcBorders>
            <w:shd w:val="clear" w:color="auto" w:fill="auto"/>
            <w:vAlign w:val="center"/>
          </w:tcPr>
          <w:p>
            <w:pPr>
              <w:pStyle w:val="12"/>
              <w:widowControl/>
              <w:spacing w:beforeAutospacing="0" w:afterAutospacing="0" w:line="280" w:lineRule="atLeas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19.有毒有害物品与食品混放，扣3分；生熟混放，每处扣2分；未按标识存放、未离墙离地存放，各扣1分；冷藏、冷冻柜（库）无明显区分标识，扣1分。</w:t>
            </w:r>
          </w:p>
        </w:tc>
        <w:tc>
          <w:tcPr>
            <w:tcW w:w="773" w:type="dxa"/>
            <w:vMerge w:val="continue"/>
            <w:tcBorders>
              <w:top w:val="nil"/>
              <w:left w:val="nil"/>
              <w:bottom w:val="single" w:color="auto" w:sz="8" w:space="0"/>
              <w:right w:val="single" w:color="auto" w:sz="8" w:space="0"/>
            </w:tcBorders>
            <w:shd w:val="clear" w:color="auto" w:fill="auto"/>
            <w:vAlign w:val="center"/>
          </w:tcPr>
          <w:p>
            <w:pPr>
              <w:rPr>
                <w:rFonts w:ascii="宋体"/>
                <w:color w:val="auto"/>
                <w:sz w:val="24"/>
                <w:highlight w:val="none"/>
              </w:rPr>
            </w:pPr>
          </w:p>
        </w:tc>
        <w:tc>
          <w:tcPr>
            <w:tcW w:w="1239" w:type="dxa"/>
            <w:vMerge w:val="continue"/>
            <w:tcBorders>
              <w:top w:val="nil"/>
              <w:left w:val="nil"/>
              <w:bottom w:val="single" w:color="auto" w:sz="8" w:space="0"/>
              <w:right w:val="single" w:color="auto" w:sz="8" w:space="0"/>
            </w:tcBorders>
            <w:shd w:val="clear" w:color="auto" w:fill="auto"/>
            <w:vAlign w:val="center"/>
          </w:tcPr>
          <w:p>
            <w:pPr>
              <w:rPr>
                <w:rFonts w:ascii="宋体"/>
                <w:color w:val="auto"/>
                <w:sz w:val="24"/>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1" w:hRule="atLeast"/>
          <w:jc w:val="center"/>
        </w:trPr>
        <w:tc>
          <w:tcPr>
            <w:tcW w:w="1291"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hAnsi="宋体" w:eastAsia="宋体" w:cs="宋体"/>
                <w:color w:val="auto"/>
                <w:sz w:val="24"/>
                <w:highlight w:val="none"/>
              </w:rPr>
            </w:pPr>
          </w:p>
        </w:tc>
        <w:tc>
          <w:tcPr>
            <w:tcW w:w="6397" w:type="dxa"/>
            <w:tcBorders>
              <w:top w:val="nil"/>
              <w:left w:val="nil"/>
              <w:bottom w:val="single" w:color="auto" w:sz="8" w:space="0"/>
              <w:right w:val="single" w:color="auto" w:sz="8" w:space="0"/>
            </w:tcBorders>
            <w:shd w:val="clear" w:color="auto" w:fill="auto"/>
            <w:vAlign w:val="center"/>
          </w:tcPr>
          <w:p>
            <w:pPr>
              <w:pStyle w:val="12"/>
              <w:widowControl/>
              <w:spacing w:beforeAutospacing="0" w:afterAutospacing="0" w:line="280" w:lineRule="atLeas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20.超过保质期或变质食品，每发现一种，扣3分。</w:t>
            </w:r>
            <w:r>
              <w:rPr>
                <w:rFonts w:hint="eastAsia" w:ascii="宋体" w:hAnsi="宋体" w:eastAsia="宋体" w:cs="宋体"/>
                <w:color w:val="auto"/>
                <w:sz w:val="21"/>
                <w:szCs w:val="21"/>
                <w:highlight w:val="none"/>
                <w:lang w:eastAsia="zh-CN"/>
              </w:rPr>
              <w:t>▲</w:t>
            </w:r>
          </w:p>
        </w:tc>
        <w:tc>
          <w:tcPr>
            <w:tcW w:w="773" w:type="dxa"/>
            <w:vMerge w:val="continue"/>
            <w:tcBorders>
              <w:top w:val="nil"/>
              <w:left w:val="nil"/>
              <w:bottom w:val="single" w:color="auto" w:sz="8" w:space="0"/>
              <w:right w:val="single" w:color="auto" w:sz="8" w:space="0"/>
            </w:tcBorders>
            <w:shd w:val="clear" w:color="auto" w:fill="auto"/>
            <w:vAlign w:val="center"/>
          </w:tcPr>
          <w:p>
            <w:pPr>
              <w:rPr>
                <w:rFonts w:ascii="宋体"/>
                <w:color w:val="auto"/>
                <w:sz w:val="24"/>
                <w:highlight w:val="none"/>
              </w:rPr>
            </w:pPr>
          </w:p>
        </w:tc>
        <w:tc>
          <w:tcPr>
            <w:tcW w:w="1239" w:type="dxa"/>
            <w:vMerge w:val="continue"/>
            <w:tcBorders>
              <w:top w:val="nil"/>
              <w:left w:val="nil"/>
              <w:bottom w:val="single" w:color="auto" w:sz="8" w:space="0"/>
              <w:right w:val="single" w:color="auto" w:sz="8" w:space="0"/>
            </w:tcBorders>
            <w:shd w:val="clear" w:color="auto" w:fill="auto"/>
            <w:vAlign w:val="center"/>
          </w:tcPr>
          <w:p>
            <w:pPr>
              <w:rPr>
                <w:rFonts w:ascii="宋体"/>
                <w:color w:val="auto"/>
                <w:sz w:val="24"/>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91" w:type="dxa"/>
            <w:vMerge w:val="restart"/>
            <w:tcBorders>
              <w:top w:val="nil"/>
              <w:left w:val="single" w:color="auto" w:sz="8" w:space="0"/>
              <w:bottom w:val="single" w:color="auto" w:sz="8" w:space="0"/>
              <w:right w:val="single" w:color="auto" w:sz="8" w:space="0"/>
            </w:tcBorders>
            <w:shd w:val="clear" w:color="auto" w:fill="auto"/>
            <w:vAlign w:val="center"/>
          </w:tcPr>
          <w:p>
            <w:pPr>
              <w:pStyle w:val="12"/>
              <w:widowControl/>
              <w:spacing w:beforeAutospacing="0" w:afterAutospacing="0" w:line="320" w:lineRule="atLeas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六、加工制作</w:t>
            </w:r>
          </w:p>
        </w:tc>
        <w:tc>
          <w:tcPr>
            <w:tcW w:w="6397" w:type="dxa"/>
            <w:tcBorders>
              <w:top w:val="nil"/>
              <w:left w:val="nil"/>
              <w:bottom w:val="single" w:color="auto" w:sz="8" w:space="0"/>
              <w:right w:val="single" w:color="auto" w:sz="8" w:space="0"/>
            </w:tcBorders>
            <w:shd w:val="clear" w:color="auto" w:fill="auto"/>
            <w:vAlign w:val="center"/>
          </w:tcPr>
          <w:p>
            <w:pPr>
              <w:pStyle w:val="12"/>
              <w:widowControl/>
              <w:spacing w:beforeAutospacing="0" w:afterAutospacing="0" w:line="280" w:lineRule="atLeas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21.粗加工、切配、烹饪、备餐、面点制作及烧烤加工不符合操作规范，每处扣1分；食品再加热不符合规范要求的，扣1分。</w:t>
            </w:r>
          </w:p>
        </w:tc>
        <w:tc>
          <w:tcPr>
            <w:tcW w:w="773" w:type="dxa"/>
            <w:vMerge w:val="restart"/>
            <w:tcBorders>
              <w:top w:val="nil"/>
              <w:left w:val="nil"/>
              <w:bottom w:val="single" w:color="auto" w:sz="8" w:space="0"/>
              <w:right w:val="single" w:color="auto" w:sz="8" w:space="0"/>
            </w:tcBorders>
            <w:shd w:val="clear" w:color="auto" w:fill="auto"/>
            <w:vAlign w:val="center"/>
          </w:tcPr>
          <w:p>
            <w:pPr>
              <w:pStyle w:val="12"/>
              <w:widowControl/>
              <w:spacing w:beforeAutospacing="0" w:afterAutospacing="0" w:line="320" w:lineRule="atLeast"/>
              <w:jc w:val="center"/>
              <w:rPr>
                <w:rFonts w:ascii="Times New Roman" w:hAnsi="Times New Roman"/>
                <w:color w:val="auto"/>
                <w:sz w:val="21"/>
                <w:szCs w:val="21"/>
                <w:highlight w:val="none"/>
              </w:rPr>
            </w:pPr>
            <w:r>
              <w:rPr>
                <w:rFonts w:ascii="Times New Roman" w:hAnsi="Times New Roman"/>
                <w:color w:val="auto"/>
                <w:sz w:val="21"/>
                <w:szCs w:val="21"/>
                <w:highlight w:val="none"/>
              </w:rPr>
              <w:t>12</w:t>
            </w:r>
          </w:p>
        </w:tc>
        <w:tc>
          <w:tcPr>
            <w:tcW w:w="1239" w:type="dxa"/>
            <w:vMerge w:val="restart"/>
            <w:tcBorders>
              <w:top w:val="nil"/>
              <w:left w:val="nil"/>
              <w:bottom w:val="single" w:color="auto" w:sz="8" w:space="0"/>
              <w:right w:val="single" w:color="auto" w:sz="8" w:space="0"/>
            </w:tcBorders>
            <w:shd w:val="clear" w:color="auto" w:fill="auto"/>
            <w:vAlign w:val="center"/>
          </w:tcPr>
          <w:p>
            <w:pPr>
              <w:pStyle w:val="12"/>
              <w:widowControl/>
              <w:spacing w:beforeAutospacing="0" w:afterAutospacing="0" w:line="320" w:lineRule="atLeast"/>
              <w:jc w:val="both"/>
              <w:rPr>
                <w:rFonts w:ascii="Times New Roman" w:hAnsi="Times New Roman"/>
                <w:color w:val="auto"/>
                <w:sz w:val="21"/>
                <w:szCs w:val="21"/>
                <w:highlight w:val="none"/>
              </w:rPr>
            </w:pPr>
            <w:r>
              <w:rPr>
                <w:rFonts w:ascii="Times New Roman" w:hAnsi="Times New Roman"/>
                <w:color w:val="auto"/>
                <w:sz w:val="21"/>
                <w:szCs w:val="21"/>
                <w:highlight w:val="none"/>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91"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hAnsi="宋体" w:eastAsia="宋体" w:cs="宋体"/>
                <w:color w:val="auto"/>
                <w:sz w:val="24"/>
                <w:highlight w:val="none"/>
              </w:rPr>
            </w:pPr>
          </w:p>
        </w:tc>
        <w:tc>
          <w:tcPr>
            <w:tcW w:w="6397" w:type="dxa"/>
            <w:tcBorders>
              <w:top w:val="nil"/>
              <w:left w:val="nil"/>
              <w:bottom w:val="single" w:color="auto" w:sz="8" w:space="0"/>
              <w:right w:val="single" w:color="auto" w:sz="8" w:space="0"/>
            </w:tcBorders>
            <w:shd w:val="clear" w:color="auto" w:fill="auto"/>
            <w:vAlign w:val="center"/>
          </w:tcPr>
          <w:p>
            <w:pPr>
              <w:pStyle w:val="12"/>
              <w:widowControl/>
              <w:spacing w:beforeAutospacing="0" w:afterAutospacing="0" w:line="280" w:lineRule="atLeas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22.凉菜配置、生食海产品、裱花操作及现榨饮料及</w:t>
            </w:r>
          </w:p>
          <w:p>
            <w:pPr>
              <w:pStyle w:val="12"/>
              <w:widowControl/>
              <w:spacing w:beforeAutospacing="0" w:afterAutospacing="0" w:line="280" w:lineRule="atLeas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水果拼盘制作，如发现有不符合规范要求的，各扣2分。</w:t>
            </w:r>
            <w:r>
              <w:rPr>
                <w:rFonts w:hint="eastAsia" w:ascii="宋体" w:hAnsi="宋体" w:eastAsia="宋体" w:cs="宋体"/>
                <w:color w:val="auto"/>
                <w:sz w:val="21"/>
                <w:szCs w:val="21"/>
                <w:highlight w:val="none"/>
                <w:lang w:eastAsia="zh-CN"/>
              </w:rPr>
              <w:t>▲</w:t>
            </w:r>
          </w:p>
        </w:tc>
        <w:tc>
          <w:tcPr>
            <w:tcW w:w="773" w:type="dxa"/>
            <w:vMerge w:val="continue"/>
            <w:tcBorders>
              <w:top w:val="nil"/>
              <w:left w:val="nil"/>
              <w:bottom w:val="single" w:color="auto" w:sz="8" w:space="0"/>
              <w:right w:val="single" w:color="auto" w:sz="8" w:space="0"/>
            </w:tcBorders>
            <w:shd w:val="clear" w:color="auto" w:fill="auto"/>
            <w:vAlign w:val="center"/>
          </w:tcPr>
          <w:p>
            <w:pPr>
              <w:rPr>
                <w:rFonts w:ascii="宋体"/>
                <w:color w:val="auto"/>
                <w:sz w:val="24"/>
                <w:highlight w:val="none"/>
              </w:rPr>
            </w:pPr>
          </w:p>
        </w:tc>
        <w:tc>
          <w:tcPr>
            <w:tcW w:w="1239" w:type="dxa"/>
            <w:vMerge w:val="continue"/>
            <w:tcBorders>
              <w:top w:val="nil"/>
              <w:left w:val="nil"/>
              <w:bottom w:val="single" w:color="auto" w:sz="8" w:space="0"/>
              <w:right w:val="single" w:color="auto" w:sz="8" w:space="0"/>
            </w:tcBorders>
            <w:shd w:val="clear" w:color="auto" w:fill="auto"/>
            <w:vAlign w:val="center"/>
          </w:tcPr>
          <w:p>
            <w:pPr>
              <w:rPr>
                <w:rFonts w:ascii="宋体"/>
                <w:color w:val="auto"/>
                <w:sz w:val="24"/>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7" w:hRule="atLeast"/>
          <w:jc w:val="center"/>
        </w:trPr>
        <w:tc>
          <w:tcPr>
            <w:tcW w:w="1291"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hAnsi="宋体" w:eastAsia="宋体" w:cs="宋体"/>
                <w:color w:val="auto"/>
                <w:sz w:val="24"/>
                <w:highlight w:val="none"/>
              </w:rPr>
            </w:pPr>
          </w:p>
        </w:tc>
        <w:tc>
          <w:tcPr>
            <w:tcW w:w="6397" w:type="dxa"/>
            <w:tcBorders>
              <w:top w:val="nil"/>
              <w:left w:val="nil"/>
              <w:bottom w:val="single" w:color="auto" w:sz="8" w:space="0"/>
              <w:right w:val="single" w:color="auto" w:sz="8" w:space="0"/>
            </w:tcBorders>
            <w:shd w:val="clear" w:color="auto" w:fill="auto"/>
            <w:vAlign w:val="center"/>
          </w:tcPr>
          <w:p>
            <w:pPr>
              <w:pStyle w:val="12"/>
              <w:widowControl/>
              <w:spacing w:beforeAutospacing="0" w:afterAutospacing="0" w:line="280" w:lineRule="atLeas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23.半成品容器直接放地面，扣1分；成品容器相互叠放或直接放地面，每处扣1分；成品存放温度、时间不符合要求，扣1分。</w:t>
            </w:r>
          </w:p>
        </w:tc>
        <w:tc>
          <w:tcPr>
            <w:tcW w:w="773" w:type="dxa"/>
            <w:vMerge w:val="continue"/>
            <w:tcBorders>
              <w:top w:val="nil"/>
              <w:left w:val="nil"/>
              <w:bottom w:val="single" w:color="auto" w:sz="8" w:space="0"/>
              <w:right w:val="single" w:color="auto" w:sz="8" w:space="0"/>
            </w:tcBorders>
            <w:shd w:val="clear" w:color="auto" w:fill="auto"/>
            <w:vAlign w:val="center"/>
          </w:tcPr>
          <w:p>
            <w:pPr>
              <w:rPr>
                <w:rFonts w:ascii="宋体"/>
                <w:color w:val="auto"/>
                <w:sz w:val="24"/>
                <w:highlight w:val="none"/>
              </w:rPr>
            </w:pPr>
          </w:p>
        </w:tc>
        <w:tc>
          <w:tcPr>
            <w:tcW w:w="1239" w:type="dxa"/>
            <w:vMerge w:val="continue"/>
            <w:tcBorders>
              <w:top w:val="nil"/>
              <w:left w:val="nil"/>
              <w:bottom w:val="single" w:color="auto" w:sz="8" w:space="0"/>
              <w:right w:val="single" w:color="auto" w:sz="8" w:space="0"/>
            </w:tcBorders>
            <w:shd w:val="clear" w:color="auto" w:fill="auto"/>
            <w:vAlign w:val="center"/>
          </w:tcPr>
          <w:p>
            <w:pPr>
              <w:rPr>
                <w:rFonts w:ascii="宋体"/>
                <w:color w:val="auto"/>
                <w:sz w:val="24"/>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58" w:hRule="atLeast"/>
          <w:jc w:val="center"/>
        </w:trPr>
        <w:tc>
          <w:tcPr>
            <w:tcW w:w="1291"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hAnsi="宋体" w:eastAsia="宋体" w:cs="宋体"/>
                <w:color w:val="auto"/>
                <w:sz w:val="24"/>
                <w:highlight w:val="none"/>
              </w:rPr>
            </w:pPr>
          </w:p>
        </w:tc>
        <w:tc>
          <w:tcPr>
            <w:tcW w:w="6397" w:type="dxa"/>
            <w:tcBorders>
              <w:top w:val="nil"/>
              <w:left w:val="nil"/>
              <w:bottom w:val="single" w:color="auto" w:sz="8" w:space="0"/>
              <w:right w:val="single" w:color="auto" w:sz="8" w:space="0"/>
            </w:tcBorders>
            <w:shd w:val="clear" w:color="auto" w:fill="auto"/>
            <w:vAlign w:val="center"/>
          </w:tcPr>
          <w:p>
            <w:pPr>
              <w:pStyle w:val="12"/>
              <w:widowControl/>
              <w:spacing w:beforeAutospacing="0" w:afterAutospacing="0" w:line="280" w:lineRule="atLeas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24.食品留样容器未清洗消毒、无专用冰箱，各扣1分；未标注加工时间、样品混淆、留样数量少于100克、时间不足48小时、留样品种不全、记录不全，各扣0.5分。</w:t>
            </w:r>
            <w:r>
              <w:rPr>
                <w:rFonts w:hint="eastAsia" w:ascii="宋体" w:hAnsi="宋体" w:eastAsia="宋体" w:cs="宋体"/>
                <w:color w:val="auto"/>
                <w:sz w:val="21"/>
                <w:szCs w:val="21"/>
                <w:highlight w:val="none"/>
                <w:lang w:eastAsia="zh-CN"/>
              </w:rPr>
              <w:t>▲</w:t>
            </w:r>
          </w:p>
        </w:tc>
        <w:tc>
          <w:tcPr>
            <w:tcW w:w="773" w:type="dxa"/>
            <w:vMerge w:val="continue"/>
            <w:tcBorders>
              <w:top w:val="nil"/>
              <w:left w:val="nil"/>
              <w:bottom w:val="single" w:color="auto" w:sz="8" w:space="0"/>
              <w:right w:val="single" w:color="auto" w:sz="8" w:space="0"/>
            </w:tcBorders>
            <w:shd w:val="clear" w:color="auto" w:fill="auto"/>
            <w:vAlign w:val="center"/>
          </w:tcPr>
          <w:p>
            <w:pPr>
              <w:rPr>
                <w:rFonts w:ascii="宋体"/>
                <w:color w:val="auto"/>
                <w:sz w:val="24"/>
                <w:highlight w:val="none"/>
              </w:rPr>
            </w:pPr>
          </w:p>
        </w:tc>
        <w:tc>
          <w:tcPr>
            <w:tcW w:w="1239" w:type="dxa"/>
            <w:vMerge w:val="continue"/>
            <w:tcBorders>
              <w:top w:val="nil"/>
              <w:left w:val="nil"/>
              <w:bottom w:val="single" w:color="auto" w:sz="8" w:space="0"/>
              <w:right w:val="single" w:color="auto" w:sz="8" w:space="0"/>
            </w:tcBorders>
            <w:shd w:val="clear" w:color="auto" w:fill="auto"/>
            <w:vAlign w:val="center"/>
          </w:tcPr>
          <w:p>
            <w:pPr>
              <w:rPr>
                <w:rFonts w:ascii="宋体"/>
                <w:color w:val="auto"/>
                <w:sz w:val="24"/>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91" w:type="dxa"/>
            <w:vMerge w:val="restart"/>
            <w:tcBorders>
              <w:top w:val="nil"/>
              <w:left w:val="single" w:color="auto" w:sz="8" w:space="0"/>
              <w:bottom w:val="single" w:color="auto" w:sz="8" w:space="0"/>
              <w:right w:val="single" w:color="auto" w:sz="8" w:space="0"/>
            </w:tcBorders>
            <w:shd w:val="clear" w:color="auto" w:fill="auto"/>
            <w:vAlign w:val="center"/>
          </w:tcPr>
          <w:p>
            <w:pPr>
              <w:pStyle w:val="12"/>
              <w:widowControl/>
              <w:spacing w:beforeAutospacing="0" w:afterAutospacing="0" w:line="320" w:lineRule="atLeas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七、餐具清洗消毒</w:t>
            </w:r>
          </w:p>
        </w:tc>
        <w:tc>
          <w:tcPr>
            <w:tcW w:w="6397" w:type="dxa"/>
            <w:tcBorders>
              <w:top w:val="nil"/>
              <w:left w:val="nil"/>
              <w:bottom w:val="single" w:color="auto" w:sz="8" w:space="0"/>
              <w:right w:val="single" w:color="auto" w:sz="8" w:space="0"/>
            </w:tcBorders>
            <w:shd w:val="clear" w:color="auto" w:fill="auto"/>
            <w:vAlign w:val="center"/>
          </w:tcPr>
          <w:p>
            <w:pPr>
              <w:pStyle w:val="12"/>
              <w:widowControl/>
              <w:spacing w:beforeAutospacing="0" w:afterAutospacing="0" w:line="280" w:lineRule="atLeas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25.餐具清洗、消毒不符合规范要求，各扣1分；餐具不消毒，扣2分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；已消毒的餐具未存放保洁设施内、保洁设备不洁净，各扣1分；保洁设备未封闭、存放其他物品，各扣1分。</w:t>
            </w:r>
          </w:p>
        </w:tc>
        <w:tc>
          <w:tcPr>
            <w:tcW w:w="773" w:type="dxa"/>
            <w:vMerge w:val="restart"/>
            <w:tcBorders>
              <w:top w:val="nil"/>
              <w:left w:val="nil"/>
              <w:bottom w:val="single" w:color="auto" w:sz="8" w:space="0"/>
              <w:right w:val="single" w:color="auto" w:sz="8" w:space="0"/>
            </w:tcBorders>
            <w:shd w:val="clear" w:color="auto" w:fill="auto"/>
            <w:vAlign w:val="center"/>
          </w:tcPr>
          <w:p>
            <w:pPr>
              <w:pStyle w:val="12"/>
              <w:widowControl/>
              <w:spacing w:beforeAutospacing="0" w:afterAutospacing="0" w:line="320" w:lineRule="atLeast"/>
              <w:jc w:val="center"/>
              <w:rPr>
                <w:rFonts w:hint="eastAsia" w:ascii="Times New Roman" w:hAnsi="Times New Roman" w:eastAsiaTheme="minorEastAsia"/>
                <w:color w:val="auto"/>
                <w:sz w:val="21"/>
                <w:szCs w:val="21"/>
                <w:highlight w:val="none"/>
                <w:lang w:eastAsia="zh-CN"/>
              </w:rPr>
            </w:pPr>
            <w:r>
              <w:rPr>
                <w:rFonts w:ascii="Times New Roman" w:hAnsi="Times New Roman"/>
                <w:color w:val="auto"/>
                <w:sz w:val="21"/>
                <w:szCs w:val="21"/>
                <w:highlight w:val="none"/>
              </w:rPr>
              <w:t>1</w:t>
            </w:r>
            <w:r>
              <w:rPr>
                <w:rFonts w:hint="eastAsia" w:ascii="Times New Roman" w:hAnsi="Times New Roman"/>
                <w:color w:val="auto"/>
                <w:sz w:val="21"/>
                <w:szCs w:val="21"/>
                <w:highlight w:val="none"/>
                <w:lang w:val="en-US" w:eastAsia="zh-CN"/>
              </w:rPr>
              <w:t>2</w:t>
            </w:r>
          </w:p>
        </w:tc>
        <w:tc>
          <w:tcPr>
            <w:tcW w:w="1239" w:type="dxa"/>
            <w:vMerge w:val="restart"/>
            <w:tcBorders>
              <w:top w:val="nil"/>
              <w:left w:val="nil"/>
              <w:bottom w:val="single" w:color="auto" w:sz="8" w:space="0"/>
              <w:right w:val="single" w:color="auto" w:sz="8" w:space="0"/>
            </w:tcBorders>
            <w:shd w:val="clear" w:color="auto" w:fill="auto"/>
            <w:vAlign w:val="center"/>
          </w:tcPr>
          <w:p>
            <w:pPr>
              <w:pStyle w:val="12"/>
              <w:widowControl/>
              <w:spacing w:beforeAutospacing="0" w:afterAutospacing="0" w:line="320" w:lineRule="atLeast"/>
              <w:jc w:val="both"/>
              <w:rPr>
                <w:rFonts w:ascii="Times New Roman" w:hAnsi="Times New Roman"/>
                <w:color w:val="auto"/>
                <w:sz w:val="21"/>
                <w:szCs w:val="21"/>
                <w:highlight w:val="none"/>
              </w:rPr>
            </w:pPr>
            <w:r>
              <w:rPr>
                <w:rFonts w:ascii="Times New Roman" w:hAnsi="Times New Roman"/>
                <w:color w:val="auto"/>
                <w:sz w:val="21"/>
                <w:szCs w:val="21"/>
                <w:highlight w:val="none"/>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5" w:hRule="atLeast"/>
          <w:jc w:val="center"/>
        </w:trPr>
        <w:tc>
          <w:tcPr>
            <w:tcW w:w="1291"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hAnsi="宋体" w:eastAsia="宋体" w:cs="宋体"/>
                <w:color w:val="auto"/>
                <w:sz w:val="24"/>
                <w:highlight w:val="none"/>
              </w:rPr>
            </w:pPr>
          </w:p>
        </w:tc>
        <w:tc>
          <w:tcPr>
            <w:tcW w:w="6397" w:type="dxa"/>
            <w:tcBorders>
              <w:top w:val="nil"/>
              <w:left w:val="nil"/>
              <w:bottom w:val="single" w:color="auto" w:sz="8" w:space="0"/>
              <w:right w:val="single" w:color="auto" w:sz="8" w:space="0"/>
            </w:tcBorders>
            <w:shd w:val="clear" w:color="auto" w:fill="auto"/>
            <w:vAlign w:val="center"/>
          </w:tcPr>
          <w:p>
            <w:pPr>
              <w:pStyle w:val="12"/>
              <w:widowControl/>
              <w:spacing w:beforeAutospacing="0" w:afterAutospacing="0" w:line="280" w:lineRule="atLeas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26.提供集中消毒餐饮具的单位不具备资质，扣3分；不能提供有效的检测报告或消毒合格凭证，扣2分。</w:t>
            </w:r>
          </w:p>
        </w:tc>
        <w:tc>
          <w:tcPr>
            <w:tcW w:w="773" w:type="dxa"/>
            <w:vMerge w:val="continue"/>
            <w:tcBorders>
              <w:top w:val="nil"/>
              <w:left w:val="nil"/>
              <w:bottom w:val="single" w:color="auto" w:sz="8" w:space="0"/>
              <w:right w:val="single" w:color="auto" w:sz="8" w:space="0"/>
            </w:tcBorders>
            <w:shd w:val="clear" w:color="auto" w:fill="auto"/>
            <w:vAlign w:val="center"/>
          </w:tcPr>
          <w:p>
            <w:pPr>
              <w:rPr>
                <w:rFonts w:ascii="宋体"/>
                <w:color w:val="auto"/>
                <w:sz w:val="24"/>
                <w:highlight w:val="none"/>
              </w:rPr>
            </w:pPr>
          </w:p>
        </w:tc>
        <w:tc>
          <w:tcPr>
            <w:tcW w:w="1239" w:type="dxa"/>
            <w:vMerge w:val="continue"/>
            <w:tcBorders>
              <w:top w:val="nil"/>
              <w:left w:val="nil"/>
              <w:bottom w:val="single" w:color="auto" w:sz="8" w:space="0"/>
              <w:right w:val="single" w:color="auto" w:sz="8" w:space="0"/>
            </w:tcBorders>
            <w:shd w:val="clear" w:color="auto" w:fill="auto"/>
            <w:vAlign w:val="center"/>
          </w:tcPr>
          <w:p>
            <w:pPr>
              <w:rPr>
                <w:rFonts w:ascii="宋体"/>
                <w:color w:val="auto"/>
                <w:sz w:val="24"/>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20" w:hRule="atLeast"/>
          <w:jc w:val="center"/>
        </w:trPr>
        <w:tc>
          <w:tcPr>
            <w:tcW w:w="1291" w:type="dxa"/>
            <w:tcBorders>
              <w:top w:val="nil"/>
              <w:left w:val="single" w:color="auto" w:sz="8" w:space="0"/>
              <w:bottom w:val="single" w:color="auto" w:sz="8" w:space="0"/>
              <w:right w:val="single" w:color="auto" w:sz="8" w:space="0"/>
            </w:tcBorders>
            <w:shd w:val="clear" w:color="auto" w:fill="auto"/>
            <w:vAlign w:val="center"/>
          </w:tcPr>
          <w:p>
            <w:pPr>
              <w:pStyle w:val="12"/>
              <w:widowControl/>
              <w:spacing w:beforeAutospacing="0" w:afterAutospacing="0" w:line="320" w:lineRule="atLeast"/>
              <w:jc w:val="both"/>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八、食品添加剂</w:t>
            </w:r>
          </w:p>
        </w:tc>
        <w:tc>
          <w:tcPr>
            <w:tcW w:w="6397" w:type="dxa"/>
            <w:tcBorders>
              <w:top w:val="nil"/>
              <w:left w:val="nil"/>
              <w:bottom w:val="single" w:color="auto" w:sz="8" w:space="0"/>
              <w:right w:val="single" w:color="auto" w:sz="8" w:space="0"/>
            </w:tcBorders>
            <w:shd w:val="clear" w:color="auto" w:fill="auto"/>
            <w:vAlign w:val="center"/>
          </w:tcPr>
          <w:p>
            <w:pPr>
              <w:pStyle w:val="12"/>
              <w:widowControl/>
              <w:spacing w:beforeAutospacing="0" w:afterAutospacing="0" w:line="280" w:lineRule="atLeas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27.食品添加剂不符合五专要求，扣2分；超范围使用，扣2分；超剂量使用，扣2分；食品添加剂使用记录不全，扣1分。</w:t>
            </w:r>
            <w:r>
              <w:rPr>
                <w:rFonts w:hint="eastAsia" w:ascii="宋体" w:hAnsi="宋体" w:eastAsia="宋体" w:cs="宋体"/>
                <w:color w:val="auto"/>
                <w:sz w:val="21"/>
                <w:szCs w:val="21"/>
                <w:highlight w:val="none"/>
                <w:lang w:eastAsia="zh-CN"/>
              </w:rPr>
              <w:t>▲</w:t>
            </w:r>
          </w:p>
        </w:tc>
        <w:tc>
          <w:tcPr>
            <w:tcW w:w="773" w:type="dxa"/>
            <w:tcBorders>
              <w:top w:val="nil"/>
              <w:left w:val="nil"/>
              <w:bottom w:val="single" w:color="auto" w:sz="8" w:space="0"/>
              <w:right w:val="single" w:color="auto" w:sz="8" w:space="0"/>
            </w:tcBorders>
            <w:shd w:val="clear" w:color="auto" w:fill="auto"/>
            <w:vAlign w:val="center"/>
          </w:tcPr>
          <w:p>
            <w:pPr>
              <w:pStyle w:val="12"/>
              <w:widowControl/>
              <w:spacing w:beforeAutospacing="0" w:afterAutospacing="0" w:line="320" w:lineRule="atLeast"/>
              <w:jc w:val="center"/>
              <w:rPr>
                <w:rFonts w:ascii="Times New Roman" w:hAnsi="Times New Roman"/>
                <w:color w:val="auto"/>
                <w:sz w:val="21"/>
                <w:szCs w:val="21"/>
                <w:highlight w:val="none"/>
              </w:rPr>
            </w:pPr>
            <w:r>
              <w:rPr>
                <w:rFonts w:ascii="Times New Roman" w:hAnsi="Times New Roman"/>
                <w:color w:val="auto"/>
                <w:sz w:val="21"/>
                <w:szCs w:val="21"/>
                <w:highlight w:val="none"/>
              </w:rPr>
              <w:t>10</w:t>
            </w:r>
          </w:p>
        </w:tc>
        <w:tc>
          <w:tcPr>
            <w:tcW w:w="1239" w:type="dxa"/>
            <w:tcBorders>
              <w:top w:val="nil"/>
              <w:left w:val="nil"/>
              <w:bottom w:val="single" w:color="auto" w:sz="8" w:space="0"/>
              <w:right w:val="single" w:color="auto" w:sz="8" w:space="0"/>
            </w:tcBorders>
            <w:shd w:val="clear" w:color="auto" w:fill="auto"/>
            <w:vAlign w:val="center"/>
          </w:tcPr>
          <w:p>
            <w:pPr>
              <w:pStyle w:val="12"/>
              <w:widowControl/>
              <w:spacing w:beforeAutospacing="0" w:afterAutospacing="0" w:line="320" w:lineRule="atLeast"/>
              <w:jc w:val="both"/>
              <w:rPr>
                <w:rFonts w:ascii="Times New Roman" w:hAnsi="Times New Roman"/>
                <w:color w:val="auto"/>
                <w:sz w:val="21"/>
                <w:szCs w:val="21"/>
                <w:highlight w:val="none"/>
              </w:rPr>
            </w:pPr>
            <w:r>
              <w:rPr>
                <w:rFonts w:ascii="Times New Roman" w:hAnsi="Times New Roman"/>
                <w:color w:val="auto"/>
                <w:sz w:val="21"/>
                <w:szCs w:val="21"/>
                <w:highlight w:val="none"/>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30" w:hRule="atLeast"/>
          <w:jc w:val="center"/>
        </w:trPr>
        <w:tc>
          <w:tcPr>
            <w:tcW w:w="1291" w:type="dxa"/>
            <w:tcBorders>
              <w:top w:val="nil"/>
              <w:left w:val="single" w:color="auto" w:sz="8" w:space="0"/>
              <w:bottom w:val="single" w:color="auto" w:sz="8" w:space="0"/>
              <w:right w:val="single" w:color="auto" w:sz="8" w:space="0"/>
            </w:tcBorders>
            <w:shd w:val="clear" w:color="auto" w:fill="auto"/>
            <w:vAlign w:val="center"/>
          </w:tcPr>
          <w:p>
            <w:pPr>
              <w:pStyle w:val="12"/>
              <w:widowControl/>
              <w:spacing w:beforeAutospacing="0" w:afterAutospacing="0" w:line="320" w:lineRule="atLeas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九、服务质量</w:t>
            </w:r>
          </w:p>
        </w:tc>
        <w:tc>
          <w:tcPr>
            <w:tcW w:w="6397" w:type="dxa"/>
            <w:tcBorders>
              <w:top w:val="nil"/>
              <w:left w:val="nil"/>
              <w:bottom w:val="single" w:color="auto" w:sz="8" w:space="0"/>
              <w:right w:val="single" w:color="auto" w:sz="8" w:space="0"/>
            </w:tcBorders>
            <w:shd w:val="clear" w:color="auto" w:fill="auto"/>
            <w:vAlign w:val="center"/>
          </w:tcPr>
          <w:p>
            <w:pPr>
              <w:pStyle w:val="12"/>
              <w:widowControl/>
              <w:spacing w:beforeAutospacing="0" w:afterAutospacing="0" w:line="280" w:lineRule="atLeas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.服务人员着装不整，表情冷漠，使用不文明用语，发生争吵现象。扣0.5分；接到服务投诉，扣1分；服务承诺制度未上墙，未做到服务程序化、操作规范化，扣1分。</w:t>
            </w:r>
          </w:p>
        </w:tc>
        <w:tc>
          <w:tcPr>
            <w:tcW w:w="773" w:type="dxa"/>
            <w:tcBorders>
              <w:top w:val="nil"/>
              <w:left w:val="nil"/>
              <w:bottom w:val="single" w:color="auto" w:sz="8" w:space="0"/>
              <w:right w:val="single" w:color="auto" w:sz="8" w:space="0"/>
            </w:tcBorders>
            <w:shd w:val="clear" w:color="auto" w:fill="auto"/>
            <w:vAlign w:val="center"/>
          </w:tcPr>
          <w:p>
            <w:pPr>
              <w:pStyle w:val="12"/>
              <w:widowControl/>
              <w:spacing w:beforeAutospacing="0" w:afterAutospacing="0" w:line="320" w:lineRule="atLeast"/>
              <w:jc w:val="center"/>
              <w:rPr>
                <w:rFonts w:ascii="Times New Roman" w:hAnsi="Times New Roman"/>
                <w:color w:val="auto"/>
                <w:sz w:val="21"/>
                <w:szCs w:val="21"/>
                <w:highlight w:val="none"/>
              </w:rPr>
            </w:pPr>
            <w:r>
              <w:rPr>
                <w:rFonts w:ascii="Times New Roman" w:hAnsi="Times New Roman"/>
                <w:color w:val="auto"/>
                <w:sz w:val="21"/>
                <w:szCs w:val="21"/>
                <w:highlight w:val="none"/>
              </w:rPr>
              <w:t>10</w:t>
            </w:r>
          </w:p>
        </w:tc>
        <w:tc>
          <w:tcPr>
            <w:tcW w:w="1239" w:type="dxa"/>
            <w:tcBorders>
              <w:top w:val="nil"/>
              <w:left w:val="nil"/>
              <w:bottom w:val="single" w:color="auto" w:sz="8" w:space="0"/>
              <w:right w:val="single" w:color="auto" w:sz="8" w:space="0"/>
            </w:tcBorders>
            <w:shd w:val="clear" w:color="auto" w:fill="auto"/>
            <w:vAlign w:val="center"/>
          </w:tcPr>
          <w:p>
            <w:pPr>
              <w:pStyle w:val="12"/>
              <w:widowControl/>
              <w:spacing w:beforeAutospacing="0" w:afterAutospacing="0" w:line="320" w:lineRule="atLeast"/>
              <w:jc w:val="both"/>
              <w:rPr>
                <w:rFonts w:ascii="Times New Roman" w:hAnsi="Times New Roman"/>
                <w:color w:val="auto"/>
                <w:sz w:val="21"/>
                <w:szCs w:val="21"/>
                <w:highlight w:val="none"/>
              </w:rPr>
            </w:pPr>
            <w:r>
              <w:rPr>
                <w:rFonts w:ascii="Times New Roman" w:hAnsi="Times New Roman"/>
                <w:color w:val="auto"/>
                <w:sz w:val="21"/>
                <w:szCs w:val="21"/>
                <w:highlight w:val="none"/>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91" w:type="dxa"/>
            <w:tcBorders>
              <w:top w:val="nil"/>
              <w:left w:val="single" w:color="auto" w:sz="8" w:space="0"/>
              <w:bottom w:val="single" w:color="auto" w:sz="8" w:space="0"/>
              <w:right w:val="single" w:color="auto" w:sz="8" w:space="0"/>
            </w:tcBorders>
            <w:shd w:val="clear" w:color="auto" w:fill="auto"/>
            <w:vAlign w:val="center"/>
          </w:tcPr>
          <w:p>
            <w:pPr>
              <w:pStyle w:val="12"/>
              <w:widowControl/>
              <w:spacing w:beforeAutospacing="0" w:afterAutospacing="0" w:line="320" w:lineRule="atLeas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十、加分项</w:t>
            </w:r>
          </w:p>
        </w:tc>
        <w:tc>
          <w:tcPr>
            <w:tcW w:w="6397" w:type="dxa"/>
            <w:tcBorders>
              <w:top w:val="nil"/>
              <w:left w:val="nil"/>
              <w:bottom w:val="single" w:color="auto" w:sz="8" w:space="0"/>
              <w:right w:val="single" w:color="auto" w:sz="8" w:space="0"/>
            </w:tcBorders>
            <w:shd w:val="clear" w:color="auto" w:fill="auto"/>
            <w:vAlign w:val="center"/>
          </w:tcPr>
          <w:p>
            <w:pPr>
              <w:pStyle w:val="12"/>
              <w:widowControl/>
              <w:spacing w:beforeAutospacing="0" w:afterAutospacing="0" w:line="280" w:lineRule="atLeas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.推行先进管理方法加1分；实行透明厨房、视频实时监控等社会监督方式加1分；使用电子索证索票系统加1分。</w:t>
            </w:r>
          </w:p>
        </w:tc>
        <w:tc>
          <w:tcPr>
            <w:tcW w:w="773" w:type="dxa"/>
            <w:tcBorders>
              <w:top w:val="nil"/>
              <w:left w:val="nil"/>
              <w:bottom w:val="single" w:color="auto" w:sz="8" w:space="0"/>
              <w:right w:val="single" w:color="auto" w:sz="8" w:space="0"/>
            </w:tcBorders>
            <w:shd w:val="clear" w:color="auto" w:fill="auto"/>
            <w:vAlign w:val="center"/>
          </w:tcPr>
          <w:p>
            <w:pPr>
              <w:pStyle w:val="12"/>
              <w:widowControl/>
              <w:spacing w:beforeAutospacing="0" w:afterAutospacing="0" w:line="320" w:lineRule="atLeast"/>
              <w:jc w:val="center"/>
              <w:rPr>
                <w:rFonts w:ascii="Times New Roman" w:hAnsi="Times New Roman"/>
                <w:color w:val="auto"/>
                <w:sz w:val="21"/>
                <w:szCs w:val="21"/>
                <w:highlight w:val="none"/>
              </w:rPr>
            </w:pPr>
            <w:r>
              <w:rPr>
                <w:rFonts w:ascii="Times New Roman" w:hAnsi="Times New Roman"/>
                <w:color w:val="auto"/>
                <w:sz w:val="21"/>
                <w:szCs w:val="21"/>
                <w:highlight w:val="none"/>
              </w:rPr>
              <w:t>3</w:t>
            </w:r>
          </w:p>
        </w:tc>
        <w:tc>
          <w:tcPr>
            <w:tcW w:w="1239" w:type="dxa"/>
            <w:tcBorders>
              <w:top w:val="nil"/>
              <w:left w:val="nil"/>
              <w:bottom w:val="single" w:color="auto" w:sz="8" w:space="0"/>
              <w:right w:val="single" w:color="auto" w:sz="8" w:space="0"/>
            </w:tcBorders>
            <w:shd w:val="clear" w:color="auto" w:fill="auto"/>
            <w:vAlign w:val="center"/>
          </w:tcPr>
          <w:p>
            <w:pPr>
              <w:pStyle w:val="12"/>
              <w:widowControl/>
              <w:spacing w:beforeAutospacing="0" w:afterAutospacing="0" w:line="320" w:lineRule="atLeast"/>
              <w:jc w:val="both"/>
              <w:rPr>
                <w:rFonts w:ascii="Times New Roman" w:hAnsi="Times New Roman"/>
                <w:color w:val="auto"/>
                <w:sz w:val="21"/>
                <w:szCs w:val="21"/>
                <w:highlight w:val="none"/>
              </w:rPr>
            </w:pPr>
            <w:r>
              <w:rPr>
                <w:rFonts w:ascii="Times New Roman" w:hAnsi="Times New Roman"/>
                <w:color w:val="auto"/>
                <w:sz w:val="21"/>
                <w:szCs w:val="21"/>
                <w:highlight w:val="none"/>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700" w:type="dxa"/>
            <w:gridSpan w:val="4"/>
            <w:tcBorders>
              <w:top w:val="nil"/>
              <w:left w:val="single" w:color="auto" w:sz="8" w:space="0"/>
              <w:bottom w:val="single" w:color="auto" w:sz="8" w:space="0"/>
              <w:right w:val="single" w:color="auto" w:sz="8" w:space="0"/>
            </w:tcBorders>
            <w:shd w:val="clear" w:color="auto" w:fill="auto"/>
            <w:vAlign w:val="center"/>
          </w:tcPr>
          <w:p>
            <w:pPr>
              <w:pStyle w:val="12"/>
              <w:widowControl/>
              <w:spacing w:beforeAutospacing="0" w:afterAutospacing="0" w:line="320" w:lineRule="atLeast"/>
              <w:jc w:val="both"/>
              <w:rPr>
                <w:rFonts w:ascii="Times New Roman" w:hAnsi="Times New Roman"/>
                <w:color w:val="auto"/>
                <w:sz w:val="21"/>
                <w:szCs w:val="21"/>
                <w:highlight w:val="none"/>
              </w:rPr>
            </w:pPr>
            <w:r>
              <w:rPr>
                <w:rFonts w:ascii="方正黑体_GBK" w:hAnsi="方正黑体_GBK" w:eastAsia="方正黑体_GBK" w:cs="方正黑体_GBK"/>
                <w:color w:val="auto"/>
                <w:highlight w:val="none"/>
              </w:rPr>
              <w:t>检查结果</w:t>
            </w:r>
          </w:p>
          <w:p>
            <w:pPr>
              <w:pStyle w:val="12"/>
              <w:widowControl/>
              <w:spacing w:beforeAutospacing="0" w:afterAutospacing="0" w:line="320" w:lineRule="atLeast"/>
              <w:jc w:val="both"/>
              <w:rPr>
                <w:rFonts w:ascii="Times New Roman" w:hAnsi="Times New Roman"/>
                <w:color w:val="auto"/>
                <w:sz w:val="21"/>
                <w:szCs w:val="21"/>
                <w:highlight w:val="none"/>
              </w:rPr>
            </w:pPr>
            <w:r>
              <w:rPr>
                <w:rFonts w:hint="eastAsia" w:ascii="方正仿宋_GBK" w:hAnsi="方正仿宋_GBK" w:eastAsia="方正仿宋_GBK" w:cs="方正仿宋_GBK"/>
                <w:color w:val="auto"/>
                <w:highlight w:val="none"/>
              </w:rPr>
              <w:t>应得分：        实得分：         加分：        量化评分：      评定等级：</w:t>
            </w:r>
          </w:p>
        </w:tc>
      </w:tr>
    </w:tbl>
    <w:p>
      <w:pPr>
        <w:pStyle w:val="12"/>
        <w:widowControl/>
        <w:shd w:val="clear" w:color="auto" w:fill="FFFFFF"/>
        <w:spacing w:beforeAutospacing="0" w:afterAutospacing="0" w:line="320" w:lineRule="atLeast"/>
        <w:jc w:val="both"/>
        <w:rPr>
          <w:rFonts w:ascii="Times New Roman" w:hAnsi="Times New Roman"/>
          <w:color w:val="auto"/>
          <w:sz w:val="21"/>
          <w:szCs w:val="21"/>
          <w:highlight w:val="none"/>
          <w:shd w:val="clear" w:color="auto" w:fill="FFFFFF"/>
        </w:rPr>
      </w:pPr>
      <w:r>
        <w:rPr>
          <w:rFonts w:ascii="Times New Roman" w:hAnsi="Times New Roman"/>
          <w:color w:val="auto"/>
          <w:sz w:val="21"/>
          <w:szCs w:val="21"/>
          <w:highlight w:val="none"/>
          <w:shd w:val="clear" w:color="auto" w:fill="FFFFFF"/>
        </w:rPr>
        <w:t> </w:t>
      </w:r>
    </w:p>
    <w:p>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评分为85分以下（不含85分），视为违约，按（85分-实际得分）×3000元/分，于履约保证金中扣除相应违约金，不足部分由中标人补足，带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4"/>
          <w:szCs w:val="24"/>
          <w:highlight w:val="none"/>
          <w:lang w:val="en-US" w:eastAsia="zh-CN" w:bidi="ar-SA"/>
        </w:rPr>
        <w:t>为关键项，2项以上（含2项）关键项不符合要求，招标单位相关部门通报后，中标人提出相应整改方案。</w:t>
      </w:r>
    </w:p>
    <w:p>
      <w:pPr>
        <w:pStyle w:val="2"/>
        <w:rPr>
          <w:color w:val="auto"/>
          <w:sz w:val="24"/>
          <w:highlight w:val="none"/>
        </w:rPr>
      </w:pPr>
    </w:p>
    <w:p>
      <w:pPr>
        <w:outlineLvl w:val="1"/>
        <w:rPr>
          <w:color w:val="auto"/>
          <w:highlight w:val="none"/>
        </w:rPr>
      </w:pPr>
      <w:r>
        <w:rPr>
          <w:rFonts w:hint="eastAsia" w:ascii="宋体" w:hAnsi="宋体" w:eastAsia="宋体" w:cs="宋体"/>
          <w:b/>
          <w:bCs/>
          <w:color w:val="auto"/>
          <w:sz w:val="24"/>
          <w:highlight w:val="none"/>
        </w:rPr>
        <w:t>三、商务条件</w:t>
      </w:r>
      <w:r>
        <w:rPr>
          <w:rStyle w:val="16"/>
          <w:rFonts w:hint="eastAsia" w:ascii="宋体" w:hAnsi="宋体" w:eastAsia="宋体" w:cs="宋体"/>
          <w:color w:val="auto"/>
          <w:sz w:val="24"/>
          <w:highlight w:val="none"/>
        </w:rPr>
        <w:t>（以“★”标示的内容为不允许负偏离的实质性要求）</w:t>
      </w:r>
    </w:p>
    <w:p>
      <w:pPr>
        <w:widowControl/>
        <w:spacing w:line="360" w:lineRule="auto"/>
        <w:jc w:val="left"/>
        <w:rPr>
          <w:rStyle w:val="16"/>
          <w:rFonts w:hint="eastAsia" w:ascii="宋体" w:hAnsi="宋体" w:eastAsia="宋体" w:cs="宋体"/>
          <w:b w:val="0"/>
          <w:bCs/>
          <w:color w:val="auto"/>
          <w:kern w:val="0"/>
          <w:sz w:val="24"/>
          <w:highlight w:val="none"/>
          <w:lang w:bidi="ar"/>
        </w:rPr>
      </w:pPr>
      <w:r>
        <w:rPr>
          <w:rStyle w:val="16"/>
          <w:rFonts w:hint="eastAsia" w:ascii="宋体" w:hAnsi="宋体" w:eastAsia="宋体" w:cs="宋体"/>
          <w:color w:val="auto"/>
          <w:sz w:val="24"/>
          <w:highlight w:val="none"/>
        </w:rPr>
        <w:t>包：1</w:t>
      </w:r>
      <w:r>
        <w:rPr>
          <w:rStyle w:val="16"/>
          <w:rFonts w:hint="eastAsia" w:ascii="宋体" w:hAnsi="宋体" w:eastAsia="宋体" w:cs="宋体"/>
          <w:color w:val="auto"/>
          <w:sz w:val="24"/>
          <w:highlight w:val="none"/>
        </w:rPr>
        <w:br w:type="textWrapping"/>
      </w:r>
      <w:r>
        <w:rPr>
          <w:rStyle w:val="16"/>
          <w:rFonts w:hint="eastAsia" w:ascii="宋体" w:hAnsi="宋体" w:eastAsia="宋体" w:cs="宋体"/>
          <w:color w:val="auto"/>
          <w:sz w:val="24"/>
          <w:highlight w:val="none"/>
        </w:rPr>
        <w:t>1、交付地点：</w:t>
      </w:r>
      <w:r>
        <w:rPr>
          <w:rStyle w:val="16"/>
          <w:rFonts w:hint="eastAsia" w:ascii="宋体" w:hAnsi="宋体" w:eastAsia="宋体" w:cs="宋体"/>
          <w:b w:val="0"/>
          <w:bCs/>
          <w:color w:val="auto"/>
          <w:sz w:val="24"/>
          <w:highlight w:val="none"/>
        </w:rPr>
        <w:t>泉州市丰泽区东海大街398号泉州师范学院生活服务中心四楼。</w:t>
      </w:r>
      <w:r>
        <w:rPr>
          <w:rStyle w:val="16"/>
          <w:rFonts w:hint="eastAsia" w:ascii="宋体" w:hAnsi="宋体" w:eastAsia="宋体" w:cs="宋体"/>
          <w:color w:val="auto"/>
          <w:sz w:val="24"/>
          <w:highlight w:val="none"/>
        </w:rPr>
        <w:t xml:space="preserve"> </w:t>
      </w:r>
      <w:r>
        <w:rPr>
          <w:rStyle w:val="16"/>
          <w:rFonts w:hint="eastAsia" w:ascii="宋体" w:hAnsi="宋体" w:eastAsia="宋体" w:cs="宋体"/>
          <w:color w:val="auto"/>
          <w:sz w:val="24"/>
          <w:highlight w:val="none"/>
        </w:rPr>
        <w:br w:type="textWrapping"/>
      </w:r>
      <w:r>
        <w:rPr>
          <w:rStyle w:val="16"/>
          <w:rFonts w:hint="eastAsia" w:ascii="宋体" w:hAnsi="宋体" w:eastAsia="宋体" w:cs="宋体"/>
          <w:color w:val="auto"/>
          <w:sz w:val="24"/>
          <w:highlight w:val="none"/>
        </w:rPr>
        <w:t>2、交付时间：</w:t>
      </w:r>
      <w:r>
        <w:rPr>
          <w:rFonts w:hint="eastAsia" w:cs="宋体" w:asciiTheme="minorEastAsia" w:hAnsiTheme="minorEastAsia" w:eastAsiaTheme="minorEastAsia"/>
          <w:color w:val="auto"/>
          <w:kern w:val="0"/>
          <w:sz w:val="24"/>
          <w:szCs w:val="24"/>
          <w:highlight w:val="none"/>
        </w:rPr>
        <w:t>202</w:t>
      </w:r>
      <w:r>
        <w:rPr>
          <w:rFonts w:hint="eastAsia" w:cs="宋体" w:asciiTheme="minorEastAsia" w:hAnsiTheme="minorEastAsia"/>
          <w:color w:val="auto"/>
          <w:kern w:val="0"/>
          <w:sz w:val="24"/>
          <w:szCs w:val="24"/>
          <w:highlight w:val="none"/>
          <w:lang w:val="en-US" w:eastAsia="zh-CN"/>
        </w:rPr>
        <w:t>2</w:t>
      </w:r>
      <w:r>
        <w:rPr>
          <w:rFonts w:hint="eastAsia" w:cs="宋体" w:asciiTheme="minorEastAsia" w:hAnsiTheme="minorEastAsia" w:eastAsiaTheme="minorEastAsia"/>
          <w:color w:val="auto"/>
          <w:kern w:val="0"/>
          <w:sz w:val="24"/>
          <w:szCs w:val="24"/>
          <w:highlight w:val="none"/>
        </w:rPr>
        <w:t>年</w:t>
      </w:r>
      <w:r>
        <w:rPr>
          <w:rFonts w:hint="eastAsia" w:cs="宋体" w:asciiTheme="minorEastAsia" w:hAnsiTheme="minorEastAsia"/>
          <w:color w:val="auto"/>
          <w:kern w:val="0"/>
          <w:sz w:val="24"/>
          <w:szCs w:val="24"/>
          <w:highlight w:val="none"/>
          <w:lang w:val="en-US" w:eastAsia="zh-CN"/>
        </w:rPr>
        <w:t>8</w:t>
      </w:r>
      <w:r>
        <w:rPr>
          <w:rFonts w:hint="eastAsia" w:cs="宋体" w:asciiTheme="minorEastAsia" w:hAnsiTheme="minorEastAsia" w:eastAsiaTheme="minorEastAsia"/>
          <w:color w:val="auto"/>
          <w:kern w:val="0"/>
          <w:sz w:val="24"/>
          <w:szCs w:val="24"/>
          <w:highlight w:val="none"/>
        </w:rPr>
        <w:t>月</w:t>
      </w:r>
      <w:r>
        <w:rPr>
          <w:rFonts w:hint="eastAsia" w:cs="宋体" w:asciiTheme="minorEastAsia" w:hAnsiTheme="minorEastAsia"/>
          <w:color w:val="auto"/>
          <w:kern w:val="0"/>
          <w:sz w:val="24"/>
          <w:szCs w:val="24"/>
          <w:highlight w:val="none"/>
          <w:lang w:val="en-US" w:eastAsia="zh-CN"/>
        </w:rPr>
        <w:t>25</w:t>
      </w:r>
      <w:r>
        <w:rPr>
          <w:rFonts w:hint="eastAsia" w:cs="宋体" w:asciiTheme="minorEastAsia" w:hAnsiTheme="minorEastAsia" w:eastAsiaTheme="minorEastAsia"/>
          <w:color w:val="auto"/>
          <w:kern w:val="0"/>
          <w:sz w:val="24"/>
          <w:szCs w:val="24"/>
          <w:highlight w:val="none"/>
        </w:rPr>
        <w:t>日前</w:t>
      </w:r>
      <w:r>
        <w:rPr>
          <w:rStyle w:val="15"/>
          <w:rFonts w:hint="eastAsia" w:cs="宋体" w:asciiTheme="minorEastAsia" w:hAnsiTheme="minorEastAsia" w:eastAsiaTheme="minorEastAsia"/>
          <w:color w:val="auto"/>
          <w:kern w:val="0"/>
          <w:sz w:val="24"/>
          <w:szCs w:val="24"/>
          <w:highlight w:val="none"/>
        </w:rPr>
        <w:t>完成装修竣工验收并办理好相关手续对外运营。</w:t>
      </w:r>
      <w:r>
        <w:rPr>
          <w:rStyle w:val="15"/>
          <w:rFonts w:hint="eastAsia" w:cs="宋体" w:asciiTheme="minorEastAsia" w:hAnsiTheme="minorEastAsia" w:eastAsiaTheme="minorEastAsia"/>
          <w:color w:val="auto"/>
          <w:kern w:val="0"/>
          <w:sz w:val="28"/>
          <w:szCs w:val="28"/>
          <w:highlight w:val="none"/>
        </w:rPr>
        <w:br w:type="textWrapping"/>
      </w:r>
      <w:r>
        <w:rPr>
          <w:rStyle w:val="16"/>
          <w:rFonts w:hint="eastAsia" w:ascii="宋体" w:hAnsi="宋体" w:eastAsia="宋体" w:cs="宋体"/>
          <w:color w:val="auto"/>
          <w:sz w:val="24"/>
          <w:highlight w:val="none"/>
        </w:rPr>
        <w:t>3、交付条件：符合招标文件要求，并通过最终验收。</w:t>
      </w:r>
      <w:r>
        <w:rPr>
          <w:rStyle w:val="16"/>
          <w:rFonts w:hint="eastAsia" w:ascii="宋体" w:hAnsi="宋体" w:eastAsia="宋体" w:cs="宋体"/>
          <w:color w:val="auto"/>
          <w:sz w:val="24"/>
          <w:highlight w:val="none"/>
        </w:rPr>
        <w:br w:type="textWrapping"/>
      </w:r>
      <w:r>
        <w:rPr>
          <w:rStyle w:val="16"/>
          <w:rFonts w:hint="eastAsia" w:ascii="宋体" w:hAnsi="宋体" w:eastAsia="宋体" w:cs="宋体"/>
          <w:color w:val="auto"/>
          <w:sz w:val="24"/>
          <w:highlight w:val="none"/>
        </w:rPr>
        <w:t>4、是否收取履约保证金： 是。</w:t>
      </w:r>
      <w:r>
        <w:rPr>
          <w:rStyle w:val="16"/>
          <w:rFonts w:hint="eastAsia" w:ascii="宋体" w:hAnsi="宋体" w:eastAsia="宋体" w:cs="宋体"/>
          <w:b w:val="0"/>
          <w:bCs/>
          <w:color w:val="auto"/>
          <w:kern w:val="0"/>
          <w:sz w:val="24"/>
          <w:highlight w:val="none"/>
          <w:lang w:bidi="ar"/>
        </w:rPr>
        <w:t>履约保证金百分比：5%。</w:t>
      </w:r>
    </w:p>
    <w:p>
      <w:pPr>
        <w:widowControl/>
        <w:spacing w:line="360" w:lineRule="auto"/>
        <w:jc w:val="left"/>
        <w:rPr>
          <w:rStyle w:val="16"/>
          <w:rFonts w:hint="eastAsia" w:ascii="宋体" w:hAnsi="宋体" w:eastAsia="宋体" w:cs="宋体"/>
          <w:b w:val="0"/>
          <w:bCs/>
          <w:color w:val="auto"/>
          <w:kern w:val="0"/>
          <w:sz w:val="24"/>
          <w:highlight w:val="none"/>
          <w:lang w:bidi="ar"/>
        </w:rPr>
      </w:pPr>
      <w:r>
        <w:rPr>
          <w:rStyle w:val="16"/>
          <w:rFonts w:hint="eastAsia" w:ascii="宋体" w:hAnsi="宋体" w:eastAsia="宋体" w:cs="宋体"/>
          <w:b w:val="0"/>
          <w:bCs/>
          <w:color w:val="auto"/>
          <w:kern w:val="0"/>
          <w:sz w:val="24"/>
          <w:highlight w:val="none"/>
          <w:lang w:bidi="ar"/>
        </w:rPr>
        <w:t>说明：</w:t>
      </w:r>
      <w:r>
        <w:rPr>
          <w:rStyle w:val="16"/>
          <w:rFonts w:hint="eastAsia" w:ascii="宋体" w:hAnsi="宋体" w:eastAsia="宋体" w:cs="宋体"/>
          <w:b w:val="0"/>
          <w:bCs/>
          <w:color w:val="auto"/>
          <w:kern w:val="0"/>
          <w:sz w:val="24"/>
          <w:highlight w:val="none"/>
          <w:lang w:val="en-US" w:eastAsia="zh-CN" w:bidi="ar"/>
        </w:rPr>
        <w:t>4.</w:t>
      </w:r>
      <w:r>
        <w:rPr>
          <w:rStyle w:val="16"/>
          <w:rFonts w:hint="eastAsia" w:ascii="宋体" w:hAnsi="宋体" w:eastAsia="宋体" w:cs="宋体"/>
          <w:b w:val="0"/>
          <w:bCs/>
          <w:color w:val="auto"/>
          <w:kern w:val="0"/>
          <w:sz w:val="24"/>
          <w:highlight w:val="none"/>
          <w:lang w:bidi="ar"/>
        </w:rPr>
        <w:t>1</w:t>
      </w:r>
      <w:r>
        <w:rPr>
          <w:rStyle w:val="16"/>
          <w:rFonts w:hint="eastAsia" w:ascii="宋体" w:hAnsi="宋体" w:eastAsia="宋体" w:cs="宋体"/>
          <w:b w:val="0"/>
          <w:bCs/>
          <w:color w:val="auto"/>
          <w:kern w:val="0"/>
          <w:sz w:val="24"/>
          <w:highlight w:val="none"/>
          <w:lang w:val="en-US" w:eastAsia="zh-CN" w:bidi="ar"/>
        </w:rPr>
        <w:t xml:space="preserve"> </w:t>
      </w:r>
      <w:r>
        <w:rPr>
          <w:rStyle w:val="16"/>
          <w:rFonts w:hint="eastAsia" w:ascii="宋体" w:hAnsi="宋体" w:eastAsia="宋体" w:cs="宋体"/>
          <w:b w:val="0"/>
          <w:bCs/>
          <w:color w:val="auto"/>
          <w:kern w:val="0"/>
          <w:sz w:val="24"/>
          <w:highlight w:val="none"/>
          <w:lang w:bidi="ar"/>
        </w:rPr>
        <w:t>中标人必须在签订合同前向</w:t>
      </w:r>
      <w:r>
        <w:rPr>
          <w:rStyle w:val="16"/>
          <w:rFonts w:hint="eastAsia" w:ascii="宋体" w:hAnsi="宋体" w:eastAsia="宋体" w:cs="宋体"/>
          <w:b w:val="0"/>
          <w:bCs/>
          <w:color w:val="auto"/>
          <w:kern w:val="0"/>
          <w:sz w:val="24"/>
          <w:highlight w:val="none"/>
          <w:lang w:eastAsia="zh-CN" w:bidi="ar"/>
        </w:rPr>
        <w:t>招标</w:t>
      </w:r>
      <w:r>
        <w:rPr>
          <w:rStyle w:val="16"/>
          <w:rFonts w:hint="eastAsia" w:ascii="宋体" w:hAnsi="宋体" w:eastAsia="宋体" w:cs="宋体"/>
          <w:b w:val="0"/>
          <w:bCs/>
          <w:color w:val="auto"/>
          <w:kern w:val="0"/>
          <w:sz w:val="24"/>
          <w:highlight w:val="none"/>
          <w:lang w:bidi="ar"/>
        </w:rPr>
        <w:t>单位一次性支付本项目中标总金额5%作为履约保证金。</w:t>
      </w:r>
    </w:p>
    <w:p>
      <w:pPr>
        <w:widowControl/>
        <w:spacing w:line="360" w:lineRule="auto"/>
        <w:jc w:val="left"/>
        <w:rPr>
          <w:rStyle w:val="16"/>
          <w:rFonts w:hint="eastAsia" w:ascii="宋体" w:hAnsi="宋体" w:eastAsia="宋体" w:cs="宋体"/>
          <w:b w:val="0"/>
          <w:bCs/>
          <w:color w:val="auto"/>
          <w:kern w:val="0"/>
          <w:sz w:val="24"/>
          <w:highlight w:val="none"/>
          <w:lang w:bidi="ar"/>
        </w:rPr>
      </w:pPr>
      <w:r>
        <w:rPr>
          <w:rStyle w:val="16"/>
          <w:rFonts w:hint="eastAsia" w:ascii="宋体" w:hAnsi="宋体" w:eastAsia="宋体" w:cs="宋体"/>
          <w:b w:val="0"/>
          <w:bCs/>
          <w:color w:val="auto"/>
          <w:kern w:val="0"/>
          <w:sz w:val="24"/>
          <w:highlight w:val="none"/>
          <w:lang w:val="en-US" w:eastAsia="zh-CN" w:bidi="ar"/>
        </w:rPr>
        <w:t>4.</w:t>
      </w:r>
      <w:r>
        <w:rPr>
          <w:rStyle w:val="16"/>
          <w:rFonts w:hint="eastAsia" w:ascii="宋体" w:hAnsi="宋体" w:eastAsia="宋体" w:cs="宋体"/>
          <w:b w:val="0"/>
          <w:bCs/>
          <w:color w:val="auto"/>
          <w:kern w:val="0"/>
          <w:sz w:val="24"/>
          <w:highlight w:val="none"/>
          <w:lang w:bidi="ar"/>
        </w:rPr>
        <w:t>2</w:t>
      </w:r>
      <w:r>
        <w:rPr>
          <w:rStyle w:val="16"/>
          <w:rFonts w:hint="eastAsia" w:ascii="宋体" w:hAnsi="宋体" w:eastAsia="宋体" w:cs="宋体"/>
          <w:b w:val="0"/>
          <w:bCs/>
          <w:color w:val="auto"/>
          <w:kern w:val="0"/>
          <w:sz w:val="24"/>
          <w:highlight w:val="none"/>
          <w:lang w:val="en-US" w:eastAsia="zh-CN" w:bidi="ar"/>
        </w:rPr>
        <w:t xml:space="preserve"> </w:t>
      </w:r>
      <w:r>
        <w:rPr>
          <w:rStyle w:val="16"/>
          <w:rFonts w:hint="eastAsia" w:ascii="宋体" w:hAnsi="宋体" w:eastAsia="宋体" w:cs="宋体"/>
          <w:b w:val="0"/>
          <w:bCs/>
          <w:color w:val="auto"/>
          <w:kern w:val="0"/>
          <w:sz w:val="24"/>
          <w:highlight w:val="none"/>
          <w:lang w:bidi="ar"/>
        </w:rPr>
        <w:t>中标人在经营期间若无出现合同约定的违约情况，</w:t>
      </w:r>
      <w:r>
        <w:rPr>
          <w:rStyle w:val="16"/>
          <w:rFonts w:hint="eastAsia" w:ascii="宋体" w:hAnsi="宋体" w:eastAsia="宋体" w:cs="宋体"/>
          <w:b w:val="0"/>
          <w:bCs/>
          <w:color w:val="auto"/>
          <w:kern w:val="0"/>
          <w:sz w:val="24"/>
          <w:highlight w:val="none"/>
          <w:lang w:eastAsia="zh-CN" w:bidi="ar"/>
        </w:rPr>
        <w:t>招标</w:t>
      </w:r>
      <w:r>
        <w:rPr>
          <w:rStyle w:val="16"/>
          <w:rFonts w:hint="eastAsia" w:ascii="宋体" w:hAnsi="宋体" w:eastAsia="宋体" w:cs="宋体"/>
          <w:b w:val="0"/>
          <w:bCs/>
          <w:color w:val="auto"/>
          <w:kern w:val="0"/>
          <w:sz w:val="24"/>
          <w:highlight w:val="none"/>
          <w:lang w:bidi="ar"/>
        </w:rPr>
        <w:t>单位应于合同期届满后30天内，将履约保证金全额无息返还给中标人。</w:t>
      </w:r>
    </w:p>
    <w:p>
      <w:pPr>
        <w:widowControl/>
        <w:spacing w:line="360" w:lineRule="auto"/>
        <w:jc w:val="left"/>
        <w:rPr>
          <w:rStyle w:val="16"/>
          <w:rFonts w:hint="eastAsia" w:ascii="宋体" w:hAnsi="宋体" w:eastAsia="宋体" w:cs="宋体"/>
          <w:b w:val="0"/>
          <w:bCs/>
          <w:color w:val="auto"/>
          <w:kern w:val="0"/>
          <w:sz w:val="24"/>
          <w:highlight w:val="none"/>
          <w:lang w:bidi="ar"/>
        </w:rPr>
      </w:pPr>
      <w:r>
        <w:rPr>
          <w:rStyle w:val="16"/>
          <w:rFonts w:hint="eastAsia" w:ascii="宋体" w:hAnsi="宋体" w:eastAsia="宋体" w:cs="宋体"/>
          <w:b w:val="0"/>
          <w:bCs/>
          <w:color w:val="auto"/>
          <w:kern w:val="0"/>
          <w:sz w:val="24"/>
          <w:highlight w:val="none"/>
          <w:lang w:bidi="ar"/>
        </w:rPr>
        <w:t>4.3</w:t>
      </w:r>
      <w:r>
        <w:rPr>
          <w:rStyle w:val="16"/>
          <w:rFonts w:hint="eastAsia" w:ascii="宋体" w:hAnsi="宋体" w:eastAsia="宋体" w:cs="宋体"/>
          <w:b w:val="0"/>
          <w:bCs/>
          <w:color w:val="auto"/>
          <w:kern w:val="0"/>
          <w:sz w:val="24"/>
          <w:highlight w:val="none"/>
          <w:lang w:val="en-US" w:eastAsia="zh-CN" w:bidi="ar"/>
        </w:rPr>
        <w:t xml:space="preserve"> </w:t>
      </w:r>
      <w:r>
        <w:rPr>
          <w:rStyle w:val="16"/>
          <w:rFonts w:hint="eastAsia" w:ascii="宋体" w:hAnsi="宋体" w:eastAsia="宋体" w:cs="宋体"/>
          <w:b w:val="0"/>
          <w:bCs/>
          <w:color w:val="auto"/>
          <w:kern w:val="0"/>
          <w:sz w:val="24"/>
          <w:highlight w:val="none"/>
          <w:lang w:bidi="ar"/>
        </w:rPr>
        <w:t>如在经营期间或者经营期满中标人出现违约情况，</w:t>
      </w:r>
      <w:r>
        <w:rPr>
          <w:rStyle w:val="16"/>
          <w:rFonts w:hint="eastAsia" w:ascii="宋体" w:hAnsi="宋体" w:eastAsia="宋体" w:cs="宋体"/>
          <w:b w:val="0"/>
          <w:bCs/>
          <w:color w:val="auto"/>
          <w:kern w:val="0"/>
          <w:sz w:val="24"/>
          <w:highlight w:val="none"/>
          <w:lang w:eastAsia="zh-CN" w:bidi="ar"/>
        </w:rPr>
        <w:t>招标</w:t>
      </w:r>
      <w:r>
        <w:rPr>
          <w:rStyle w:val="16"/>
          <w:rFonts w:hint="eastAsia" w:ascii="宋体" w:hAnsi="宋体" w:eastAsia="宋体" w:cs="宋体"/>
          <w:b w:val="0"/>
          <w:bCs/>
          <w:color w:val="auto"/>
          <w:kern w:val="0"/>
          <w:sz w:val="24"/>
          <w:highlight w:val="none"/>
          <w:lang w:bidi="ar"/>
        </w:rPr>
        <w:t>单位有权直接将履行保证金作为违约金或赔偿金进行扣抵；不足部分中标人应在3日内补足。</w:t>
      </w:r>
    </w:p>
    <w:p>
      <w:pPr>
        <w:widowControl/>
        <w:spacing w:line="360" w:lineRule="auto"/>
        <w:jc w:val="left"/>
        <w:rPr>
          <w:rStyle w:val="16"/>
          <w:rFonts w:ascii="宋体" w:hAnsi="宋体" w:eastAsia="宋体" w:cs="宋体"/>
          <w:color w:val="auto"/>
          <w:sz w:val="24"/>
          <w:highlight w:val="none"/>
        </w:rPr>
      </w:pPr>
      <w:r>
        <w:rPr>
          <w:rStyle w:val="16"/>
          <w:rFonts w:hint="eastAsia" w:ascii="宋体" w:hAnsi="宋体" w:eastAsia="宋体" w:cs="宋体"/>
          <w:color w:val="auto"/>
          <w:sz w:val="24"/>
          <w:highlight w:val="none"/>
        </w:rPr>
        <w:t>5、是否邀请投标人参与验收：否</w:t>
      </w:r>
    </w:p>
    <w:p>
      <w:pPr>
        <w:pStyle w:val="12"/>
        <w:widowControl/>
        <w:spacing w:before="75" w:beforeAutospacing="0" w:after="75" w:afterAutospacing="0"/>
        <w:rPr>
          <w:color w:val="auto"/>
          <w:highlight w:val="none"/>
        </w:rPr>
      </w:pPr>
      <w:r>
        <w:rPr>
          <w:rStyle w:val="16"/>
          <w:rFonts w:hint="eastAsia" w:ascii="宋体" w:hAnsi="宋体" w:eastAsia="宋体" w:cs="宋体"/>
          <w:color w:val="auto"/>
          <w:highlight w:val="none"/>
        </w:rPr>
        <w:t xml:space="preserve">6、验收方式数据表格 </w:t>
      </w:r>
    </w:p>
    <w:tbl>
      <w:tblPr>
        <w:tblStyle w:val="13"/>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s="宋体"/>
                <w:color w:val="auto"/>
                <w:kern w:val="0"/>
                <w:sz w:val="24"/>
                <w:highlight w:val="none"/>
                <w:lang w:bidi="ar"/>
              </w:rPr>
              <w:t>验收期次</w:t>
            </w:r>
          </w:p>
        </w:tc>
        <w:tc>
          <w:tcPr>
            <w:tcW w:w="4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highlight w:val="none"/>
              </w:rPr>
            </w:pPr>
            <w:r>
              <w:rPr>
                <w:rFonts w:ascii="宋体" w:hAnsi="宋体" w:eastAsia="宋体" w:cs="宋体"/>
                <w:color w:val="auto"/>
                <w:kern w:val="0"/>
                <w:sz w:val="24"/>
                <w:highlight w:val="none"/>
                <w:lang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67" w:type="dxa"/>
            <w:tcBorders>
              <w:top w:val="outset" w:color="auto" w:sz="6" w:space="0"/>
              <w:left w:val="outset" w:color="auto" w:sz="6" w:space="0"/>
              <w:bottom w:val="outset" w:color="auto" w:sz="6" w:space="0"/>
              <w:right w:val="outset" w:color="auto" w:sz="6" w:space="0"/>
            </w:tcBorders>
            <w:shd w:val="clear" w:color="auto" w:fill="auto"/>
            <w:vAlign w:val="center"/>
          </w:tcPr>
          <w:p>
            <w:pPr>
              <w:spacing w:line="360" w:lineRule="auto"/>
              <w:ind w:firstLine="0" w:firstLineChars="0"/>
              <w:jc w:val="center"/>
              <w:rPr>
                <w:color w:val="auto"/>
                <w:highlight w:val="none"/>
              </w:rPr>
            </w:pPr>
            <w:r>
              <w:rPr>
                <w:rFonts w:hint="eastAsia" w:asciiTheme="minorEastAsia" w:hAnsiTheme="minorEastAsia" w:eastAsiaTheme="minorEastAsia"/>
                <w:color w:val="auto"/>
                <w:sz w:val="24"/>
                <w:highlight w:val="none"/>
              </w:rPr>
              <w:t>1</w:t>
            </w:r>
          </w:p>
        </w:tc>
        <w:tc>
          <w:tcPr>
            <w:tcW w:w="6669" w:type="dxa"/>
            <w:tcBorders>
              <w:top w:val="outset" w:color="auto" w:sz="6" w:space="0"/>
              <w:left w:val="outset" w:color="auto" w:sz="6" w:space="0"/>
              <w:bottom w:val="outset" w:color="auto" w:sz="6" w:space="0"/>
              <w:right w:val="outset" w:color="auto" w:sz="6" w:space="0"/>
            </w:tcBorders>
            <w:shd w:val="clear" w:color="auto" w:fill="auto"/>
            <w:vAlign w:val="center"/>
          </w:tcPr>
          <w:p>
            <w:pPr>
              <w:spacing w:line="360" w:lineRule="auto"/>
              <w:ind w:firstLine="0" w:firstLineChars="0"/>
              <w:jc w:val="left"/>
              <w:rPr>
                <w:color w:val="auto"/>
                <w:highlight w:val="none"/>
              </w:rPr>
            </w:pPr>
            <w:r>
              <w:rPr>
                <w:rFonts w:hint="eastAsia" w:asciiTheme="minorEastAsia" w:hAnsiTheme="minorEastAsia" w:eastAsiaTheme="minorEastAsia"/>
                <w:color w:val="auto"/>
                <w:sz w:val="24"/>
                <w:highlight w:val="none"/>
                <w:lang w:val="zh-CN"/>
              </w:rPr>
              <w:t>工程竣工后，由投标人提出验收申请并报送相关清单给</w:t>
            </w:r>
            <w:r>
              <w:rPr>
                <w:rFonts w:hint="eastAsia" w:asciiTheme="minorEastAsia" w:hAnsiTheme="minorEastAsia"/>
                <w:color w:val="auto"/>
                <w:sz w:val="24"/>
                <w:highlight w:val="none"/>
                <w:lang w:val="zh-CN"/>
              </w:rPr>
              <w:t>招标</w:t>
            </w:r>
            <w:r>
              <w:rPr>
                <w:rFonts w:hint="eastAsia" w:asciiTheme="minorEastAsia" w:hAnsiTheme="minorEastAsia" w:eastAsiaTheme="minorEastAsia"/>
                <w:color w:val="auto"/>
                <w:sz w:val="24"/>
                <w:highlight w:val="none"/>
                <w:lang w:val="zh-CN"/>
              </w:rPr>
              <w:t>单位备案（投资金额以工程合同及最后送审结算为准），</w:t>
            </w:r>
            <w:r>
              <w:rPr>
                <w:rFonts w:hint="eastAsia" w:asciiTheme="minorEastAsia" w:hAnsiTheme="minorEastAsia"/>
                <w:color w:val="auto"/>
                <w:sz w:val="24"/>
                <w:highlight w:val="none"/>
                <w:lang w:val="zh-CN"/>
              </w:rPr>
              <w:t>招标</w:t>
            </w:r>
            <w:r>
              <w:rPr>
                <w:rFonts w:hint="eastAsia" w:asciiTheme="minorEastAsia" w:hAnsiTheme="minorEastAsia" w:eastAsiaTheme="minorEastAsia"/>
                <w:color w:val="auto"/>
                <w:sz w:val="24"/>
                <w:highlight w:val="none"/>
                <w:lang w:val="zh-CN"/>
              </w:rPr>
              <w:t>单位将组织人员对装修和设备添置情况进行验收，按规定送第三方审核确认。</w:t>
            </w:r>
          </w:p>
        </w:tc>
      </w:tr>
    </w:tbl>
    <w:p>
      <w:pPr>
        <w:widowControl/>
        <w:numPr>
          <w:ilvl w:val="0"/>
          <w:numId w:val="3"/>
        </w:numPr>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报价要求</w:t>
      </w:r>
    </w:p>
    <w:p>
      <w:pPr>
        <w:pStyle w:val="2"/>
        <w:numPr>
          <w:ilvl w:val="0"/>
          <w:numId w:val="0"/>
        </w:numPr>
        <w:ind w:right="-84"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.1本次招标为整体招标，投标人必须对</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项目的所有内容及服务进行完整报价响应。拆分报价或不完整响应的将视为无效投标。</w:t>
      </w:r>
    </w:p>
    <w:p>
      <w:pPr>
        <w:pStyle w:val="2"/>
        <w:numPr>
          <w:ilvl w:val="0"/>
          <w:numId w:val="0"/>
        </w:numPr>
        <w:ind w:right="-84"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.2报价以人民币为货币单位，应分单价、小计和总价。</w:t>
      </w:r>
    </w:p>
    <w:p>
      <w:pPr>
        <w:pStyle w:val="2"/>
        <w:numPr>
          <w:ilvl w:val="0"/>
          <w:numId w:val="0"/>
        </w:numPr>
        <w:ind w:right="-84"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.3投标总报价为项目经</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验收合格并交付使用所有可能发生的费用，包括货物（含货物主体、辅助材料、配件）供应、装修、运输、保险费、采购保管、安装调试、产品检验检测、操作人员培训、人工费、税收保修费、食堂设备维修、食堂修缮、系统升级等以及可能漏项漏报等的一切费用，</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不再支付其他任何费用。</w:t>
      </w:r>
    </w:p>
    <w:p>
      <w:pPr>
        <w:pStyle w:val="2"/>
        <w:numPr>
          <w:ilvl w:val="0"/>
          <w:numId w:val="0"/>
        </w:numPr>
        <w:ind w:right="-84"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.4.投标人对本项目只能有一个报价，</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单位不接受有选择的报价。</w:t>
      </w:r>
    </w:p>
    <w:p>
      <w:pPr>
        <w:pStyle w:val="2"/>
        <w:numPr>
          <w:ilvl w:val="0"/>
          <w:numId w:val="0"/>
        </w:numPr>
        <w:ind w:right="-84" w:right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、其他</w:t>
      </w:r>
    </w:p>
    <w:p>
      <w:pPr>
        <w:pStyle w:val="2"/>
        <w:numPr>
          <w:ilvl w:val="0"/>
          <w:numId w:val="0"/>
        </w:numPr>
        <w:ind w:right="-84" w:rightChars="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.1不允许中标人以任何名义和理由进行转包，如有发现，招标</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有权单方终止合同，视为中标人违约，没收履约保证金。如履约保证金不能弥补中标人违约对</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造成的损失的，中标人还需另行支付相应的赔偿。</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在投标文件中需提供不进行项目分转包书面承诺函并加盖投标人公章，承诺函格式自拟</w:t>
      </w:r>
      <w:r>
        <w:rPr>
          <w:rFonts w:hint="default" w:ascii="宋体" w:hAnsi="宋体" w:eastAsia="宋体" w:cs="宋体"/>
          <w:color w:val="auto"/>
          <w:sz w:val="24"/>
          <w:szCs w:val="24"/>
          <w:highlight w:val="none"/>
          <w:lang w:val="en-US"/>
        </w:rPr>
        <w:t>,</w:t>
      </w:r>
      <w:r>
        <w:rPr>
          <w:rFonts w:hint="eastAsia" w:ascii="宋体" w:hAnsi="宋体" w:eastAsia="宋体" w:cs="宋体"/>
          <w:b/>
          <w:bCs/>
          <w:color w:val="auto"/>
          <w:sz w:val="24"/>
          <w:szCs w:val="24"/>
          <w:highlight w:val="none"/>
          <w:lang w:val="en-US" w:eastAsia="zh-CN"/>
        </w:rPr>
        <w:t>未按要求提供将视为投标无效</w:t>
      </w:r>
      <w:r>
        <w:rPr>
          <w:rFonts w:hint="eastAsia" w:ascii="宋体" w:hAnsi="宋体" w:eastAsia="宋体" w:cs="宋体"/>
          <w:b/>
          <w:bCs/>
          <w:color w:val="auto"/>
          <w:sz w:val="24"/>
          <w:szCs w:val="24"/>
          <w:highlight w:val="none"/>
        </w:rPr>
        <w:t>。</w:t>
      </w:r>
    </w:p>
    <w:p>
      <w:pPr>
        <w:pStyle w:val="2"/>
        <w:numPr>
          <w:ilvl w:val="0"/>
          <w:numId w:val="0"/>
        </w:numPr>
        <w:ind w:right="-84"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.2合同期内中标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与其聘用人员之间的一切权利、义务、安全和纠纷由中标供应商自行负责，与</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无关。</w:t>
      </w:r>
    </w:p>
    <w:p>
      <w:pPr>
        <w:pStyle w:val="2"/>
        <w:numPr>
          <w:ilvl w:val="0"/>
          <w:numId w:val="0"/>
        </w:numPr>
        <w:ind w:right="-84"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.3中标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及其聘用人员需遵守</w:t>
      </w:r>
      <w:r>
        <w:rPr>
          <w:rFonts w:hint="eastAsia" w:ascii="宋体" w:hAnsi="宋体" w:eastAsia="宋体" w:cs="宋体"/>
          <w:color w:val="auto"/>
          <w:sz w:val="24"/>
          <w:szCs w:val="24"/>
          <w:highlight w:val="none"/>
          <w:lang w:val="en-US" w:eastAsia="zh-CN"/>
        </w:rPr>
        <w:t>招标单位</w:t>
      </w:r>
      <w:r>
        <w:rPr>
          <w:rFonts w:hint="eastAsia" w:ascii="宋体" w:hAnsi="宋体" w:eastAsia="宋体" w:cs="宋体"/>
          <w:color w:val="auto"/>
          <w:sz w:val="24"/>
          <w:szCs w:val="24"/>
          <w:highlight w:val="none"/>
        </w:rPr>
        <w:t>有关防疫、消防、安全生产等管理规定；</w:t>
      </w:r>
    </w:p>
    <w:p>
      <w:pPr>
        <w:pStyle w:val="2"/>
        <w:numPr>
          <w:ilvl w:val="0"/>
          <w:numId w:val="0"/>
        </w:numPr>
        <w:ind w:right="-84"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.4在服务期内，如中标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未按照投标文件内</w:t>
      </w:r>
      <w:r>
        <w:rPr>
          <w:rFonts w:hint="eastAsia" w:ascii="宋体" w:hAnsi="宋体" w:eastAsia="宋体" w:cs="宋体"/>
          <w:color w:val="auto"/>
          <w:sz w:val="24"/>
          <w:szCs w:val="24"/>
          <w:highlight w:val="none"/>
          <w:lang w:val="en-US" w:eastAsia="zh-CN"/>
        </w:rPr>
        <w:t>容</w:t>
      </w:r>
      <w:r>
        <w:rPr>
          <w:rFonts w:hint="eastAsia" w:ascii="宋体" w:hAnsi="宋体" w:eastAsia="宋体" w:cs="宋体"/>
          <w:color w:val="auto"/>
          <w:sz w:val="24"/>
          <w:szCs w:val="24"/>
          <w:highlight w:val="none"/>
        </w:rPr>
        <w:t>和合同约定履行合同义务，</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将对其警告和责令整改，在责令规定期限内未按</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要求进行整改的或未达到</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要求的，造成严重后果的，</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有权没收其履约保证金并单方面解除合同，中标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须无条件服从并承担</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的一切损失。如中标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因故中途退出，须与</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协商并经得同意，且承担对本项目造成的一切后果。</w:t>
      </w:r>
    </w:p>
    <w:p>
      <w:pPr>
        <w:pStyle w:val="2"/>
        <w:numPr>
          <w:ilvl w:val="0"/>
          <w:numId w:val="0"/>
        </w:numPr>
        <w:ind w:right="-84"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8.5现场考察：是。招标人将在报名截止时间后第 3 个日历日（2021年11月15日）组织所有潜在投标人进行对本项目合同包1的现场考察，因疫情防控需求有意参与的潜在投标人须于考察前一个日历日向招标单位进行报备并提供相关的报备资料（未按要求提前报备的相关责任由投标人自行承担），有意参与的潜在投标人请于考察当日上午9点00分前自行前往主校区服务地点进行考察。投标人对本次招标项目的现状应有充分认识，自行判断能够完成本项目的服务工作所需的费用。中标后不得以实际情况与招标要求不同而提出异议。</w:t>
      </w:r>
    </w:p>
    <w:p>
      <w:pPr>
        <w:pStyle w:val="2"/>
        <w:rPr>
          <w:rFonts w:hint="eastAsia" w:ascii="宋体" w:hAnsi="宋体" w:eastAsia="宋体" w:cs="宋体"/>
          <w:color w:val="auto"/>
          <w:kern w:val="2"/>
          <w:sz w:val="24"/>
          <w:szCs w:val="24"/>
          <w:highlight w:val="none"/>
          <w:lang w:val="en-US" w:eastAsia="zh-CN" w:bidi="ar-SA"/>
        </w:rPr>
      </w:pPr>
      <w:r>
        <w:rPr>
          <w:rStyle w:val="16"/>
          <w:rFonts w:hint="eastAsia" w:ascii="宋体" w:hAnsi="宋体" w:eastAsia="宋体" w:cs="宋体"/>
          <w:color w:val="auto"/>
          <w:highlight w:val="none"/>
        </w:rPr>
        <w:t>★</w:t>
      </w:r>
      <w:r>
        <w:rPr>
          <w:rFonts w:hint="eastAsia" w:ascii="宋体" w:hAnsi="宋体" w:eastAsia="宋体" w:cs="宋体"/>
          <w:color w:val="auto"/>
          <w:kern w:val="2"/>
          <w:sz w:val="24"/>
          <w:szCs w:val="24"/>
          <w:highlight w:val="none"/>
          <w:lang w:val="en-US" w:eastAsia="zh-CN" w:bidi="ar-SA"/>
        </w:rPr>
        <w:t>注：投标人须完全响应本章节“</w:t>
      </w:r>
      <w:r>
        <w:rPr>
          <w:rFonts w:hint="eastAsia" w:ascii="宋体" w:hAnsi="宋体" w:eastAsia="宋体" w:cs="宋体"/>
          <w:b/>
          <w:bCs/>
          <w:color w:val="auto"/>
          <w:highlight w:val="none"/>
        </w:rPr>
        <w:t>二、</w:t>
      </w:r>
      <w:r>
        <w:rPr>
          <w:rFonts w:hint="eastAsia" w:ascii="宋体" w:hAnsi="宋体" w:eastAsia="宋体" w:cs="宋体"/>
          <w:color w:val="auto"/>
          <w:kern w:val="2"/>
          <w:sz w:val="24"/>
          <w:szCs w:val="24"/>
          <w:highlight w:val="none"/>
          <w:lang w:val="en-US" w:eastAsia="zh-CN" w:bidi="ar-SA"/>
        </w:rPr>
        <w:t>技术和服务要求”以及“三、商务条件”的所有规定，任意一项负偏离将视为</w:t>
      </w:r>
      <w:r>
        <w:rPr>
          <w:rFonts w:hint="eastAsia" w:ascii="宋体" w:hAnsi="宋体" w:eastAsia="宋体" w:cs="宋体"/>
          <w:b/>
          <w:bCs/>
          <w:color w:val="auto"/>
          <w:kern w:val="2"/>
          <w:sz w:val="24"/>
          <w:szCs w:val="24"/>
          <w:highlight w:val="none"/>
          <w:lang w:val="en-US" w:eastAsia="zh-CN" w:bidi="ar-SA"/>
        </w:rPr>
        <w:t>投标无效</w:t>
      </w:r>
      <w:r>
        <w:rPr>
          <w:rFonts w:hint="eastAsia" w:ascii="宋体" w:hAnsi="宋体" w:eastAsia="宋体" w:cs="宋体"/>
          <w:color w:val="auto"/>
          <w:kern w:val="2"/>
          <w:sz w:val="24"/>
          <w:szCs w:val="24"/>
          <w:highlight w:val="none"/>
          <w:lang w:val="en-US" w:eastAsia="zh-CN" w:bidi="ar-SA"/>
        </w:rPr>
        <w:t>。</w:t>
      </w:r>
    </w:p>
    <w:p>
      <w:pPr>
        <w:pStyle w:val="2"/>
        <w:numPr>
          <w:ilvl w:val="0"/>
          <w:numId w:val="0"/>
        </w:numPr>
        <w:ind w:right="-84" w:rightChars="0"/>
        <w:rPr>
          <w:rFonts w:hint="default" w:ascii="宋体" w:hAnsi="宋体" w:eastAsia="宋体" w:cs="宋体"/>
          <w:color w:val="auto"/>
          <w:sz w:val="24"/>
          <w:szCs w:val="24"/>
          <w:highlight w:val="none"/>
          <w:lang w:val="en-US" w:eastAsia="zh-CN"/>
        </w:rPr>
      </w:pPr>
    </w:p>
    <w:p>
      <w:pPr>
        <w:pStyle w:val="2"/>
        <w:numPr>
          <w:ilvl w:val="0"/>
          <w:numId w:val="0"/>
        </w:numPr>
        <w:ind w:right="-84" w:rightChars="0"/>
        <w:rPr>
          <w:rFonts w:hint="default" w:ascii="宋体" w:hAnsi="宋体" w:eastAsia="宋体" w:cs="宋体"/>
          <w:color w:val="auto"/>
          <w:sz w:val="24"/>
          <w:szCs w:val="24"/>
          <w:highlight w:val="none"/>
          <w:lang w:val="en-US" w:eastAsia="zh-CN"/>
        </w:rPr>
      </w:pPr>
    </w:p>
    <w:p>
      <w:pPr>
        <w:pStyle w:val="12"/>
        <w:widowControl/>
        <w:spacing w:before="75" w:beforeAutospacing="0" w:after="75" w:afterAutospacing="0" w:line="360" w:lineRule="auto"/>
        <w:outlineLvl w:val="1"/>
        <w:rPr>
          <w:rFonts w:asciiTheme="minorEastAsia" w:hAnsiTheme="minorEastAsia" w:cstheme="minorEastAsia"/>
          <w:b/>
          <w:bCs/>
          <w:color w:val="auto"/>
          <w:highlight w:val="none"/>
        </w:rPr>
      </w:pPr>
      <w:r>
        <w:rPr>
          <w:rFonts w:hint="eastAsia" w:asciiTheme="minorEastAsia" w:hAnsiTheme="minorEastAsia" w:cstheme="minorEastAsia"/>
          <w:b/>
          <w:bCs/>
          <w:color w:val="auto"/>
          <w:highlight w:val="none"/>
        </w:rPr>
        <w:t>四、其他事项</w:t>
      </w:r>
    </w:p>
    <w:p>
      <w:pPr>
        <w:pStyle w:val="12"/>
        <w:widowControl/>
        <w:spacing w:before="75" w:beforeAutospacing="0" w:after="75" w:afterAutospacing="0" w:line="360" w:lineRule="auto"/>
        <w:ind w:firstLine="480" w:firstLineChars="200"/>
        <w:rPr>
          <w:color w:val="auto"/>
          <w:highlight w:val="none"/>
        </w:rPr>
      </w:pPr>
      <w:r>
        <w:rPr>
          <w:rFonts w:hint="eastAsia" w:ascii="宋体" w:hAnsi="宋体" w:eastAsia="宋体" w:cs="宋体"/>
          <w:color w:val="auto"/>
          <w:highlight w:val="none"/>
        </w:rPr>
        <w:t>除招标文件另有规定外，若出现有关法律、法规和规章有强制性规定但招标文件未列明的情形，则投标人应按照有关法律、法规和规章强制性规定执行。</w:t>
      </w:r>
    </w:p>
    <w:p>
      <w:pPr>
        <w:spacing w:line="360" w:lineRule="auto"/>
        <w:ind w:firstLine="622" w:firstLineChars="200"/>
        <w:rPr>
          <w:rStyle w:val="16"/>
          <w:rFonts w:ascii="宋体" w:hAnsi="宋体" w:eastAsia="宋体" w:cs="宋体"/>
          <w:color w:val="auto"/>
          <w:sz w:val="31"/>
          <w:szCs w:val="31"/>
          <w:highlight w:val="none"/>
        </w:rPr>
      </w:pPr>
      <w:r>
        <w:rPr>
          <w:rStyle w:val="16"/>
          <w:rFonts w:hint="eastAsia" w:ascii="宋体" w:hAnsi="宋体" w:eastAsia="宋体" w:cs="宋体"/>
          <w:color w:val="auto"/>
          <w:sz w:val="31"/>
          <w:szCs w:val="31"/>
          <w:highlight w:val="none"/>
        </w:rPr>
        <w:br w:type="page"/>
      </w:r>
    </w:p>
    <w:p>
      <w:pPr>
        <w:pStyle w:val="12"/>
        <w:widowControl/>
        <w:spacing w:before="75" w:beforeAutospacing="0" w:after="75" w:afterAutospacing="0"/>
        <w:jc w:val="center"/>
        <w:outlineLvl w:val="0"/>
        <w:rPr>
          <w:color w:val="auto"/>
          <w:highlight w:val="none"/>
        </w:rPr>
      </w:pPr>
      <w:r>
        <w:rPr>
          <w:rStyle w:val="16"/>
          <w:rFonts w:hint="eastAsia" w:ascii="宋体" w:hAnsi="宋体" w:eastAsia="宋体" w:cs="宋体"/>
          <w:color w:val="auto"/>
          <w:sz w:val="31"/>
          <w:szCs w:val="31"/>
          <w:highlight w:val="none"/>
        </w:rPr>
        <w:t>第六章   </w:t>
      </w:r>
      <w:r>
        <w:rPr>
          <w:rStyle w:val="16"/>
          <w:rFonts w:hint="eastAsia" w:ascii="宋体" w:hAnsi="宋体" w:eastAsia="宋体" w:cs="宋体"/>
          <w:color w:val="auto"/>
          <w:sz w:val="31"/>
          <w:szCs w:val="31"/>
          <w:highlight w:val="none"/>
          <w:lang w:eastAsia="zh-CN"/>
        </w:rPr>
        <w:t>承包</w:t>
      </w:r>
      <w:r>
        <w:rPr>
          <w:rStyle w:val="16"/>
          <w:rFonts w:hint="eastAsia" w:ascii="宋体" w:hAnsi="宋体" w:eastAsia="宋体" w:cs="宋体"/>
          <w:color w:val="auto"/>
          <w:sz w:val="31"/>
          <w:szCs w:val="31"/>
          <w:highlight w:val="none"/>
        </w:rPr>
        <w:t>合同（参考文本）</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2"/>
        <w:widowControl/>
        <w:spacing w:before="75" w:beforeAutospacing="0" w:after="75" w:afterAutospacing="0"/>
        <w:jc w:val="center"/>
        <w:rPr>
          <w:color w:val="auto"/>
          <w:highlight w:val="none"/>
        </w:rPr>
      </w:pPr>
      <w:r>
        <w:rPr>
          <w:rStyle w:val="16"/>
          <w:rFonts w:hint="eastAsia" w:ascii="宋体" w:hAnsi="宋体" w:eastAsia="宋体" w:cs="宋体"/>
          <w:color w:val="auto"/>
          <w:highlight w:val="none"/>
        </w:rPr>
        <w:t>编制说明</w:t>
      </w:r>
    </w:p>
    <w:p>
      <w:pPr>
        <w:pStyle w:val="12"/>
        <w:widowControl/>
        <w:spacing w:before="75" w:beforeAutospacing="0" w:after="75" w:afterAutospacing="0"/>
        <w:rPr>
          <w:color w:val="auto"/>
          <w:highlight w:val="none"/>
        </w:rPr>
      </w:pPr>
      <w:r>
        <w:rPr>
          <w:rStyle w:val="16"/>
          <w:rFonts w:hint="eastAsia" w:ascii="宋体" w:hAnsi="宋体" w:eastAsia="宋体" w:cs="宋体"/>
          <w:color w:val="auto"/>
          <w:highlight w:val="none"/>
        </w:rPr>
        <w:t>1、签订合同应遵守民法典等相应的法律法规。</w:t>
      </w:r>
    </w:p>
    <w:p>
      <w:pPr>
        <w:pStyle w:val="12"/>
        <w:widowControl/>
        <w:spacing w:before="75" w:beforeAutospacing="0" w:after="75" w:afterAutospacing="0"/>
        <w:rPr>
          <w:color w:val="auto"/>
          <w:highlight w:val="none"/>
        </w:rPr>
      </w:pPr>
      <w:r>
        <w:rPr>
          <w:rStyle w:val="16"/>
          <w:rFonts w:hint="eastAsia" w:ascii="宋体" w:hAnsi="宋体" w:eastAsia="宋体" w:cs="宋体"/>
          <w:color w:val="auto"/>
          <w:highlight w:val="none"/>
        </w:rPr>
        <w:t>2、签订合同时，</w:t>
      </w:r>
      <w:r>
        <w:rPr>
          <w:rStyle w:val="16"/>
          <w:rFonts w:hint="eastAsia" w:ascii="宋体" w:hAnsi="宋体" w:eastAsia="宋体" w:cs="宋体"/>
          <w:color w:val="auto"/>
          <w:highlight w:val="none"/>
          <w:lang w:eastAsia="zh-CN"/>
        </w:rPr>
        <w:t>招标人</w:t>
      </w:r>
      <w:r>
        <w:rPr>
          <w:rStyle w:val="16"/>
          <w:rFonts w:hint="eastAsia" w:ascii="宋体" w:hAnsi="宋体" w:eastAsia="宋体" w:cs="宋体"/>
          <w:color w:val="auto"/>
          <w:highlight w:val="none"/>
        </w:rPr>
        <w:t>与中标人应结合招标文件第五章规定填列相应内容。招标文件第五章已有规定的，双方均不得变更或调整；招标文件第五章未作规定的，双方可通过友好协商进行约定。</w:t>
      </w:r>
    </w:p>
    <w:p>
      <w:pPr>
        <w:pStyle w:val="12"/>
        <w:widowControl/>
        <w:spacing w:before="75" w:beforeAutospacing="0" w:after="75" w:afterAutospacing="0"/>
        <w:rPr>
          <w:color w:val="auto"/>
          <w:highlight w:val="none"/>
        </w:rPr>
      </w:pPr>
      <w:r>
        <w:rPr>
          <w:rStyle w:val="16"/>
          <w:rFonts w:hint="eastAsia" w:ascii="宋体" w:hAnsi="宋体" w:eastAsia="宋体" w:cs="宋体"/>
          <w:color w:val="auto"/>
          <w:highlight w:val="none"/>
        </w:rPr>
        <w:t>3、国家有关部门对若干合同有规范文本的，可使用相应合同文本。</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u w:val="single"/>
        </w:rPr>
        <w:t> </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甲方：</w:t>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eastAsia="zh-CN"/>
        </w:rPr>
        <w:t>招标人</w:t>
      </w:r>
      <w:r>
        <w:rPr>
          <w:rFonts w:hint="eastAsia" w:ascii="宋体" w:hAnsi="宋体" w:eastAsia="宋体" w:cs="宋体"/>
          <w:color w:val="auto"/>
          <w:highlight w:val="none"/>
          <w:u w:val="single"/>
        </w:rPr>
        <w:t>全称）</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乙方：</w:t>
      </w:r>
      <w:r>
        <w:rPr>
          <w:rFonts w:hint="eastAsia" w:ascii="宋体" w:hAnsi="宋体" w:eastAsia="宋体" w:cs="宋体"/>
          <w:color w:val="auto"/>
          <w:highlight w:val="none"/>
          <w:u w:val="single"/>
        </w:rPr>
        <w:t>（中标人全称）</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根据招标编号为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的</w:t>
      </w:r>
      <w:r>
        <w:rPr>
          <w:rFonts w:hint="eastAsia" w:ascii="宋体" w:hAnsi="宋体" w:eastAsia="宋体" w:cs="宋体"/>
          <w:color w:val="auto"/>
          <w:highlight w:val="none"/>
          <w:u w:val="single"/>
        </w:rPr>
        <w:t>（填写“项目名称”）</w:t>
      </w:r>
      <w:r>
        <w:rPr>
          <w:rFonts w:hint="eastAsia" w:ascii="宋体" w:hAnsi="宋体" w:eastAsia="宋体" w:cs="宋体"/>
          <w:color w:val="auto"/>
          <w:highlight w:val="none"/>
        </w:rPr>
        <w:t>项目（以下简称：“本项目”）的招标结果，乙方为中标人。现经甲乙双方友好协商，就以下事项达成一致并签订本合同：</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1、下列合同文件是构成本合同不可分割的部分：</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1.1合同条款；</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1.2招标文件、乙方的投标文件；</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1.3其他文件或材料：□无。□（若有联合协议或分包意向协议）。</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2、合同标的</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u w:val="single"/>
        </w:rPr>
        <w:t>（按照实际情况编制填写，可以是表格或文字描述）</w:t>
      </w:r>
      <w:r>
        <w:rPr>
          <w:rFonts w:hint="eastAsia" w:ascii="宋体" w:hAnsi="宋体" w:eastAsia="宋体" w:cs="宋体"/>
          <w:color w:val="auto"/>
          <w:highlight w:val="none"/>
        </w:rPr>
        <w:t>。</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3、合同总金额</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3.1合同总金额为人民币大写：</w:t>
      </w:r>
      <w:r>
        <w:rPr>
          <w:rFonts w:hint="eastAsia" w:ascii="宋体" w:hAnsi="宋体" w:eastAsia="宋体" w:cs="宋体"/>
          <w:color w:val="auto"/>
          <w:highlight w:val="none"/>
          <w:u w:val="single"/>
        </w:rPr>
        <w:t>              </w:t>
      </w:r>
      <w:r>
        <w:rPr>
          <w:rFonts w:hint="eastAsia" w:ascii="宋体" w:hAnsi="宋体" w:eastAsia="宋体" w:cs="宋体"/>
          <w:color w:val="auto"/>
          <w:highlight w:val="none"/>
        </w:rPr>
        <w:t>元（￥</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4、合同标的交付时间、地点和条件</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4.1交付时间：</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4.2交付地点：</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4.3交付条件：</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5、合同标的应符合招标文件、乙方投标文件的规定或约定，具体如下：</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u w:val="single"/>
        </w:rPr>
        <w:t>（按照实际情况编制填写，可以是表格或文字描述）</w:t>
      </w:r>
      <w:r>
        <w:rPr>
          <w:rFonts w:hint="eastAsia" w:ascii="宋体" w:hAnsi="宋体" w:eastAsia="宋体" w:cs="宋体"/>
          <w:color w:val="auto"/>
          <w:highlight w:val="none"/>
        </w:rPr>
        <w:t>。</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6、验收</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6.1验收应按照招标文件、乙方投标文件的规定或约定进行，具体如下：</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u w:val="single"/>
        </w:rPr>
        <w:t>（按照实际情况编制填写，可以是表格或文字描述）</w:t>
      </w:r>
      <w:r>
        <w:rPr>
          <w:rFonts w:hint="eastAsia" w:ascii="宋体" w:hAnsi="宋体" w:eastAsia="宋体" w:cs="宋体"/>
          <w:color w:val="auto"/>
          <w:highlight w:val="none"/>
        </w:rPr>
        <w:t>。</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6.2本项目是否邀请其他投标人参与验收：</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□不邀请。□邀请，具体如下：</w:t>
      </w:r>
      <w:r>
        <w:rPr>
          <w:rFonts w:hint="eastAsia" w:ascii="宋体" w:hAnsi="宋体" w:eastAsia="宋体" w:cs="宋体"/>
          <w:color w:val="auto"/>
          <w:highlight w:val="none"/>
          <w:u w:val="single"/>
        </w:rPr>
        <w:t>（按照招标文件规定填写）</w:t>
      </w:r>
      <w:r>
        <w:rPr>
          <w:rFonts w:hint="eastAsia" w:ascii="宋体" w:hAnsi="宋体" w:eastAsia="宋体" w:cs="宋体"/>
          <w:color w:val="auto"/>
          <w:highlight w:val="none"/>
        </w:rPr>
        <w:t>。</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7、合同款项的支付应按照招标文件的规定进行，具体如下：</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u w:val="single"/>
        </w:rPr>
        <w:t>（按照实际情况编制填写，可以是表格或文字描述，包括一次性支付或分期支付等）</w:t>
      </w:r>
      <w:r>
        <w:rPr>
          <w:rFonts w:hint="eastAsia" w:ascii="宋体" w:hAnsi="宋体" w:eastAsia="宋体" w:cs="宋体"/>
          <w:color w:val="auto"/>
          <w:highlight w:val="none"/>
        </w:rPr>
        <w:t>。</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8、履约保证金</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□无。□有，具体如下：</w:t>
      </w:r>
      <w:r>
        <w:rPr>
          <w:rFonts w:hint="eastAsia" w:ascii="宋体" w:hAnsi="宋体" w:eastAsia="宋体" w:cs="宋体"/>
          <w:color w:val="auto"/>
          <w:highlight w:val="none"/>
          <w:u w:val="single"/>
        </w:rPr>
        <w:t>（按照招标文件规定填写）</w:t>
      </w:r>
      <w:r>
        <w:rPr>
          <w:rFonts w:hint="eastAsia" w:ascii="宋体" w:hAnsi="宋体" w:eastAsia="宋体" w:cs="宋体"/>
          <w:color w:val="auto"/>
          <w:highlight w:val="none"/>
        </w:rPr>
        <w:t>。</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9、合同有效期</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u w:val="single"/>
        </w:rPr>
        <w:t>（按照实际情况编制填写，可以是表格或文字描述）</w:t>
      </w:r>
      <w:r>
        <w:rPr>
          <w:rFonts w:hint="eastAsia" w:ascii="宋体" w:hAnsi="宋体" w:eastAsia="宋体" w:cs="宋体"/>
          <w:color w:val="auto"/>
          <w:highlight w:val="none"/>
        </w:rPr>
        <w:t>。</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10、违约责任</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u w:val="single"/>
        </w:rPr>
        <w:t>（按照实际情况编制填写，可以是表格或文字描述）</w:t>
      </w:r>
      <w:r>
        <w:rPr>
          <w:rFonts w:hint="eastAsia" w:ascii="宋体" w:hAnsi="宋体" w:eastAsia="宋体" w:cs="宋体"/>
          <w:color w:val="auto"/>
          <w:highlight w:val="none"/>
        </w:rPr>
        <w:t>。</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11、知识产权</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11.1乙方提供的</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11.2若乙方提供的</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color w:val="auto"/>
          <w:highlight w:val="none"/>
          <w:u w:val="single"/>
        </w:rPr>
        <w:t>（按照实际情况编制填写）</w:t>
      </w:r>
      <w:r>
        <w:rPr>
          <w:rFonts w:hint="eastAsia" w:ascii="宋体" w:hAnsi="宋体" w:eastAsia="宋体" w:cs="宋体"/>
          <w:color w:val="auto"/>
          <w:highlight w:val="none"/>
        </w:rPr>
        <w:t>。</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12、解决争议的方法</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12.1甲、乙双方协商解决。</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12.2若协商解决不成，则通过下列途径之一解决：</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□提交仲裁委员会仲裁，具体如下：</w:t>
      </w:r>
      <w:r>
        <w:rPr>
          <w:rFonts w:hint="eastAsia" w:ascii="宋体" w:hAnsi="宋体" w:eastAsia="宋体" w:cs="宋体"/>
          <w:color w:val="auto"/>
          <w:highlight w:val="none"/>
          <w:u w:val="single"/>
        </w:rPr>
        <w:t>（按照实际情况编制填写）</w:t>
      </w:r>
      <w:r>
        <w:rPr>
          <w:rFonts w:hint="eastAsia" w:ascii="宋体" w:hAnsi="宋体" w:eastAsia="宋体" w:cs="宋体"/>
          <w:color w:val="auto"/>
          <w:highlight w:val="none"/>
        </w:rPr>
        <w:t>。</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□向人民法院提起诉讼，具体如下：</w:t>
      </w:r>
      <w:r>
        <w:rPr>
          <w:rFonts w:hint="eastAsia" w:ascii="宋体" w:hAnsi="宋体" w:eastAsia="宋体" w:cs="宋体"/>
          <w:color w:val="auto"/>
          <w:highlight w:val="none"/>
          <w:u w:val="single"/>
        </w:rPr>
        <w:t>（按照实际情况编制填写）</w:t>
      </w:r>
      <w:r>
        <w:rPr>
          <w:rFonts w:hint="eastAsia" w:ascii="宋体" w:hAnsi="宋体" w:eastAsia="宋体" w:cs="宋体"/>
          <w:color w:val="auto"/>
          <w:highlight w:val="none"/>
        </w:rPr>
        <w:t>。</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13、不可抗力</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13.1因不可抗力造成违约的，遭受不可抗力一方应及时向对方通报不能履行或不能完全履行的理由，并在随后取得有关主管机关证明后的</w:t>
      </w:r>
      <w:r>
        <w:rPr>
          <w:rFonts w:ascii="Calibri" w:hAnsi="Calibri" w:cs="Calibri"/>
          <w:color w:val="auto"/>
          <w:highlight w:val="none"/>
        </w:rPr>
        <w:t>15</w:t>
      </w:r>
      <w:r>
        <w:rPr>
          <w:rFonts w:hint="eastAsia" w:ascii="宋体" w:hAnsi="宋体" w:eastAsia="宋体" w:cs="宋体"/>
          <w:color w:val="auto"/>
          <w:highlight w:val="none"/>
        </w:rPr>
        <w:t>日内向另一方提供不可抗力发生及持续期间的充分证据。基于以上行为，允许遭受不可抗力一方延期履行、部分履行或不履行合同，并根据情况可部分或全部免于承担违约责任。</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13.2本合同中的不可抗力指不能预见、不能避免、不能克服的客观情况，包括但不限于：自然灾害如地震、台风、洪水、火灾及政府行为、法律规定或其适用的变化或其他任何无法预见、避免或控制的事件。</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14、合同条款</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u w:val="single"/>
        </w:rPr>
        <w:t>（按照实际情况编制填写。招标文件第五章已有规定的，双方均不得变更或调整；招标文件第五章未作规定的，双方可通过友好协商进行约定）</w:t>
      </w:r>
      <w:r>
        <w:rPr>
          <w:rFonts w:hint="eastAsia" w:ascii="宋体" w:hAnsi="宋体" w:eastAsia="宋体" w:cs="宋体"/>
          <w:color w:val="auto"/>
          <w:highlight w:val="none"/>
        </w:rPr>
        <w:t>。</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15、其他约定</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15.1合同文件与本合同具有同等法律效力。</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15.2本合同未尽事宜，双方可另行补充。</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15.3合同生效：</w:t>
      </w:r>
      <w:r>
        <w:rPr>
          <w:rFonts w:hint="eastAsia" w:ascii="宋体" w:hAnsi="宋体" w:eastAsia="宋体" w:cs="宋体"/>
          <w:color w:val="auto"/>
          <w:highlight w:val="none"/>
          <w:u w:val="single"/>
        </w:rPr>
        <w:t>自签订之日起生效</w:t>
      </w:r>
      <w:r>
        <w:rPr>
          <w:rFonts w:hint="eastAsia" w:ascii="宋体" w:hAnsi="宋体" w:eastAsia="宋体" w:cs="宋体"/>
          <w:color w:val="auto"/>
          <w:highlight w:val="none"/>
        </w:rPr>
        <w:t>。</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15.4本合同一式</w:t>
      </w:r>
      <w:r>
        <w:rPr>
          <w:rFonts w:hint="eastAsia" w:ascii="宋体" w:hAnsi="宋体" w:eastAsia="宋体" w:cs="宋体"/>
          <w:color w:val="auto"/>
          <w:highlight w:val="none"/>
          <w:u w:val="single"/>
        </w:rPr>
        <w:t>（填写具体份数）</w:t>
      </w:r>
      <w:r>
        <w:rPr>
          <w:rFonts w:hint="eastAsia" w:ascii="宋体" w:hAnsi="宋体" w:eastAsia="宋体" w:cs="宋体"/>
          <w:color w:val="auto"/>
          <w:highlight w:val="none"/>
        </w:rPr>
        <w:t>份，经双方授权代表签字并盖章后生效。甲方、乙方各执</w:t>
      </w:r>
      <w:r>
        <w:rPr>
          <w:rFonts w:hint="eastAsia" w:ascii="宋体" w:hAnsi="宋体" w:eastAsia="宋体" w:cs="宋体"/>
          <w:color w:val="auto"/>
          <w:highlight w:val="none"/>
          <w:u w:val="single"/>
        </w:rPr>
        <w:t>（填写具体份数）</w:t>
      </w:r>
      <w:r>
        <w:rPr>
          <w:rFonts w:hint="eastAsia" w:ascii="宋体" w:hAnsi="宋体" w:eastAsia="宋体" w:cs="宋体"/>
          <w:color w:val="auto"/>
          <w:highlight w:val="none"/>
        </w:rPr>
        <w:t>份，送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eastAsia="zh-CN"/>
        </w:rPr>
        <w:t>招标</w:t>
      </w:r>
      <w:r>
        <w:rPr>
          <w:rFonts w:hint="eastAsia" w:ascii="宋体" w:hAnsi="宋体" w:eastAsia="宋体" w:cs="宋体"/>
          <w:color w:val="auto"/>
          <w:highlight w:val="none"/>
          <w:u w:val="single"/>
        </w:rPr>
        <w:t xml:space="preserve">代理机构 </w:t>
      </w:r>
      <w:r>
        <w:rPr>
          <w:rFonts w:hint="eastAsia" w:ascii="宋体" w:hAnsi="宋体" w:eastAsia="宋体" w:cs="宋体"/>
          <w:color w:val="auto"/>
          <w:highlight w:val="none"/>
        </w:rPr>
        <w:t>备案</w:t>
      </w:r>
      <w:r>
        <w:rPr>
          <w:rFonts w:hint="eastAsia" w:ascii="宋体" w:hAnsi="宋体" w:eastAsia="宋体" w:cs="宋体"/>
          <w:color w:val="auto"/>
          <w:highlight w:val="none"/>
          <w:u w:val="single"/>
        </w:rPr>
        <w:t xml:space="preserve"> 壹 </w:t>
      </w:r>
      <w:r>
        <w:rPr>
          <w:rFonts w:hint="eastAsia" w:ascii="宋体" w:hAnsi="宋体" w:eastAsia="宋体" w:cs="宋体"/>
          <w:color w:val="auto"/>
          <w:highlight w:val="none"/>
        </w:rPr>
        <w:t>份，具有同等效力。</w:t>
      </w:r>
    </w:p>
    <w:p>
      <w:pPr>
        <w:pStyle w:val="12"/>
        <w:widowControl/>
        <w:spacing w:before="75" w:beforeAutospacing="0" w:after="75" w:afterAutospacing="0"/>
        <w:ind w:firstLine="480"/>
        <w:rPr>
          <w:color w:val="auto"/>
          <w:highlight w:val="none"/>
        </w:rPr>
      </w:pPr>
      <w:r>
        <w:rPr>
          <w:rFonts w:hint="eastAsia" w:ascii="宋体" w:hAnsi="宋体" w:eastAsia="宋体" w:cs="宋体"/>
          <w:color w:val="auto"/>
          <w:highlight w:val="none"/>
        </w:rPr>
        <w:t>15.5其他：□无。□</w:t>
      </w:r>
      <w:r>
        <w:rPr>
          <w:rFonts w:hint="eastAsia" w:ascii="宋体" w:hAnsi="宋体" w:eastAsia="宋体" w:cs="宋体"/>
          <w:color w:val="auto"/>
          <w:highlight w:val="none"/>
          <w:u w:val="single"/>
        </w:rPr>
        <w:t>（按照实际情况编制填写需要增加的内容）</w:t>
      </w:r>
      <w:r>
        <w:rPr>
          <w:rFonts w:hint="eastAsia" w:ascii="宋体" w:hAnsi="宋体" w:eastAsia="宋体" w:cs="宋体"/>
          <w:color w:val="auto"/>
          <w:highlight w:val="none"/>
        </w:rPr>
        <w:t>。</w:t>
      </w:r>
    </w:p>
    <w:p>
      <w:pPr>
        <w:pStyle w:val="12"/>
        <w:widowControl/>
        <w:spacing w:before="75" w:beforeAutospacing="0" w:after="75" w:afterAutospacing="0"/>
        <w:jc w:val="center"/>
        <w:rPr>
          <w:color w:val="auto"/>
          <w:highlight w:val="none"/>
        </w:rPr>
      </w:pPr>
      <w:r>
        <w:rPr>
          <w:rFonts w:hint="eastAsia" w:ascii="宋体" w:hAnsi="宋体" w:eastAsia="宋体" w:cs="宋体"/>
          <w:color w:val="auto"/>
          <w:highlight w:val="none"/>
        </w:rPr>
        <w:t>（以下无正文）</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 </w:t>
      </w:r>
    </w:p>
    <w:p>
      <w:pPr>
        <w:spacing w:line="480" w:lineRule="auto"/>
        <w:rPr>
          <w:color w:val="auto"/>
          <w:sz w:val="24"/>
          <w:highlight w:val="none"/>
        </w:rPr>
      </w:pPr>
      <w:r>
        <w:rPr>
          <w:rFonts w:hint="eastAsia"/>
          <w:color w:val="auto"/>
          <w:sz w:val="24"/>
          <w:highlight w:val="none"/>
        </w:rPr>
        <w:t>甲方：                                  </w:t>
      </w:r>
      <w:r>
        <w:rPr>
          <w:color w:val="auto"/>
          <w:sz w:val="24"/>
          <w:highlight w:val="none"/>
        </w:rPr>
        <w:t xml:space="preserve">            </w:t>
      </w:r>
      <w:r>
        <w:rPr>
          <w:rFonts w:hint="eastAsia"/>
          <w:color w:val="auto"/>
          <w:sz w:val="24"/>
          <w:highlight w:val="none"/>
        </w:rPr>
        <w:t>乙方：</w:t>
      </w:r>
    </w:p>
    <w:p>
      <w:pPr>
        <w:spacing w:line="480" w:lineRule="auto"/>
        <w:rPr>
          <w:color w:val="auto"/>
          <w:sz w:val="24"/>
          <w:highlight w:val="none"/>
        </w:rPr>
      </w:pPr>
      <w:r>
        <w:rPr>
          <w:rFonts w:hint="eastAsia"/>
          <w:color w:val="auto"/>
          <w:sz w:val="24"/>
          <w:highlight w:val="none"/>
        </w:rPr>
        <w:t>住所：                                  </w:t>
      </w:r>
      <w:r>
        <w:rPr>
          <w:color w:val="auto"/>
          <w:sz w:val="24"/>
          <w:highlight w:val="none"/>
        </w:rPr>
        <w:t xml:space="preserve">            </w:t>
      </w:r>
      <w:r>
        <w:rPr>
          <w:rFonts w:hint="eastAsia"/>
          <w:color w:val="auto"/>
          <w:sz w:val="24"/>
          <w:highlight w:val="none"/>
        </w:rPr>
        <w:t>住所：</w:t>
      </w:r>
    </w:p>
    <w:p>
      <w:pPr>
        <w:spacing w:line="480" w:lineRule="auto"/>
        <w:rPr>
          <w:color w:val="auto"/>
          <w:sz w:val="24"/>
          <w:highlight w:val="none"/>
        </w:rPr>
      </w:pPr>
      <w:r>
        <w:rPr>
          <w:rFonts w:hint="eastAsia"/>
          <w:color w:val="auto"/>
          <w:sz w:val="24"/>
          <w:highlight w:val="none"/>
        </w:rPr>
        <w:t>单位负责人：                            </w:t>
      </w:r>
      <w:r>
        <w:rPr>
          <w:color w:val="auto"/>
          <w:sz w:val="24"/>
          <w:highlight w:val="none"/>
        </w:rPr>
        <w:t xml:space="preserve">         </w:t>
      </w:r>
      <w:r>
        <w:rPr>
          <w:rFonts w:hint="eastAsia"/>
          <w:color w:val="auto"/>
          <w:sz w:val="24"/>
          <w:highlight w:val="none"/>
        </w:rPr>
        <w:t>单位负责人：</w:t>
      </w:r>
    </w:p>
    <w:p>
      <w:pPr>
        <w:spacing w:line="480" w:lineRule="auto"/>
        <w:rPr>
          <w:color w:val="auto"/>
          <w:sz w:val="24"/>
          <w:highlight w:val="none"/>
        </w:rPr>
      </w:pPr>
    </w:p>
    <w:p>
      <w:pPr>
        <w:spacing w:line="480" w:lineRule="auto"/>
        <w:rPr>
          <w:color w:val="auto"/>
          <w:sz w:val="24"/>
          <w:highlight w:val="none"/>
        </w:rPr>
      </w:pPr>
      <w:r>
        <w:rPr>
          <w:rFonts w:hint="eastAsia"/>
          <w:color w:val="auto"/>
          <w:sz w:val="24"/>
          <w:highlight w:val="none"/>
        </w:rPr>
        <w:t>委托代理人：                            </w:t>
      </w:r>
      <w:r>
        <w:rPr>
          <w:color w:val="auto"/>
          <w:sz w:val="24"/>
          <w:highlight w:val="none"/>
        </w:rPr>
        <w:t xml:space="preserve">         </w:t>
      </w:r>
      <w:r>
        <w:rPr>
          <w:rFonts w:hint="eastAsia"/>
          <w:color w:val="auto"/>
          <w:sz w:val="24"/>
          <w:highlight w:val="none"/>
        </w:rPr>
        <w:t>委托代理人：</w:t>
      </w:r>
    </w:p>
    <w:p>
      <w:pPr>
        <w:spacing w:line="480" w:lineRule="auto"/>
        <w:rPr>
          <w:color w:val="auto"/>
          <w:sz w:val="24"/>
          <w:highlight w:val="none"/>
        </w:rPr>
      </w:pPr>
      <w:r>
        <w:rPr>
          <w:rFonts w:hint="eastAsia"/>
          <w:color w:val="auto"/>
          <w:sz w:val="24"/>
          <w:highlight w:val="none"/>
        </w:rPr>
        <w:t> </w:t>
      </w:r>
    </w:p>
    <w:p>
      <w:pPr>
        <w:spacing w:line="480" w:lineRule="auto"/>
        <w:rPr>
          <w:color w:val="auto"/>
          <w:sz w:val="24"/>
          <w:highlight w:val="none"/>
        </w:rPr>
      </w:pPr>
      <w:r>
        <w:rPr>
          <w:rFonts w:hint="eastAsia"/>
          <w:color w:val="auto"/>
          <w:sz w:val="24"/>
          <w:highlight w:val="none"/>
        </w:rPr>
        <w:t>联系方法：                             </w:t>
      </w:r>
      <w:r>
        <w:rPr>
          <w:color w:val="auto"/>
          <w:sz w:val="24"/>
          <w:highlight w:val="none"/>
        </w:rPr>
        <w:t xml:space="preserve">          </w:t>
      </w:r>
      <w:r>
        <w:rPr>
          <w:rFonts w:hint="eastAsia"/>
          <w:color w:val="auto"/>
          <w:sz w:val="24"/>
          <w:highlight w:val="none"/>
        </w:rPr>
        <w:t> 联系方法：</w:t>
      </w:r>
    </w:p>
    <w:p>
      <w:pPr>
        <w:spacing w:line="480" w:lineRule="auto"/>
        <w:rPr>
          <w:color w:val="auto"/>
          <w:sz w:val="24"/>
          <w:highlight w:val="none"/>
        </w:rPr>
      </w:pPr>
      <w:r>
        <w:rPr>
          <w:rFonts w:hint="eastAsia"/>
          <w:color w:val="auto"/>
          <w:sz w:val="24"/>
          <w:highlight w:val="none"/>
        </w:rPr>
        <w:t>开户银行：                             </w:t>
      </w:r>
      <w:r>
        <w:rPr>
          <w:color w:val="auto"/>
          <w:sz w:val="24"/>
          <w:highlight w:val="none"/>
        </w:rPr>
        <w:t xml:space="preserve">          </w:t>
      </w:r>
      <w:r>
        <w:rPr>
          <w:rFonts w:hint="eastAsia"/>
          <w:color w:val="auto"/>
          <w:sz w:val="24"/>
          <w:highlight w:val="none"/>
        </w:rPr>
        <w:t> 开户银行：</w:t>
      </w:r>
    </w:p>
    <w:p>
      <w:pPr>
        <w:spacing w:line="480" w:lineRule="auto"/>
        <w:rPr>
          <w:color w:val="auto"/>
          <w:sz w:val="24"/>
          <w:highlight w:val="none"/>
        </w:rPr>
      </w:pPr>
      <w:r>
        <w:rPr>
          <w:rFonts w:hint="eastAsia"/>
          <w:color w:val="auto"/>
          <w:sz w:val="24"/>
          <w:highlight w:val="none"/>
        </w:rPr>
        <w:t>账号：                                  </w:t>
      </w:r>
      <w:r>
        <w:rPr>
          <w:color w:val="auto"/>
          <w:sz w:val="24"/>
          <w:highlight w:val="none"/>
        </w:rPr>
        <w:t xml:space="preserve">            </w:t>
      </w:r>
      <w:r>
        <w:rPr>
          <w:rFonts w:hint="eastAsia"/>
          <w:color w:val="auto"/>
          <w:sz w:val="24"/>
          <w:highlight w:val="none"/>
        </w:rPr>
        <w:t>账号：</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2"/>
        <w:widowControl/>
        <w:spacing w:before="75" w:beforeAutospacing="0" w:after="75" w:afterAutospacing="0"/>
        <w:rPr>
          <w:color w:val="auto"/>
          <w:highlight w:val="none"/>
        </w:rPr>
      </w:pPr>
      <w:r>
        <w:rPr>
          <w:rFonts w:hint="eastAsia" w:ascii="宋体" w:hAnsi="宋体" w:eastAsia="宋体" w:cs="宋体"/>
          <w:color w:val="auto"/>
          <w:highlight w:val="none"/>
        </w:rPr>
        <w:t> </w:t>
      </w:r>
    </w:p>
    <w:p>
      <w:pPr>
        <w:pStyle w:val="12"/>
        <w:widowControl/>
        <w:spacing w:before="75" w:beforeAutospacing="0" w:after="75" w:afterAutospacing="0" w:line="480" w:lineRule="auto"/>
        <w:rPr>
          <w:color w:val="auto"/>
          <w:highlight w:val="none"/>
        </w:rPr>
      </w:pPr>
      <w:r>
        <w:rPr>
          <w:rFonts w:hint="eastAsia" w:ascii="宋体" w:hAnsi="宋体" w:eastAsia="宋体" w:cs="宋体"/>
          <w:color w:val="auto"/>
          <w:highlight w:val="none"/>
        </w:rPr>
        <w:t>签订地点：</w:t>
      </w:r>
      <w:r>
        <w:rPr>
          <w:rFonts w:hint="eastAsia" w:ascii="宋体" w:hAnsi="宋体" w:eastAsia="宋体" w:cs="宋体"/>
          <w:color w:val="auto"/>
          <w:highlight w:val="none"/>
          <w:u w:val="single"/>
        </w:rPr>
        <w:t>                </w:t>
      </w:r>
    </w:p>
    <w:p>
      <w:pPr>
        <w:pStyle w:val="12"/>
        <w:widowControl/>
        <w:spacing w:before="75" w:beforeAutospacing="0" w:after="75" w:afterAutospacing="0" w:line="480" w:lineRule="auto"/>
        <w:rPr>
          <w:color w:val="auto"/>
          <w:highlight w:val="none"/>
        </w:rPr>
      </w:pPr>
      <w:r>
        <w:rPr>
          <w:rFonts w:hint="eastAsia" w:ascii="宋体" w:hAnsi="宋体" w:eastAsia="宋体" w:cs="宋体"/>
          <w:color w:val="auto"/>
          <w:highlight w:val="none"/>
        </w:rPr>
        <w:t>签订日期：</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w:t>
      </w:r>
    </w:p>
    <w:p>
      <w:pPr>
        <w:pStyle w:val="12"/>
        <w:widowControl/>
        <w:spacing w:before="75" w:beforeAutospacing="0" w:after="75" w:afterAutospacing="0" w:line="480" w:lineRule="auto"/>
        <w:jc w:val="center"/>
        <w:rPr>
          <w:color w:val="auto"/>
          <w:highlight w:val="none"/>
        </w:rPr>
      </w:pPr>
      <w:r>
        <w:rPr>
          <w:color w:val="auto"/>
          <w:highlight w:val="none"/>
        </w:rPr>
        <w:t> </w:t>
      </w:r>
    </w:p>
    <w:p>
      <w:pPr>
        <w:pStyle w:val="12"/>
        <w:widowControl/>
        <w:spacing w:before="75" w:beforeAutospacing="0" w:after="240" w:afterAutospacing="0"/>
        <w:rPr>
          <w:color w:val="auto"/>
          <w:highlight w:val="none"/>
        </w:rPr>
      </w:pPr>
      <w:r>
        <w:rPr>
          <w:color w:val="auto"/>
          <w:highlight w:val="none"/>
        </w:rPr>
        <w:t> </w:t>
      </w:r>
    </w:p>
    <w:p>
      <w:pPr>
        <w:pStyle w:val="12"/>
        <w:widowControl/>
        <w:spacing w:before="75" w:beforeAutospacing="0" w:after="75" w:afterAutospacing="0"/>
        <w:rPr>
          <w:color w:val="auto"/>
          <w:highlight w:val="none"/>
        </w:rPr>
      </w:pPr>
      <w:r>
        <w:rPr>
          <w:rFonts w:ascii="Calibri" w:hAnsi="Calibri" w:cs="Calibri"/>
          <w:color w:val="auto"/>
          <w:sz w:val="21"/>
          <w:szCs w:val="21"/>
          <w:highlight w:val="none"/>
        </w:rPr>
        <w:t>                                                                                  </w:t>
      </w:r>
    </w:p>
    <w:p>
      <w:pPr>
        <w:rPr>
          <w:rStyle w:val="16"/>
          <w:rFonts w:ascii="宋体" w:hAnsi="宋体" w:eastAsia="宋体" w:cs="宋体"/>
          <w:color w:val="auto"/>
          <w:sz w:val="31"/>
          <w:szCs w:val="31"/>
          <w:highlight w:val="none"/>
        </w:rPr>
      </w:pPr>
      <w:r>
        <w:rPr>
          <w:rStyle w:val="16"/>
          <w:rFonts w:hint="eastAsia" w:ascii="宋体" w:hAnsi="宋体" w:eastAsia="宋体" w:cs="宋体"/>
          <w:color w:val="auto"/>
          <w:sz w:val="31"/>
          <w:szCs w:val="31"/>
          <w:highlight w:val="none"/>
        </w:rPr>
        <w:br w:type="page"/>
      </w:r>
    </w:p>
    <w:p>
      <w:pPr>
        <w:pStyle w:val="12"/>
        <w:widowControl/>
        <w:spacing w:before="75" w:beforeAutospacing="0" w:after="75" w:afterAutospacing="0"/>
        <w:jc w:val="center"/>
        <w:outlineLvl w:val="0"/>
        <w:rPr>
          <w:color w:val="auto"/>
          <w:highlight w:val="none"/>
        </w:rPr>
      </w:pPr>
      <w:r>
        <w:rPr>
          <w:rStyle w:val="16"/>
          <w:rFonts w:hint="eastAsia" w:ascii="宋体" w:hAnsi="宋体" w:eastAsia="宋体" w:cs="宋体"/>
          <w:color w:val="auto"/>
          <w:sz w:val="31"/>
          <w:szCs w:val="31"/>
          <w:highlight w:val="none"/>
        </w:rPr>
        <w:t>第七章   投标文件格式</w:t>
      </w:r>
    </w:p>
    <w:p>
      <w:pPr>
        <w:pStyle w:val="12"/>
        <w:widowControl/>
        <w:jc w:val="center"/>
        <w:rPr>
          <w:color w:val="auto"/>
          <w:highlight w:val="none"/>
        </w:rPr>
      </w:pPr>
      <w:r>
        <w:rPr>
          <w:rStyle w:val="16"/>
          <w:rFonts w:hint="eastAsia" w:ascii="宋体" w:hAnsi="宋体" w:eastAsia="宋体" w:cs="宋体"/>
          <w:color w:val="auto"/>
          <w:highlight w:val="none"/>
        </w:rPr>
        <w:t>编制说明</w:t>
      </w:r>
    </w:p>
    <w:p>
      <w:pPr>
        <w:pStyle w:val="12"/>
        <w:widowControl/>
        <w:rPr>
          <w:color w:val="auto"/>
          <w:highlight w:val="none"/>
        </w:rPr>
      </w:pPr>
      <w:r>
        <w:rPr>
          <w:rFonts w:hint="eastAsia" w:ascii="宋体" w:hAnsi="宋体" w:eastAsia="宋体" w:cs="宋体"/>
          <w:color w:val="auto"/>
          <w:highlight w:val="none"/>
        </w:rPr>
        <w:t> </w:t>
      </w:r>
    </w:p>
    <w:p>
      <w:pPr>
        <w:pStyle w:val="12"/>
        <w:widowControl/>
        <w:ind w:firstLine="480"/>
        <w:rPr>
          <w:color w:val="auto"/>
          <w:highlight w:val="none"/>
        </w:rPr>
      </w:pPr>
      <w:r>
        <w:rPr>
          <w:rFonts w:hint="eastAsia" w:ascii="宋体" w:hAnsi="宋体" w:eastAsia="宋体" w:cs="宋体"/>
          <w:color w:val="auto"/>
          <w:highlight w:val="none"/>
        </w:rPr>
        <w:t>1、除招标文件另有规定外，本章中：</w:t>
      </w:r>
    </w:p>
    <w:p>
      <w:pPr>
        <w:pStyle w:val="12"/>
        <w:widowControl/>
        <w:ind w:firstLine="480"/>
        <w:rPr>
          <w:color w:val="auto"/>
          <w:highlight w:val="none"/>
        </w:rPr>
      </w:pPr>
      <w:r>
        <w:rPr>
          <w:rFonts w:hint="eastAsia" w:ascii="宋体" w:hAnsi="宋体" w:eastAsia="宋体" w:cs="宋体"/>
          <w:color w:val="auto"/>
          <w:highlight w:val="none"/>
        </w:rPr>
        <w:t>1.1涉及投标人的</w:t>
      </w:r>
      <w:r>
        <w:rPr>
          <w:rStyle w:val="16"/>
          <w:rFonts w:hint="eastAsia" w:ascii="宋体" w:hAnsi="宋体" w:eastAsia="宋体" w:cs="宋体"/>
          <w:color w:val="auto"/>
          <w:highlight w:val="none"/>
        </w:rPr>
        <w:t>“全称”</w:t>
      </w:r>
      <w:r>
        <w:rPr>
          <w:rFonts w:hint="eastAsia" w:ascii="宋体" w:hAnsi="宋体" w:eastAsia="宋体" w:cs="宋体"/>
          <w:color w:val="auto"/>
          <w:highlight w:val="none"/>
        </w:rPr>
        <w:t>：</w:t>
      </w:r>
    </w:p>
    <w:p>
      <w:pPr>
        <w:pStyle w:val="12"/>
        <w:widowControl/>
        <w:ind w:firstLine="480"/>
        <w:rPr>
          <w:color w:val="auto"/>
          <w:highlight w:val="none"/>
        </w:rPr>
      </w:pPr>
      <w:r>
        <w:rPr>
          <w:rFonts w:hint="eastAsia" w:ascii="宋体" w:hAnsi="宋体" w:eastAsia="宋体" w:cs="宋体"/>
          <w:color w:val="auto"/>
          <w:highlight w:val="none"/>
        </w:rPr>
        <w:t>（1）不接受联合体投标的，指</w:t>
      </w:r>
      <w:r>
        <w:rPr>
          <w:rStyle w:val="16"/>
          <w:rFonts w:hint="eastAsia" w:ascii="宋体" w:hAnsi="宋体" w:eastAsia="宋体" w:cs="宋体"/>
          <w:color w:val="auto"/>
          <w:highlight w:val="none"/>
        </w:rPr>
        <w:t>投标人的全称</w:t>
      </w:r>
      <w:r>
        <w:rPr>
          <w:rFonts w:hint="eastAsia" w:ascii="宋体" w:hAnsi="宋体" w:eastAsia="宋体" w:cs="宋体"/>
          <w:color w:val="auto"/>
          <w:highlight w:val="none"/>
        </w:rPr>
        <w:t>。</w:t>
      </w:r>
    </w:p>
    <w:p>
      <w:pPr>
        <w:pStyle w:val="12"/>
        <w:widowControl/>
        <w:ind w:firstLine="480"/>
        <w:rPr>
          <w:color w:val="auto"/>
          <w:highlight w:val="none"/>
        </w:rPr>
      </w:pPr>
      <w:r>
        <w:rPr>
          <w:rFonts w:hint="eastAsia" w:ascii="宋体" w:hAnsi="宋体" w:eastAsia="宋体" w:cs="宋体"/>
          <w:color w:val="auto"/>
          <w:highlight w:val="none"/>
        </w:rPr>
        <w:t>（2）接受联合体投标且投标人为联合体的，指</w:t>
      </w:r>
      <w:r>
        <w:rPr>
          <w:rStyle w:val="16"/>
          <w:rFonts w:hint="eastAsia" w:ascii="宋体" w:hAnsi="宋体" w:eastAsia="宋体" w:cs="宋体"/>
          <w:color w:val="auto"/>
          <w:highlight w:val="none"/>
        </w:rPr>
        <w:t>牵头方的全称</w:t>
      </w:r>
      <w:r>
        <w:rPr>
          <w:rFonts w:hint="eastAsia" w:ascii="宋体" w:hAnsi="宋体" w:eastAsia="宋体" w:cs="宋体"/>
          <w:color w:val="auto"/>
          <w:highlight w:val="none"/>
        </w:rPr>
        <w:t>并加注</w:t>
      </w:r>
      <w:r>
        <w:rPr>
          <w:rStyle w:val="16"/>
          <w:rFonts w:hint="eastAsia" w:ascii="宋体" w:hAnsi="宋体" w:eastAsia="宋体" w:cs="宋体"/>
          <w:color w:val="auto"/>
          <w:highlight w:val="none"/>
        </w:rPr>
        <w:t>（联合体牵头方）</w:t>
      </w:r>
      <w:r>
        <w:rPr>
          <w:rFonts w:hint="eastAsia" w:ascii="宋体" w:hAnsi="宋体" w:eastAsia="宋体" w:cs="宋体"/>
          <w:color w:val="auto"/>
          <w:highlight w:val="none"/>
        </w:rPr>
        <w:t>，即应表述为：</w:t>
      </w:r>
      <w:r>
        <w:rPr>
          <w:rStyle w:val="16"/>
          <w:rFonts w:hint="eastAsia" w:ascii="宋体" w:hAnsi="宋体" w:eastAsia="宋体" w:cs="宋体"/>
          <w:color w:val="auto"/>
          <w:highlight w:val="none"/>
        </w:rPr>
        <w:t>“牵头方的全称（联合体牵头方）”</w:t>
      </w:r>
      <w:r>
        <w:rPr>
          <w:rFonts w:hint="eastAsia" w:ascii="宋体" w:hAnsi="宋体" w:eastAsia="宋体" w:cs="宋体"/>
          <w:color w:val="auto"/>
          <w:highlight w:val="none"/>
        </w:rPr>
        <w:t>。</w:t>
      </w:r>
    </w:p>
    <w:p>
      <w:pPr>
        <w:pStyle w:val="12"/>
        <w:widowControl/>
        <w:ind w:firstLine="480"/>
        <w:rPr>
          <w:color w:val="auto"/>
          <w:highlight w:val="none"/>
        </w:rPr>
      </w:pPr>
      <w:r>
        <w:rPr>
          <w:rFonts w:hint="eastAsia" w:ascii="宋体" w:hAnsi="宋体" w:eastAsia="宋体" w:cs="宋体"/>
          <w:color w:val="auto"/>
          <w:highlight w:val="none"/>
        </w:rPr>
        <w:t>1.2涉及投标人</w:t>
      </w:r>
      <w:r>
        <w:rPr>
          <w:rStyle w:val="16"/>
          <w:rFonts w:hint="eastAsia" w:ascii="宋体" w:hAnsi="宋体" w:eastAsia="宋体" w:cs="宋体"/>
          <w:color w:val="auto"/>
          <w:highlight w:val="none"/>
        </w:rPr>
        <w:t>“加盖单位公章”</w:t>
      </w:r>
      <w:r>
        <w:rPr>
          <w:rFonts w:hint="eastAsia" w:ascii="宋体" w:hAnsi="宋体" w:eastAsia="宋体" w:cs="宋体"/>
          <w:color w:val="auto"/>
          <w:highlight w:val="none"/>
        </w:rPr>
        <w:t>：</w:t>
      </w:r>
    </w:p>
    <w:p>
      <w:pPr>
        <w:pStyle w:val="12"/>
        <w:widowControl/>
        <w:ind w:firstLine="480"/>
        <w:rPr>
          <w:color w:val="auto"/>
          <w:highlight w:val="none"/>
        </w:rPr>
      </w:pPr>
      <w:r>
        <w:rPr>
          <w:rFonts w:hint="eastAsia" w:ascii="宋体" w:hAnsi="宋体" w:eastAsia="宋体" w:cs="宋体"/>
          <w:color w:val="auto"/>
          <w:highlight w:val="none"/>
        </w:rPr>
        <w:t>（1）不接受联合体投标的，指</w:t>
      </w:r>
      <w:r>
        <w:rPr>
          <w:rStyle w:val="16"/>
          <w:rFonts w:hint="eastAsia" w:ascii="宋体" w:hAnsi="宋体" w:eastAsia="宋体" w:cs="宋体"/>
          <w:color w:val="auto"/>
          <w:highlight w:val="none"/>
        </w:rPr>
        <w:t>加盖投标人的单位公章</w:t>
      </w:r>
      <w:r>
        <w:rPr>
          <w:rFonts w:hint="eastAsia" w:ascii="宋体" w:hAnsi="宋体" w:eastAsia="宋体" w:cs="宋体"/>
          <w:color w:val="auto"/>
          <w:highlight w:val="none"/>
        </w:rPr>
        <w:t>。</w:t>
      </w:r>
    </w:p>
    <w:p>
      <w:pPr>
        <w:pStyle w:val="12"/>
        <w:widowControl/>
        <w:ind w:firstLine="480"/>
        <w:rPr>
          <w:color w:val="auto"/>
          <w:highlight w:val="none"/>
        </w:rPr>
      </w:pPr>
      <w:r>
        <w:rPr>
          <w:rFonts w:hint="eastAsia" w:ascii="宋体" w:hAnsi="宋体" w:eastAsia="宋体" w:cs="宋体"/>
          <w:color w:val="auto"/>
          <w:highlight w:val="none"/>
        </w:rPr>
        <w:t>（2）接受联合体投标且投标人为联合体的，指</w:t>
      </w:r>
      <w:r>
        <w:rPr>
          <w:rStyle w:val="16"/>
          <w:rFonts w:hint="eastAsia" w:ascii="宋体" w:hAnsi="宋体" w:eastAsia="宋体" w:cs="宋体"/>
          <w:color w:val="auto"/>
          <w:highlight w:val="none"/>
        </w:rPr>
        <w:t>加盖联合体牵头方的单位公章</w:t>
      </w:r>
      <w:r>
        <w:rPr>
          <w:rFonts w:hint="eastAsia" w:ascii="宋体" w:hAnsi="宋体" w:eastAsia="宋体" w:cs="宋体"/>
          <w:color w:val="auto"/>
          <w:highlight w:val="none"/>
        </w:rPr>
        <w:t>。</w:t>
      </w:r>
    </w:p>
    <w:p>
      <w:pPr>
        <w:pStyle w:val="12"/>
        <w:widowControl/>
        <w:ind w:firstLine="480"/>
        <w:rPr>
          <w:color w:val="auto"/>
          <w:highlight w:val="none"/>
        </w:rPr>
      </w:pPr>
      <w:r>
        <w:rPr>
          <w:rFonts w:hint="eastAsia" w:ascii="宋体" w:hAnsi="宋体" w:eastAsia="宋体" w:cs="宋体"/>
          <w:color w:val="auto"/>
          <w:highlight w:val="none"/>
        </w:rPr>
        <w:t>1.3涉及</w:t>
      </w:r>
      <w:r>
        <w:rPr>
          <w:rStyle w:val="16"/>
          <w:rFonts w:hint="eastAsia" w:ascii="宋体" w:hAnsi="宋体" w:eastAsia="宋体" w:cs="宋体"/>
          <w:color w:val="auto"/>
          <w:highlight w:val="none"/>
        </w:rPr>
        <w:t>“投标人代表签字”</w:t>
      </w:r>
      <w:r>
        <w:rPr>
          <w:rFonts w:hint="eastAsia" w:ascii="宋体" w:hAnsi="宋体" w:eastAsia="宋体" w:cs="宋体"/>
          <w:color w:val="auto"/>
          <w:highlight w:val="none"/>
        </w:rPr>
        <w:t>：</w:t>
      </w:r>
    </w:p>
    <w:p>
      <w:pPr>
        <w:pStyle w:val="12"/>
        <w:widowControl/>
        <w:ind w:firstLine="480"/>
        <w:rPr>
          <w:color w:val="auto"/>
          <w:highlight w:val="none"/>
        </w:rPr>
      </w:pPr>
      <w:r>
        <w:rPr>
          <w:rFonts w:hint="eastAsia" w:ascii="宋体" w:hAnsi="宋体" w:eastAsia="宋体" w:cs="宋体"/>
          <w:color w:val="auto"/>
          <w:highlight w:val="none"/>
        </w:rPr>
        <w:t>（1）不接受联合体投标的，指由</w:t>
      </w:r>
      <w:r>
        <w:rPr>
          <w:rStyle w:val="16"/>
          <w:rFonts w:hint="eastAsia" w:ascii="宋体" w:hAnsi="宋体" w:eastAsia="宋体" w:cs="宋体"/>
          <w:color w:val="auto"/>
          <w:highlight w:val="none"/>
        </w:rPr>
        <w:t>投标人的单位负责人或其授权的委托代理人签字</w:t>
      </w:r>
      <w:r>
        <w:rPr>
          <w:rFonts w:hint="eastAsia" w:ascii="宋体" w:hAnsi="宋体" w:eastAsia="宋体" w:cs="宋体"/>
          <w:color w:val="auto"/>
          <w:highlight w:val="none"/>
        </w:rPr>
        <w:t>，由委托代理人签字的，应提供“单位负责人授权书”。</w:t>
      </w:r>
    </w:p>
    <w:p>
      <w:pPr>
        <w:pStyle w:val="12"/>
        <w:widowControl/>
        <w:ind w:firstLine="480"/>
        <w:rPr>
          <w:color w:val="auto"/>
          <w:highlight w:val="none"/>
        </w:rPr>
      </w:pPr>
      <w:r>
        <w:rPr>
          <w:rFonts w:hint="eastAsia" w:ascii="宋体" w:hAnsi="宋体" w:eastAsia="宋体" w:cs="宋体"/>
          <w:color w:val="auto"/>
          <w:highlight w:val="none"/>
        </w:rPr>
        <w:t>（2）接受联合体投标且投标人为联合体的，指由</w:t>
      </w:r>
      <w:r>
        <w:rPr>
          <w:rStyle w:val="16"/>
          <w:rFonts w:hint="eastAsia" w:ascii="宋体" w:hAnsi="宋体" w:eastAsia="宋体" w:cs="宋体"/>
          <w:color w:val="auto"/>
          <w:highlight w:val="none"/>
        </w:rPr>
        <w:t>联合体牵头方的单位负责人或其授权的委托代理人签字</w:t>
      </w:r>
      <w:r>
        <w:rPr>
          <w:rFonts w:hint="eastAsia" w:ascii="宋体" w:hAnsi="宋体" w:eastAsia="宋体" w:cs="宋体"/>
          <w:color w:val="auto"/>
          <w:highlight w:val="none"/>
        </w:rPr>
        <w:t>，由委托代理人签字的，应提供“单位负责人授权书”。</w:t>
      </w:r>
    </w:p>
    <w:p>
      <w:pPr>
        <w:pStyle w:val="12"/>
        <w:widowControl/>
        <w:ind w:firstLine="480"/>
        <w:rPr>
          <w:color w:val="auto"/>
          <w:highlight w:val="none"/>
        </w:rPr>
      </w:pPr>
      <w:r>
        <w:rPr>
          <w:rFonts w:hint="eastAsia" w:ascii="宋体" w:hAnsi="宋体" w:eastAsia="宋体" w:cs="宋体"/>
          <w:color w:val="auto"/>
          <w:highlight w:val="none"/>
        </w:rPr>
        <w:t>1.4</w:t>
      </w:r>
      <w:r>
        <w:rPr>
          <w:rStyle w:val="16"/>
          <w:rFonts w:hint="eastAsia" w:ascii="宋体" w:hAnsi="宋体" w:eastAsia="宋体" w:cs="宋体"/>
          <w:color w:val="auto"/>
          <w:highlight w:val="none"/>
        </w:rPr>
        <w:t>“其他组织”</w:t>
      </w:r>
      <w:r>
        <w:rPr>
          <w:rFonts w:hint="eastAsia" w:ascii="宋体" w:hAnsi="宋体" w:eastAsia="宋体" w:cs="宋体"/>
          <w:color w:val="auto"/>
          <w:highlight w:val="none"/>
        </w:rPr>
        <w:t>指合伙企业、非企业专业服务机构、个体工商户、农村承包经营户等。</w:t>
      </w:r>
    </w:p>
    <w:p>
      <w:pPr>
        <w:pStyle w:val="12"/>
        <w:widowControl/>
        <w:ind w:firstLine="480"/>
        <w:rPr>
          <w:color w:val="auto"/>
          <w:highlight w:val="none"/>
        </w:rPr>
      </w:pPr>
      <w:r>
        <w:rPr>
          <w:rFonts w:hint="eastAsia" w:ascii="宋体" w:hAnsi="宋体" w:eastAsia="宋体" w:cs="宋体"/>
          <w:color w:val="auto"/>
          <w:highlight w:val="none"/>
        </w:rPr>
        <w:t>1.5</w:t>
      </w:r>
      <w:r>
        <w:rPr>
          <w:rStyle w:val="16"/>
          <w:rFonts w:hint="eastAsia" w:ascii="宋体" w:hAnsi="宋体" w:eastAsia="宋体" w:cs="宋体"/>
          <w:color w:val="auto"/>
          <w:highlight w:val="none"/>
        </w:rPr>
        <w:t>“自然人”</w:t>
      </w:r>
      <w:r>
        <w:rPr>
          <w:rFonts w:hint="eastAsia" w:ascii="宋体" w:hAnsi="宋体" w:eastAsia="宋体" w:cs="宋体"/>
          <w:color w:val="auto"/>
          <w:highlight w:val="none"/>
        </w:rPr>
        <w:t>指具有完全民事行为能力、能够承担民事责任和义务的中国公民。</w:t>
      </w:r>
    </w:p>
    <w:p>
      <w:pPr>
        <w:pStyle w:val="12"/>
        <w:widowControl/>
        <w:ind w:firstLine="480"/>
        <w:rPr>
          <w:color w:val="auto"/>
          <w:highlight w:val="none"/>
        </w:rPr>
      </w:pPr>
      <w:r>
        <w:rPr>
          <w:rFonts w:hint="eastAsia" w:ascii="宋体" w:hAnsi="宋体" w:eastAsia="宋体" w:cs="宋体"/>
          <w:color w:val="auto"/>
          <w:highlight w:val="none"/>
        </w:rPr>
        <w:t>2、除招标文件另有规定外，本章中</w:t>
      </w:r>
      <w:r>
        <w:rPr>
          <w:rStyle w:val="16"/>
          <w:rFonts w:hint="eastAsia" w:ascii="宋体" w:hAnsi="宋体" w:eastAsia="宋体" w:cs="宋体"/>
          <w:color w:val="auto"/>
          <w:highlight w:val="none"/>
        </w:rPr>
        <w:t>“投标人的资格及资信证明文件”</w:t>
      </w:r>
      <w:r>
        <w:rPr>
          <w:rFonts w:hint="eastAsia" w:ascii="宋体" w:hAnsi="宋体" w:eastAsia="宋体" w:cs="宋体"/>
          <w:color w:val="auto"/>
          <w:highlight w:val="none"/>
        </w:rPr>
        <w:t>：</w:t>
      </w:r>
    </w:p>
    <w:p>
      <w:pPr>
        <w:pStyle w:val="12"/>
        <w:widowControl/>
        <w:ind w:firstLine="480"/>
        <w:rPr>
          <w:color w:val="auto"/>
          <w:highlight w:val="none"/>
        </w:rPr>
      </w:pPr>
      <w:r>
        <w:rPr>
          <w:rFonts w:hint="eastAsia" w:ascii="宋体" w:hAnsi="宋体" w:eastAsia="宋体" w:cs="宋体"/>
          <w:color w:val="auto"/>
          <w:highlight w:val="none"/>
        </w:rPr>
        <w:t>2.1投标人应按照招标文件第四章第</w:t>
      </w:r>
      <w:r>
        <w:rPr>
          <w:rFonts w:ascii="Calibri" w:hAnsi="Calibri" w:eastAsia="宋体" w:cs="Calibri"/>
          <w:color w:val="auto"/>
          <w:highlight w:val="none"/>
        </w:rPr>
        <w:t>1.3</w:t>
      </w:r>
      <w:r>
        <w:rPr>
          <w:rFonts w:hint="eastAsia" w:ascii="宋体" w:hAnsi="宋体" w:eastAsia="宋体" w:cs="宋体"/>
          <w:color w:val="auto"/>
          <w:highlight w:val="none"/>
        </w:rPr>
        <w:t>条第（</w:t>
      </w:r>
      <w:r>
        <w:rPr>
          <w:rFonts w:ascii="Calibri" w:hAnsi="Calibri" w:eastAsia="宋体" w:cs="Calibri"/>
          <w:color w:val="auto"/>
          <w:highlight w:val="none"/>
        </w:rPr>
        <w:t>2</w:t>
      </w:r>
      <w:r>
        <w:rPr>
          <w:rFonts w:hint="eastAsia" w:ascii="宋体" w:hAnsi="宋体" w:eastAsia="宋体" w:cs="宋体"/>
          <w:color w:val="auto"/>
          <w:highlight w:val="none"/>
        </w:rPr>
        <w:t>）款规定及本章规定进行编制，如有必要，可增加附页，附页作为资格及资信文件的组成部分。</w:t>
      </w:r>
    </w:p>
    <w:p>
      <w:pPr>
        <w:pStyle w:val="12"/>
        <w:widowControl/>
        <w:ind w:firstLine="480"/>
        <w:rPr>
          <w:color w:val="auto"/>
          <w:highlight w:val="none"/>
        </w:rPr>
      </w:pPr>
      <w:r>
        <w:rPr>
          <w:rFonts w:hint="eastAsia" w:ascii="宋体" w:hAnsi="宋体" w:eastAsia="宋体" w:cs="宋体"/>
          <w:color w:val="auto"/>
          <w:highlight w:val="none"/>
        </w:rPr>
        <w:t>2.2接受联合体投标且投标人为联合体的，联合体中的各方均应按照本章第</w:t>
      </w:r>
      <w:r>
        <w:rPr>
          <w:rFonts w:ascii="Calibri" w:hAnsi="Calibri" w:eastAsia="宋体" w:cs="Calibri"/>
          <w:color w:val="auto"/>
          <w:highlight w:val="none"/>
        </w:rPr>
        <w:t>2.1</w:t>
      </w:r>
      <w:r>
        <w:rPr>
          <w:rFonts w:hint="eastAsia" w:ascii="宋体" w:hAnsi="宋体" w:eastAsia="宋体" w:cs="宋体"/>
          <w:color w:val="auto"/>
          <w:highlight w:val="none"/>
        </w:rPr>
        <w:t>条规定提交相应的全部资料。</w:t>
      </w:r>
    </w:p>
    <w:p>
      <w:pPr>
        <w:pStyle w:val="12"/>
        <w:widowControl/>
        <w:ind w:firstLine="480"/>
        <w:rPr>
          <w:color w:val="auto"/>
          <w:highlight w:val="none"/>
        </w:rPr>
      </w:pPr>
      <w:r>
        <w:rPr>
          <w:rFonts w:hint="eastAsia" w:ascii="宋体" w:hAnsi="宋体" w:eastAsia="宋体" w:cs="宋体"/>
          <w:color w:val="auto"/>
          <w:highlight w:val="none"/>
        </w:rPr>
        <w:t>3、投标人对投标文件的索引应编制页码。</w:t>
      </w:r>
    </w:p>
    <w:p>
      <w:pPr>
        <w:pStyle w:val="12"/>
        <w:widowControl/>
        <w:ind w:firstLine="480"/>
        <w:rPr>
          <w:color w:val="auto"/>
          <w:highlight w:val="none"/>
        </w:rPr>
      </w:pPr>
      <w:r>
        <w:rPr>
          <w:rFonts w:hint="eastAsia" w:ascii="宋体" w:hAnsi="宋体" w:eastAsia="宋体" w:cs="宋体"/>
          <w:color w:val="auto"/>
          <w:highlight w:val="none"/>
        </w:rPr>
        <w:t>4、除招标文件另有规定外，本章中：</w:t>
      </w:r>
    </w:p>
    <w:p>
      <w:pPr>
        <w:pStyle w:val="12"/>
        <w:widowControl/>
        <w:ind w:firstLine="480"/>
        <w:rPr>
          <w:color w:val="auto"/>
          <w:highlight w:val="none"/>
        </w:rPr>
      </w:pPr>
      <w:r>
        <w:rPr>
          <w:rFonts w:hint="eastAsia" w:ascii="宋体" w:hAnsi="宋体" w:eastAsia="宋体" w:cs="宋体"/>
          <w:color w:val="auto"/>
          <w:highlight w:val="none"/>
        </w:rPr>
        <w:t>4.1除《检察机关行贿犯罪档案查询结果告知函》外，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pPr>
        <w:pStyle w:val="12"/>
        <w:widowControl/>
        <w:ind w:firstLine="480"/>
        <w:rPr>
          <w:color w:val="auto"/>
          <w:highlight w:val="none"/>
        </w:rPr>
      </w:pPr>
      <w:r>
        <w:rPr>
          <w:rFonts w:hint="eastAsia" w:ascii="宋体" w:hAnsi="宋体" w:eastAsia="宋体" w:cs="宋体"/>
          <w:color w:val="auto"/>
          <w:highlight w:val="none"/>
        </w:rPr>
        <w:t>4.2除《检察机关行贿犯罪档案查询结果告知函》外，若投标人提供注明“复印件无效”的证明材料或资料，其纸质投标文件正本中应提供原件。</w:t>
      </w:r>
    </w:p>
    <w:p>
      <w:pPr>
        <w:pStyle w:val="12"/>
        <w:widowControl/>
        <w:ind w:firstLine="480"/>
        <w:rPr>
          <w:color w:val="auto"/>
          <w:highlight w:val="none"/>
        </w:rPr>
      </w:pPr>
      <w:r>
        <w:rPr>
          <w:rFonts w:hint="eastAsia" w:ascii="宋体" w:hAnsi="宋体" w:eastAsia="宋体" w:cs="宋体"/>
          <w:color w:val="auto"/>
          <w:highlight w:val="none"/>
        </w:rPr>
        <w:t>4.3《检察机关行贿犯罪档案查询结果告知函》：投标人在纸质投标文件正本中提供原件、复印件（含扫描件）、符合本章规定的打印件（或截图）皆可。</w:t>
      </w:r>
    </w:p>
    <w:p>
      <w:pPr>
        <w:pStyle w:val="12"/>
        <w:widowControl/>
        <w:rPr>
          <w:color w:val="auto"/>
          <w:highlight w:val="none"/>
        </w:rPr>
      </w:pP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 </w:t>
      </w:r>
    </w:p>
    <w:p>
      <w:pPr>
        <w:rPr>
          <w:rStyle w:val="16"/>
          <w:rFonts w:ascii="宋体" w:hAnsi="宋体" w:eastAsia="宋体" w:cs="宋体"/>
          <w:color w:val="auto"/>
          <w:sz w:val="28"/>
          <w:szCs w:val="28"/>
          <w:highlight w:val="none"/>
        </w:rPr>
      </w:pPr>
      <w:r>
        <w:rPr>
          <w:rStyle w:val="16"/>
          <w:rFonts w:hint="eastAsia" w:ascii="宋体" w:hAnsi="宋体" w:eastAsia="宋体" w:cs="宋体"/>
          <w:color w:val="auto"/>
          <w:sz w:val="28"/>
          <w:szCs w:val="28"/>
          <w:highlight w:val="none"/>
        </w:rPr>
        <w:br w:type="page"/>
      </w:r>
    </w:p>
    <w:p>
      <w:pPr>
        <w:pStyle w:val="12"/>
        <w:widowControl/>
        <w:jc w:val="center"/>
        <w:rPr>
          <w:rStyle w:val="16"/>
          <w:rFonts w:ascii="宋体" w:hAnsi="宋体" w:eastAsia="宋体" w:cs="宋体"/>
          <w:color w:val="auto"/>
          <w:sz w:val="28"/>
          <w:szCs w:val="28"/>
          <w:highlight w:val="none"/>
        </w:rPr>
      </w:pPr>
      <w:r>
        <w:rPr>
          <w:rStyle w:val="16"/>
          <w:rFonts w:hint="eastAsia" w:ascii="宋体" w:hAnsi="宋体" w:eastAsia="宋体" w:cs="宋体"/>
          <w:color w:val="auto"/>
          <w:sz w:val="28"/>
          <w:szCs w:val="28"/>
          <w:highlight w:val="none"/>
        </w:rPr>
        <w:t>（封面格式）</w:t>
      </w:r>
    </w:p>
    <w:p>
      <w:pPr>
        <w:pStyle w:val="12"/>
        <w:widowControl/>
        <w:jc w:val="center"/>
        <w:rPr>
          <w:color w:val="auto"/>
          <w:highlight w:val="none"/>
        </w:rPr>
      </w:pPr>
      <w:r>
        <w:rPr>
          <w:rStyle w:val="16"/>
          <w:rFonts w:hint="eastAsia" w:ascii="宋体" w:hAnsi="宋体" w:eastAsia="宋体" w:cs="宋体"/>
          <w:color w:val="auto"/>
          <w:sz w:val="48"/>
          <w:szCs w:val="48"/>
          <w:highlight w:val="none"/>
        </w:rPr>
        <w:t>投标文件</w:t>
      </w:r>
    </w:p>
    <w:p>
      <w:pPr>
        <w:pStyle w:val="12"/>
        <w:widowControl/>
        <w:jc w:val="center"/>
        <w:outlineLvl w:val="1"/>
        <w:rPr>
          <w:color w:val="auto"/>
          <w:highlight w:val="none"/>
        </w:rPr>
      </w:pPr>
      <w:r>
        <w:rPr>
          <w:rStyle w:val="16"/>
          <w:rFonts w:hint="eastAsia" w:ascii="宋体" w:hAnsi="宋体" w:eastAsia="宋体" w:cs="宋体"/>
          <w:color w:val="auto"/>
          <w:sz w:val="48"/>
          <w:szCs w:val="48"/>
          <w:highlight w:val="none"/>
        </w:rPr>
        <w:t>（资格及资信证明部分）</w:t>
      </w:r>
    </w:p>
    <w:p>
      <w:pPr>
        <w:pStyle w:val="12"/>
        <w:widowControl/>
        <w:rPr>
          <w:color w:val="auto"/>
          <w:highlight w:val="none"/>
        </w:rPr>
      </w:pPr>
      <w:r>
        <w:rPr>
          <w:rFonts w:hint="eastAsia" w:ascii="宋体" w:hAnsi="宋体" w:eastAsia="宋体" w:cs="宋体"/>
          <w:color w:val="auto"/>
          <w:sz w:val="36"/>
          <w:szCs w:val="36"/>
          <w:highlight w:val="none"/>
        </w:rPr>
        <w:t> </w:t>
      </w:r>
    </w:p>
    <w:p>
      <w:pPr>
        <w:pStyle w:val="12"/>
        <w:widowControl/>
        <w:jc w:val="center"/>
        <w:rPr>
          <w:color w:val="auto"/>
          <w:highlight w:val="none"/>
        </w:rPr>
      </w:pPr>
      <w:r>
        <w:rPr>
          <w:rStyle w:val="16"/>
          <w:rFonts w:hint="eastAsia" w:ascii="宋体" w:hAnsi="宋体" w:eastAsia="宋体" w:cs="宋体"/>
          <w:color w:val="auto"/>
          <w:sz w:val="36"/>
          <w:szCs w:val="36"/>
          <w:highlight w:val="none"/>
          <w:u w:val="single"/>
        </w:rPr>
        <w:t>（填写正本或副本）</w:t>
      </w:r>
    </w:p>
    <w:p>
      <w:pPr>
        <w:pStyle w:val="12"/>
        <w:widowControl/>
        <w:rPr>
          <w:color w:val="auto"/>
          <w:highlight w:val="none"/>
        </w:rPr>
      </w:pPr>
      <w:r>
        <w:rPr>
          <w:rFonts w:hint="eastAsia" w:ascii="宋体" w:hAnsi="宋体" w:eastAsia="宋体" w:cs="宋体"/>
          <w:color w:val="auto"/>
          <w:sz w:val="36"/>
          <w:szCs w:val="36"/>
          <w:highlight w:val="none"/>
        </w:rPr>
        <w:t> </w:t>
      </w:r>
    </w:p>
    <w:p>
      <w:pPr>
        <w:pStyle w:val="12"/>
        <w:widowControl/>
        <w:ind w:firstLine="1920"/>
        <w:rPr>
          <w:color w:val="auto"/>
          <w:highlight w:val="none"/>
        </w:rPr>
      </w:pPr>
      <w:r>
        <w:rPr>
          <w:rStyle w:val="16"/>
          <w:rFonts w:hint="eastAsia" w:ascii="宋体" w:hAnsi="宋体" w:eastAsia="宋体" w:cs="宋体"/>
          <w:color w:val="auto"/>
          <w:sz w:val="31"/>
          <w:szCs w:val="31"/>
          <w:highlight w:val="none"/>
        </w:rPr>
        <w:t>项目名称：</w:t>
      </w:r>
      <w:r>
        <w:rPr>
          <w:rStyle w:val="16"/>
          <w:rFonts w:hint="eastAsia" w:ascii="宋体" w:hAnsi="宋体" w:eastAsia="宋体" w:cs="宋体"/>
          <w:color w:val="auto"/>
          <w:sz w:val="31"/>
          <w:szCs w:val="31"/>
          <w:highlight w:val="none"/>
          <w:u w:val="single"/>
        </w:rPr>
        <w:t>（由投标人填写）</w:t>
      </w:r>
    </w:p>
    <w:p>
      <w:pPr>
        <w:pStyle w:val="12"/>
        <w:widowControl/>
        <w:ind w:firstLine="1920"/>
        <w:rPr>
          <w:color w:val="auto"/>
          <w:highlight w:val="none"/>
        </w:rPr>
      </w:pPr>
      <w:r>
        <w:rPr>
          <w:rStyle w:val="16"/>
          <w:rFonts w:hint="eastAsia" w:ascii="宋体" w:hAnsi="宋体" w:eastAsia="宋体" w:cs="宋体"/>
          <w:color w:val="auto"/>
          <w:sz w:val="31"/>
          <w:szCs w:val="31"/>
          <w:highlight w:val="none"/>
        </w:rPr>
        <w:t>招标编号：</w:t>
      </w:r>
      <w:r>
        <w:rPr>
          <w:rStyle w:val="16"/>
          <w:rFonts w:hint="eastAsia" w:ascii="宋体" w:hAnsi="宋体" w:eastAsia="宋体" w:cs="宋体"/>
          <w:color w:val="auto"/>
          <w:sz w:val="31"/>
          <w:szCs w:val="31"/>
          <w:highlight w:val="none"/>
          <w:u w:val="single"/>
        </w:rPr>
        <w:t>（由投标人填写）</w:t>
      </w:r>
    </w:p>
    <w:p>
      <w:pPr>
        <w:pStyle w:val="12"/>
        <w:widowControl/>
        <w:ind w:firstLine="1920"/>
        <w:rPr>
          <w:color w:val="auto"/>
          <w:highlight w:val="none"/>
        </w:rPr>
      </w:pPr>
      <w:r>
        <w:rPr>
          <w:rStyle w:val="16"/>
          <w:rFonts w:hint="eastAsia" w:ascii="宋体" w:hAnsi="宋体" w:eastAsia="宋体" w:cs="宋体"/>
          <w:color w:val="auto"/>
          <w:sz w:val="31"/>
          <w:szCs w:val="31"/>
          <w:highlight w:val="none"/>
        </w:rPr>
        <w:t>所投合同包：</w:t>
      </w:r>
      <w:r>
        <w:rPr>
          <w:rStyle w:val="16"/>
          <w:rFonts w:hint="eastAsia" w:ascii="宋体" w:hAnsi="宋体" w:eastAsia="宋体" w:cs="宋体"/>
          <w:color w:val="auto"/>
          <w:sz w:val="31"/>
          <w:szCs w:val="31"/>
          <w:highlight w:val="none"/>
          <w:u w:val="single"/>
        </w:rPr>
        <w:t>（由投标人填写）</w:t>
      </w:r>
    </w:p>
    <w:p>
      <w:pPr>
        <w:pStyle w:val="12"/>
        <w:widowControl/>
        <w:rPr>
          <w:color w:val="auto"/>
          <w:highlight w:val="none"/>
        </w:rPr>
      </w:pPr>
    </w:p>
    <w:p>
      <w:pPr>
        <w:pStyle w:val="12"/>
        <w:widowControl/>
        <w:rPr>
          <w:color w:val="auto"/>
          <w:highlight w:val="none"/>
        </w:rPr>
      </w:pPr>
    </w:p>
    <w:p>
      <w:pPr>
        <w:pStyle w:val="12"/>
        <w:widowControl/>
        <w:rPr>
          <w:color w:val="auto"/>
          <w:highlight w:val="none"/>
        </w:rPr>
      </w:pPr>
    </w:p>
    <w:p>
      <w:pPr>
        <w:pStyle w:val="12"/>
        <w:widowControl/>
        <w:jc w:val="center"/>
        <w:rPr>
          <w:color w:val="auto"/>
          <w:highlight w:val="none"/>
        </w:rPr>
      </w:pPr>
      <w:r>
        <w:rPr>
          <w:rStyle w:val="16"/>
          <w:rFonts w:hint="eastAsia" w:ascii="宋体" w:hAnsi="宋体" w:eastAsia="宋体" w:cs="宋体"/>
          <w:color w:val="auto"/>
          <w:sz w:val="31"/>
          <w:szCs w:val="31"/>
          <w:highlight w:val="none"/>
        </w:rPr>
        <w:t>投标人：</w:t>
      </w:r>
      <w:r>
        <w:rPr>
          <w:rStyle w:val="16"/>
          <w:rFonts w:hint="eastAsia" w:ascii="宋体" w:hAnsi="宋体" w:eastAsia="宋体" w:cs="宋体"/>
          <w:color w:val="auto"/>
          <w:sz w:val="31"/>
          <w:szCs w:val="31"/>
          <w:highlight w:val="none"/>
          <w:u w:val="single"/>
        </w:rPr>
        <w:t>（填写“全称”）</w:t>
      </w:r>
    </w:p>
    <w:p>
      <w:pPr>
        <w:pStyle w:val="12"/>
        <w:widowControl/>
        <w:jc w:val="center"/>
        <w:rPr>
          <w:color w:val="auto"/>
          <w:highlight w:val="none"/>
        </w:rPr>
      </w:pPr>
      <w:r>
        <w:rPr>
          <w:rStyle w:val="16"/>
          <w:rFonts w:hint="eastAsia" w:ascii="宋体" w:hAnsi="宋体" w:eastAsia="宋体" w:cs="宋体"/>
          <w:color w:val="auto"/>
          <w:sz w:val="31"/>
          <w:szCs w:val="31"/>
          <w:highlight w:val="none"/>
          <w:u w:val="single"/>
        </w:rPr>
        <w:t>（由投标人填写）</w:t>
      </w:r>
      <w:r>
        <w:rPr>
          <w:rStyle w:val="16"/>
          <w:rFonts w:hint="eastAsia" w:ascii="宋体" w:hAnsi="宋体" w:eastAsia="宋体" w:cs="宋体"/>
          <w:color w:val="auto"/>
          <w:sz w:val="31"/>
          <w:szCs w:val="31"/>
          <w:highlight w:val="none"/>
        </w:rPr>
        <w:t>年</w:t>
      </w:r>
      <w:r>
        <w:rPr>
          <w:rStyle w:val="16"/>
          <w:rFonts w:hint="eastAsia" w:ascii="宋体" w:hAnsi="宋体" w:eastAsia="宋体" w:cs="宋体"/>
          <w:color w:val="auto"/>
          <w:sz w:val="31"/>
          <w:szCs w:val="31"/>
          <w:highlight w:val="none"/>
          <w:u w:val="single"/>
        </w:rPr>
        <w:t>（由投标人填写）</w:t>
      </w:r>
      <w:r>
        <w:rPr>
          <w:rStyle w:val="16"/>
          <w:rFonts w:hint="eastAsia" w:ascii="宋体" w:hAnsi="宋体" w:eastAsia="宋体" w:cs="宋体"/>
          <w:color w:val="auto"/>
          <w:sz w:val="31"/>
          <w:szCs w:val="31"/>
          <w:highlight w:val="none"/>
        </w:rPr>
        <w:t>月</w:t>
      </w:r>
    </w:p>
    <w:p>
      <w:pPr>
        <w:pStyle w:val="12"/>
        <w:widowControl/>
        <w:jc w:val="center"/>
        <w:rPr>
          <w:rFonts w:ascii="Calibri" w:hAnsi="Calibri" w:cs="Calibri"/>
          <w:color w:val="auto"/>
          <w:sz w:val="21"/>
          <w:szCs w:val="21"/>
          <w:highlight w:val="none"/>
        </w:rPr>
      </w:pPr>
      <w:r>
        <w:rPr>
          <w:rFonts w:ascii="Calibri" w:hAnsi="Calibri" w:cs="Calibri"/>
          <w:color w:val="auto"/>
          <w:sz w:val="21"/>
          <w:szCs w:val="21"/>
          <w:highlight w:val="none"/>
        </w:rPr>
        <w:br w:type="textWrapping"/>
      </w:r>
    </w:p>
    <w:p>
      <w:pPr>
        <w:rPr>
          <w:rFonts w:ascii="Calibri" w:hAnsi="Calibri" w:cs="Calibri"/>
          <w:color w:val="auto"/>
          <w:szCs w:val="21"/>
          <w:highlight w:val="none"/>
        </w:rPr>
      </w:pPr>
      <w:r>
        <w:rPr>
          <w:rFonts w:ascii="Calibri" w:hAnsi="Calibri" w:cs="Calibri"/>
          <w:color w:val="auto"/>
          <w:szCs w:val="21"/>
          <w:highlight w:val="none"/>
        </w:rPr>
        <w:br w:type="page"/>
      </w:r>
    </w:p>
    <w:p>
      <w:pPr>
        <w:pStyle w:val="12"/>
        <w:widowControl/>
        <w:jc w:val="center"/>
        <w:outlineLvl w:val="2"/>
        <w:rPr>
          <w:color w:val="auto"/>
          <w:highlight w:val="none"/>
        </w:rPr>
      </w:pPr>
      <w:r>
        <w:rPr>
          <w:rStyle w:val="16"/>
          <w:rFonts w:hint="eastAsia" w:ascii="宋体" w:hAnsi="宋体" w:eastAsia="宋体" w:cs="宋体"/>
          <w:color w:val="auto"/>
          <w:sz w:val="28"/>
          <w:szCs w:val="28"/>
          <w:highlight w:val="none"/>
        </w:rPr>
        <w:t>索引</w:t>
      </w:r>
    </w:p>
    <w:p>
      <w:pPr>
        <w:pStyle w:val="12"/>
        <w:widowControl/>
        <w:rPr>
          <w:color w:val="auto"/>
          <w:highlight w:val="none"/>
        </w:rPr>
      </w:pPr>
      <w:r>
        <w:rPr>
          <w:rFonts w:hint="eastAsia" w:ascii="宋体" w:hAnsi="宋体" w:eastAsia="宋体" w:cs="宋体"/>
          <w:color w:val="auto"/>
          <w:sz w:val="28"/>
          <w:szCs w:val="28"/>
          <w:highlight w:val="none"/>
        </w:rPr>
        <w:t>一、投标函</w:t>
      </w:r>
    </w:p>
    <w:p>
      <w:pPr>
        <w:pStyle w:val="12"/>
        <w:widowControl/>
        <w:rPr>
          <w:color w:val="auto"/>
          <w:highlight w:val="none"/>
        </w:rPr>
      </w:pPr>
      <w:r>
        <w:rPr>
          <w:rFonts w:hint="eastAsia" w:ascii="宋体" w:hAnsi="宋体" w:eastAsia="宋体" w:cs="宋体"/>
          <w:color w:val="auto"/>
          <w:sz w:val="28"/>
          <w:szCs w:val="28"/>
          <w:highlight w:val="none"/>
        </w:rPr>
        <w:t>二、投标人的资格及资信证明文件</w:t>
      </w:r>
    </w:p>
    <w:p>
      <w:pPr>
        <w:pStyle w:val="12"/>
        <w:widowControl/>
        <w:rPr>
          <w:color w:val="auto"/>
          <w:highlight w:val="none"/>
        </w:rPr>
      </w:pPr>
      <w:r>
        <w:rPr>
          <w:rFonts w:hint="eastAsia" w:ascii="宋体" w:hAnsi="宋体" w:eastAsia="宋体" w:cs="宋体"/>
          <w:color w:val="auto"/>
          <w:sz w:val="28"/>
          <w:szCs w:val="28"/>
          <w:highlight w:val="none"/>
        </w:rPr>
        <w:t>三、投标保证金</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jc w:val="center"/>
        <w:rPr>
          <w:color w:val="auto"/>
          <w:highlight w:val="none"/>
        </w:rPr>
      </w:pPr>
      <w:r>
        <w:rPr>
          <w:rFonts w:hint="eastAsia" w:ascii="宋体" w:hAnsi="宋体" w:eastAsia="宋体" w:cs="宋体"/>
          <w:color w:val="auto"/>
          <w:sz w:val="21"/>
          <w:szCs w:val="21"/>
          <w:highlight w:val="none"/>
        </w:rPr>
        <w:t>★注意</w:t>
      </w:r>
    </w:p>
    <w:p>
      <w:pPr>
        <w:pStyle w:val="12"/>
        <w:widowControl/>
        <w:ind w:firstLine="420"/>
        <w:rPr>
          <w:color w:val="auto"/>
          <w:highlight w:val="none"/>
        </w:rPr>
      </w:pPr>
      <w:r>
        <w:rPr>
          <w:rFonts w:hint="eastAsia" w:ascii="宋体" w:hAnsi="宋体" w:eastAsia="宋体" w:cs="宋体"/>
          <w:color w:val="auto"/>
          <w:sz w:val="21"/>
          <w:szCs w:val="21"/>
          <w:highlight w:val="none"/>
        </w:rPr>
        <w:t>资格及资信证明部分中不得出现报价部分的全部或部分的投标报价信息（或组成资料），否则</w:t>
      </w:r>
      <w:r>
        <w:rPr>
          <w:rStyle w:val="16"/>
          <w:rFonts w:hint="eastAsia" w:ascii="宋体" w:hAnsi="宋体" w:eastAsia="宋体" w:cs="宋体"/>
          <w:color w:val="auto"/>
          <w:sz w:val="21"/>
          <w:szCs w:val="21"/>
          <w:highlight w:val="none"/>
        </w:rPr>
        <w:t>资格审查不合格</w:t>
      </w:r>
      <w:r>
        <w:rPr>
          <w:rFonts w:hint="eastAsia" w:ascii="宋体" w:hAnsi="宋体" w:eastAsia="宋体" w:cs="宋体"/>
          <w:color w:val="auto"/>
          <w:sz w:val="21"/>
          <w:szCs w:val="21"/>
          <w:highlight w:val="none"/>
        </w:rPr>
        <w:t>。</w:t>
      </w:r>
    </w:p>
    <w:p>
      <w:pPr>
        <w:pStyle w:val="12"/>
        <w:widowControl/>
        <w:rPr>
          <w:color w:val="auto"/>
          <w:highlight w:val="none"/>
        </w:rPr>
      </w:pPr>
    </w:p>
    <w:p>
      <w:pPr>
        <w:pStyle w:val="12"/>
        <w:widowControl/>
        <w:jc w:val="center"/>
        <w:rPr>
          <w:rFonts w:ascii="Calibri" w:hAnsi="Calibri" w:cs="Calibri"/>
          <w:color w:val="auto"/>
          <w:sz w:val="21"/>
          <w:szCs w:val="21"/>
          <w:highlight w:val="none"/>
        </w:rPr>
      </w:pPr>
      <w:r>
        <w:rPr>
          <w:rFonts w:ascii="Calibri" w:hAnsi="Calibri" w:cs="Calibri"/>
          <w:color w:val="auto"/>
          <w:sz w:val="21"/>
          <w:szCs w:val="21"/>
          <w:highlight w:val="none"/>
        </w:rPr>
        <w:br w:type="textWrapping"/>
      </w:r>
    </w:p>
    <w:p>
      <w:pPr>
        <w:rPr>
          <w:rFonts w:ascii="Calibri" w:hAnsi="Calibri" w:cs="Calibri"/>
          <w:color w:val="auto"/>
          <w:szCs w:val="21"/>
          <w:highlight w:val="none"/>
        </w:rPr>
      </w:pPr>
      <w:r>
        <w:rPr>
          <w:rFonts w:ascii="Calibri" w:hAnsi="Calibri" w:cs="Calibri"/>
          <w:color w:val="auto"/>
          <w:szCs w:val="21"/>
          <w:highlight w:val="none"/>
        </w:rPr>
        <w:br w:type="page"/>
      </w:r>
    </w:p>
    <w:p>
      <w:pPr>
        <w:pStyle w:val="12"/>
        <w:widowControl/>
        <w:jc w:val="center"/>
        <w:outlineLvl w:val="2"/>
        <w:rPr>
          <w:color w:val="auto"/>
          <w:highlight w:val="none"/>
        </w:rPr>
      </w:pPr>
      <w:r>
        <w:rPr>
          <w:rStyle w:val="16"/>
          <w:rFonts w:hint="eastAsia" w:ascii="宋体" w:hAnsi="宋体" w:eastAsia="宋体" w:cs="宋体"/>
          <w:color w:val="auto"/>
          <w:sz w:val="21"/>
          <w:szCs w:val="21"/>
          <w:highlight w:val="none"/>
        </w:rPr>
        <w:t>一、投标函</w:t>
      </w:r>
    </w:p>
    <w:p>
      <w:pPr>
        <w:pStyle w:val="12"/>
        <w:widowControl/>
        <w:rPr>
          <w:color w:val="auto"/>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w:t>
      </w:r>
    </w:p>
    <w:p>
      <w:pPr>
        <w:pStyle w:val="12"/>
        <w:widowControl/>
        <w:ind w:firstLine="420"/>
        <w:rPr>
          <w:color w:val="auto"/>
          <w:highlight w:val="none"/>
        </w:rPr>
      </w:pPr>
      <w:r>
        <w:rPr>
          <w:rFonts w:hint="eastAsia" w:ascii="宋体" w:hAnsi="宋体" w:eastAsia="宋体" w:cs="宋体"/>
          <w:color w:val="auto"/>
          <w:sz w:val="21"/>
          <w:szCs w:val="21"/>
          <w:highlight w:val="none"/>
        </w:rPr>
        <w:t>兹收到贵单位关于</w:t>
      </w:r>
      <w:r>
        <w:rPr>
          <w:rFonts w:hint="eastAsia" w:ascii="宋体" w:hAnsi="宋体" w:eastAsia="宋体" w:cs="宋体"/>
          <w:color w:val="auto"/>
          <w:sz w:val="21"/>
          <w:szCs w:val="21"/>
          <w:highlight w:val="none"/>
          <w:u w:val="single"/>
        </w:rPr>
        <w:t>（填写“项目名称”）</w:t>
      </w:r>
      <w:r>
        <w:rPr>
          <w:rFonts w:hint="eastAsia" w:ascii="宋体" w:hAnsi="宋体" w:eastAsia="宋体" w:cs="宋体"/>
          <w:color w:val="auto"/>
          <w:sz w:val="21"/>
          <w:szCs w:val="21"/>
          <w:highlight w:val="none"/>
        </w:rPr>
        <w:t>项目（招标编号：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）的投标邀请，本投标人代表</w:t>
      </w:r>
      <w:r>
        <w:rPr>
          <w:rFonts w:hint="eastAsia" w:ascii="宋体" w:hAnsi="宋体" w:eastAsia="宋体" w:cs="宋体"/>
          <w:color w:val="auto"/>
          <w:sz w:val="21"/>
          <w:szCs w:val="21"/>
          <w:highlight w:val="none"/>
          <w:u w:val="single"/>
        </w:rPr>
        <w:t>（填写“全名”）</w:t>
      </w:r>
      <w:r>
        <w:rPr>
          <w:rFonts w:hint="eastAsia" w:ascii="宋体" w:hAnsi="宋体" w:eastAsia="宋体" w:cs="宋体"/>
          <w:color w:val="auto"/>
          <w:sz w:val="21"/>
          <w:szCs w:val="21"/>
          <w:highlight w:val="none"/>
        </w:rPr>
        <w:t>已获得我方正式授权并代表投标人</w:t>
      </w:r>
      <w:r>
        <w:rPr>
          <w:rFonts w:hint="eastAsia" w:ascii="宋体" w:hAnsi="宋体" w:eastAsia="宋体" w:cs="宋体"/>
          <w:color w:val="auto"/>
          <w:sz w:val="21"/>
          <w:szCs w:val="21"/>
          <w:highlight w:val="none"/>
          <w:u w:val="single"/>
        </w:rPr>
        <w:t>（填写“全称”）</w:t>
      </w:r>
      <w:r>
        <w:rPr>
          <w:rFonts w:hint="eastAsia" w:ascii="宋体" w:hAnsi="宋体" w:eastAsia="宋体" w:cs="宋体"/>
          <w:color w:val="auto"/>
          <w:sz w:val="21"/>
          <w:szCs w:val="21"/>
          <w:highlight w:val="none"/>
        </w:rPr>
        <w:t>参加投标，并提交招标文件规定份数的投标文件正本和副本。我方提交的全部投标文件均由下述部分组成：</w:t>
      </w:r>
    </w:p>
    <w:p>
      <w:pPr>
        <w:pStyle w:val="12"/>
        <w:widowControl/>
        <w:ind w:firstLine="420"/>
        <w:rPr>
          <w:color w:val="auto"/>
          <w:highlight w:val="none"/>
        </w:rPr>
      </w:pPr>
      <w:r>
        <w:rPr>
          <w:rFonts w:hint="eastAsia" w:ascii="宋体" w:hAnsi="宋体" w:eastAsia="宋体" w:cs="宋体"/>
          <w:color w:val="auto"/>
          <w:sz w:val="21"/>
          <w:szCs w:val="21"/>
          <w:highlight w:val="none"/>
        </w:rPr>
        <w:t>（1）资格及资信证明部分</w:t>
      </w:r>
    </w:p>
    <w:p>
      <w:pPr>
        <w:pStyle w:val="12"/>
        <w:widowControl/>
        <w:ind w:firstLine="420"/>
        <w:rPr>
          <w:color w:val="auto"/>
          <w:highlight w:val="none"/>
        </w:rPr>
      </w:pPr>
      <w:r>
        <w:rPr>
          <w:rFonts w:hint="eastAsia" w:ascii="宋体" w:hAnsi="宋体" w:eastAsia="宋体" w:cs="宋体"/>
          <w:color w:val="auto"/>
          <w:sz w:val="21"/>
          <w:szCs w:val="21"/>
          <w:highlight w:val="none"/>
        </w:rPr>
        <w:t>①投标函</w:t>
      </w:r>
    </w:p>
    <w:p>
      <w:pPr>
        <w:pStyle w:val="12"/>
        <w:widowControl/>
        <w:ind w:firstLine="420"/>
        <w:rPr>
          <w:color w:val="auto"/>
          <w:highlight w:val="none"/>
        </w:rPr>
      </w:pPr>
      <w:r>
        <w:rPr>
          <w:rFonts w:hint="eastAsia" w:ascii="宋体" w:hAnsi="宋体" w:eastAsia="宋体" w:cs="宋体"/>
          <w:color w:val="auto"/>
          <w:sz w:val="21"/>
          <w:szCs w:val="21"/>
          <w:highlight w:val="none"/>
        </w:rPr>
        <w:t>②投标人的资格及资信证明文件</w:t>
      </w:r>
    </w:p>
    <w:p>
      <w:pPr>
        <w:pStyle w:val="12"/>
        <w:widowControl/>
        <w:ind w:firstLine="420"/>
        <w:rPr>
          <w:color w:val="auto"/>
          <w:highlight w:val="none"/>
        </w:rPr>
      </w:pPr>
      <w:r>
        <w:rPr>
          <w:rFonts w:hint="eastAsia" w:ascii="宋体" w:hAnsi="宋体" w:eastAsia="宋体" w:cs="宋体"/>
          <w:color w:val="auto"/>
          <w:sz w:val="21"/>
          <w:szCs w:val="21"/>
          <w:highlight w:val="none"/>
        </w:rPr>
        <w:t>③投标保证金</w:t>
      </w:r>
    </w:p>
    <w:p>
      <w:pPr>
        <w:pStyle w:val="12"/>
        <w:widowControl/>
        <w:ind w:firstLine="420"/>
        <w:rPr>
          <w:color w:val="auto"/>
          <w:highlight w:val="none"/>
        </w:rPr>
      </w:pPr>
      <w:r>
        <w:rPr>
          <w:rFonts w:hint="eastAsia" w:ascii="宋体" w:hAnsi="宋体" w:eastAsia="宋体" w:cs="宋体"/>
          <w:color w:val="auto"/>
          <w:sz w:val="21"/>
          <w:szCs w:val="21"/>
          <w:highlight w:val="none"/>
        </w:rPr>
        <w:t>（2）报价部分</w:t>
      </w:r>
    </w:p>
    <w:p>
      <w:pPr>
        <w:pStyle w:val="12"/>
        <w:widowControl/>
        <w:ind w:firstLine="420"/>
        <w:rPr>
          <w:color w:val="auto"/>
          <w:highlight w:val="none"/>
        </w:rPr>
      </w:pPr>
      <w:r>
        <w:rPr>
          <w:rFonts w:hint="eastAsia" w:ascii="宋体" w:hAnsi="宋体" w:eastAsia="宋体" w:cs="宋体"/>
          <w:color w:val="auto"/>
          <w:sz w:val="21"/>
          <w:szCs w:val="21"/>
          <w:highlight w:val="none"/>
        </w:rPr>
        <w:t>①开标一览表</w:t>
      </w:r>
    </w:p>
    <w:p>
      <w:pPr>
        <w:pStyle w:val="12"/>
        <w:widowControl/>
        <w:ind w:firstLine="420"/>
        <w:rPr>
          <w:color w:val="auto"/>
          <w:highlight w:val="none"/>
        </w:rPr>
      </w:pPr>
      <w:r>
        <w:rPr>
          <w:rFonts w:hint="eastAsia" w:ascii="宋体" w:hAnsi="宋体" w:eastAsia="宋体" w:cs="宋体"/>
          <w:color w:val="auto"/>
          <w:sz w:val="21"/>
          <w:szCs w:val="21"/>
          <w:highlight w:val="none"/>
        </w:rPr>
        <w:t>②投标分项报价表</w:t>
      </w:r>
    </w:p>
    <w:p>
      <w:pPr>
        <w:pStyle w:val="12"/>
        <w:widowControl/>
        <w:ind w:firstLine="420"/>
        <w:rPr>
          <w:color w:val="auto"/>
          <w:highlight w:val="none"/>
        </w:rPr>
      </w:pPr>
      <w:r>
        <w:rPr>
          <w:rFonts w:hint="eastAsia" w:ascii="宋体" w:hAnsi="宋体" w:eastAsia="宋体" w:cs="宋体"/>
          <w:color w:val="auto"/>
          <w:sz w:val="21"/>
          <w:szCs w:val="21"/>
          <w:highlight w:val="none"/>
        </w:rPr>
        <w:t>（3）技术商务部分</w:t>
      </w:r>
    </w:p>
    <w:p>
      <w:pPr>
        <w:pStyle w:val="12"/>
        <w:widowControl/>
        <w:ind w:firstLine="420"/>
        <w:rPr>
          <w:color w:val="auto"/>
          <w:highlight w:val="none"/>
        </w:rPr>
      </w:pPr>
      <w:r>
        <w:rPr>
          <w:rFonts w:hint="eastAsia" w:ascii="宋体" w:hAnsi="宋体" w:eastAsia="宋体" w:cs="宋体"/>
          <w:color w:val="auto"/>
          <w:sz w:val="21"/>
          <w:szCs w:val="21"/>
          <w:highlight w:val="none"/>
        </w:rPr>
        <w:t>①标的说明一览表</w:t>
      </w:r>
    </w:p>
    <w:p>
      <w:pPr>
        <w:pStyle w:val="12"/>
        <w:widowControl/>
        <w:ind w:firstLine="420"/>
        <w:rPr>
          <w:color w:val="auto"/>
          <w:highlight w:val="none"/>
        </w:rPr>
      </w:pPr>
      <w:r>
        <w:rPr>
          <w:rFonts w:hint="eastAsia" w:ascii="宋体" w:hAnsi="宋体" w:eastAsia="宋体" w:cs="宋体"/>
          <w:color w:val="auto"/>
          <w:sz w:val="21"/>
          <w:szCs w:val="21"/>
          <w:highlight w:val="none"/>
        </w:rPr>
        <w:t>②技术和服务要求响应表</w:t>
      </w:r>
    </w:p>
    <w:p>
      <w:pPr>
        <w:pStyle w:val="12"/>
        <w:widowControl/>
        <w:ind w:firstLine="420"/>
        <w:rPr>
          <w:color w:val="auto"/>
          <w:highlight w:val="none"/>
        </w:rPr>
      </w:pPr>
      <w:r>
        <w:rPr>
          <w:rFonts w:hint="eastAsia" w:ascii="宋体" w:hAnsi="宋体" w:eastAsia="宋体" w:cs="宋体"/>
          <w:color w:val="auto"/>
          <w:sz w:val="21"/>
          <w:szCs w:val="21"/>
          <w:highlight w:val="none"/>
        </w:rPr>
        <w:t>③商务条件响应表</w:t>
      </w:r>
    </w:p>
    <w:p>
      <w:pPr>
        <w:pStyle w:val="12"/>
        <w:widowControl/>
        <w:ind w:firstLine="420"/>
        <w:rPr>
          <w:color w:val="auto"/>
          <w:highlight w:val="none"/>
        </w:rPr>
      </w:pPr>
      <w:r>
        <w:rPr>
          <w:rFonts w:hint="eastAsia" w:ascii="宋体" w:hAnsi="宋体" w:eastAsia="宋体" w:cs="宋体"/>
          <w:color w:val="auto"/>
          <w:sz w:val="21"/>
          <w:szCs w:val="21"/>
          <w:highlight w:val="none"/>
        </w:rPr>
        <w:t>④投标人提交的其他资料（若有）</w:t>
      </w:r>
    </w:p>
    <w:p>
      <w:pPr>
        <w:pStyle w:val="12"/>
        <w:widowControl/>
        <w:ind w:firstLine="420"/>
        <w:rPr>
          <w:color w:val="auto"/>
          <w:highlight w:val="none"/>
        </w:rPr>
      </w:pPr>
      <w:r>
        <w:rPr>
          <w:rFonts w:hint="eastAsia" w:ascii="宋体" w:hAnsi="宋体" w:eastAsia="宋体" w:cs="宋体"/>
          <w:color w:val="auto"/>
          <w:sz w:val="21"/>
          <w:szCs w:val="21"/>
          <w:highlight w:val="none"/>
        </w:rPr>
        <w:t>根据本函，本投标人代表宣布我方保证遵守招标文件的全部规定，同时：</w:t>
      </w:r>
    </w:p>
    <w:p>
      <w:pPr>
        <w:pStyle w:val="12"/>
        <w:widowControl/>
        <w:ind w:firstLine="420"/>
        <w:rPr>
          <w:color w:val="auto"/>
          <w:highlight w:val="none"/>
        </w:rPr>
      </w:pPr>
      <w:r>
        <w:rPr>
          <w:rFonts w:hint="eastAsia" w:ascii="宋体" w:hAnsi="宋体" w:eastAsia="宋体" w:cs="宋体"/>
          <w:color w:val="auto"/>
          <w:sz w:val="21"/>
          <w:szCs w:val="21"/>
          <w:highlight w:val="none"/>
        </w:rPr>
        <w:t>1、</w:t>
      </w:r>
      <w:r>
        <w:rPr>
          <w:rStyle w:val="16"/>
          <w:rFonts w:hint="eastAsia" w:ascii="宋体" w:hAnsi="宋体" w:eastAsia="宋体" w:cs="宋体"/>
          <w:color w:val="auto"/>
          <w:sz w:val="21"/>
          <w:szCs w:val="21"/>
          <w:highlight w:val="none"/>
        </w:rPr>
        <w:t>确认：</w:t>
      </w:r>
    </w:p>
    <w:p>
      <w:pPr>
        <w:pStyle w:val="12"/>
        <w:widowControl/>
        <w:ind w:firstLine="420"/>
        <w:rPr>
          <w:color w:val="auto"/>
          <w:highlight w:val="none"/>
        </w:rPr>
      </w:pPr>
      <w:r>
        <w:rPr>
          <w:rFonts w:hint="eastAsia" w:ascii="宋体" w:hAnsi="宋体" w:eastAsia="宋体" w:cs="宋体"/>
          <w:color w:val="auto"/>
          <w:sz w:val="21"/>
          <w:szCs w:val="21"/>
          <w:highlight w:val="none"/>
        </w:rPr>
        <w:t>1.1所投合同包的投标报价详见“开标一览表”及“投标分项报价表”。</w:t>
      </w:r>
    </w:p>
    <w:p>
      <w:pPr>
        <w:pStyle w:val="12"/>
        <w:widowControl/>
        <w:ind w:firstLine="420"/>
        <w:rPr>
          <w:color w:val="auto"/>
          <w:highlight w:val="none"/>
        </w:rPr>
      </w:pPr>
      <w:r>
        <w:rPr>
          <w:rFonts w:hint="eastAsia" w:ascii="宋体" w:hAnsi="宋体" w:eastAsia="宋体" w:cs="宋体"/>
          <w:color w:val="auto"/>
          <w:sz w:val="21"/>
          <w:szCs w:val="21"/>
          <w:highlight w:val="none"/>
        </w:rPr>
        <w:t>1.2我方已详细审查全部招标文件</w:t>
      </w:r>
      <w:r>
        <w:rPr>
          <w:rFonts w:ascii="Calibri" w:hAnsi="Calibri" w:eastAsia="宋体" w:cs="Calibri"/>
          <w:color w:val="auto"/>
          <w:sz w:val="21"/>
          <w:szCs w:val="21"/>
          <w:highlight w:val="none"/>
        </w:rPr>
        <w:t>[</w:t>
      </w:r>
      <w:r>
        <w:rPr>
          <w:rFonts w:hint="eastAsia" w:ascii="宋体" w:hAnsi="宋体" w:eastAsia="宋体" w:cs="宋体"/>
          <w:color w:val="auto"/>
          <w:sz w:val="21"/>
          <w:szCs w:val="21"/>
          <w:highlight w:val="none"/>
        </w:rPr>
        <w:t>包括但不限于：有关附件（若有）、澄清或修改（若有）等</w:t>
      </w:r>
      <w:r>
        <w:rPr>
          <w:rFonts w:ascii="Calibri" w:hAnsi="Calibri" w:eastAsia="宋体" w:cs="Calibri"/>
          <w:color w:val="auto"/>
          <w:sz w:val="21"/>
          <w:szCs w:val="21"/>
          <w:highlight w:val="none"/>
        </w:rPr>
        <w:t>]</w:t>
      </w:r>
      <w:r>
        <w:rPr>
          <w:rFonts w:hint="eastAsia" w:ascii="宋体" w:hAnsi="宋体" w:eastAsia="宋体" w:cs="宋体"/>
          <w:color w:val="auto"/>
          <w:sz w:val="21"/>
          <w:szCs w:val="21"/>
          <w:highlight w:val="none"/>
        </w:rPr>
        <w:t>，并自行承担因对全部招标文件理解不正确或误解而产生的相应后果和责任。</w:t>
      </w:r>
    </w:p>
    <w:p>
      <w:pPr>
        <w:pStyle w:val="12"/>
        <w:widowControl/>
        <w:ind w:firstLine="420"/>
        <w:rPr>
          <w:color w:val="auto"/>
          <w:highlight w:val="none"/>
        </w:rPr>
      </w:pPr>
      <w:r>
        <w:rPr>
          <w:rFonts w:hint="eastAsia" w:ascii="宋体" w:hAnsi="宋体" w:eastAsia="宋体" w:cs="宋体"/>
          <w:color w:val="auto"/>
          <w:sz w:val="21"/>
          <w:szCs w:val="21"/>
          <w:highlight w:val="none"/>
        </w:rPr>
        <w:t>2、</w:t>
      </w:r>
      <w:r>
        <w:rPr>
          <w:rStyle w:val="16"/>
          <w:rFonts w:hint="eastAsia" w:ascii="宋体" w:hAnsi="宋体" w:eastAsia="宋体" w:cs="宋体"/>
          <w:color w:val="auto"/>
          <w:sz w:val="21"/>
          <w:szCs w:val="21"/>
          <w:highlight w:val="none"/>
        </w:rPr>
        <w:t>承诺及声明：</w:t>
      </w:r>
    </w:p>
    <w:p>
      <w:pPr>
        <w:pStyle w:val="12"/>
        <w:widowControl/>
        <w:ind w:firstLine="420"/>
        <w:rPr>
          <w:color w:val="auto"/>
          <w:highlight w:val="none"/>
        </w:rPr>
      </w:pPr>
      <w:r>
        <w:rPr>
          <w:rFonts w:hint="eastAsia" w:ascii="宋体" w:hAnsi="宋体" w:eastAsia="宋体" w:cs="宋体"/>
          <w:color w:val="auto"/>
          <w:sz w:val="21"/>
          <w:szCs w:val="21"/>
          <w:highlight w:val="none"/>
        </w:rPr>
        <w:t>2.1我方具备招标文件第一章载明的“投标人的资格要求”且符合招标文件第三章载明的“二、投标人”之规定，否则</w:t>
      </w:r>
      <w:r>
        <w:rPr>
          <w:rStyle w:val="16"/>
          <w:rFonts w:hint="eastAsia" w:ascii="宋体" w:hAnsi="宋体" w:eastAsia="宋体" w:cs="宋体"/>
          <w:color w:val="auto"/>
          <w:sz w:val="21"/>
          <w:szCs w:val="21"/>
          <w:highlight w:val="none"/>
        </w:rPr>
        <w:t>投标无效。</w:t>
      </w:r>
    </w:p>
    <w:p>
      <w:pPr>
        <w:pStyle w:val="12"/>
        <w:widowControl/>
        <w:ind w:firstLine="420"/>
        <w:rPr>
          <w:color w:val="auto"/>
          <w:highlight w:val="none"/>
        </w:rPr>
      </w:pPr>
      <w:r>
        <w:rPr>
          <w:rFonts w:hint="eastAsia" w:ascii="宋体" w:hAnsi="宋体" w:eastAsia="宋体" w:cs="宋体"/>
          <w:color w:val="auto"/>
          <w:sz w:val="21"/>
          <w:szCs w:val="21"/>
          <w:highlight w:val="none"/>
        </w:rPr>
        <w:t>2.2我方提交的投标文件各组成部分的全部内容及资料是不可割离且真实、有效、准确、完整和不具有任何误导性的，否则产生不利后果由我方承担责任。</w:t>
      </w:r>
    </w:p>
    <w:p>
      <w:pPr>
        <w:pStyle w:val="12"/>
        <w:widowControl/>
        <w:ind w:firstLine="420"/>
        <w:rPr>
          <w:color w:val="auto"/>
          <w:highlight w:val="none"/>
        </w:rPr>
      </w:pPr>
      <w:r>
        <w:rPr>
          <w:rFonts w:hint="eastAsia" w:ascii="宋体" w:hAnsi="宋体" w:eastAsia="宋体" w:cs="宋体"/>
          <w:color w:val="auto"/>
          <w:sz w:val="21"/>
          <w:szCs w:val="21"/>
          <w:highlight w:val="none"/>
        </w:rPr>
        <w:t>2.3我方提供的标的价格不高于同期市场价格，否则产生不利后果由我方承担责任。</w:t>
      </w:r>
    </w:p>
    <w:p>
      <w:pPr>
        <w:pStyle w:val="12"/>
        <w:widowControl/>
        <w:ind w:firstLine="420"/>
        <w:rPr>
          <w:color w:val="auto"/>
          <w:highlight w:val="none"/>
        </w:rPr>
      </w:pPr>
      <w:r>
        <w:rPr>
          <w:rFonts w:hint="eastAsia" w:ascii="宋体" w:hAnsi="宋体" w:eastAsia="宋体" w:cs="宋体"/>
          <w:color w:val="auto"/>
          <w:sz w:val="21"/>
          <w:szCs w:val="21"/>
          <w:highlight w:val="none"/>
        </w:rPr>
        <w:t>2.4投标保证金：若出现招标文件第三章规定的不予退还情形，同意贵单位不予退还。</w:t>
      </w:r>
    </w:p>
    <w:p>
      <w:pPr>
        <w:pStyle w:val="12"/>
        <w:widowControl/>
        <w:ind w:firstLine="420"/>
        <w:rPr>
          <w:color w:val="auto"/>
          <w:highlight w:val="none"/>
        </w:rPr>
      </w:pPr>
      <w:r>
        <w:rPr>
          <w:rFonts w:hint="eastAsia" w:ascii="宋体" w:hAnsi="宋体" w:eastAsia="宋体" w:cs="宋体"/>
          <w:color w:val="auto"/>
          <w:sz w:val="21"/>
          <w:szCs w:val="21"/>
          <w:highlight w:val="none"/>
        </w:rPr>
        <w:t>2.5投标有效期：按照招标文件第三章规定执行，并在招标文件第二章载明的期限内保持有效。</w:t>
      </w:r>
    </w:p>
    <w:p>
      <w:pPr>
        <w:pStyle w:val="12"/>
        <w:widowControl/>
        <w:ind w:firstLine="420"/>
        <w:rPr>
          <w:color w:val="auto"/>
          <w:highlight w:val="none"/>
        </w:rPr>
      </w:pPr>
      <w:r>
        <w:rPr>
          <w:rFonts w:hint="eastAsia" w:ascii="宋体" w:hAnsi="宋体" w:eastAsia="宋体" w:cs="宋体"/>
          <w:color w:val="auto"/>
          <w:sz w:val="21"/>
          <w:szCs w:val="21"/>
          <w:highlight w:val="none"/>
        </w:rPr>
        <w:t>2.6若中标，将按照招标文件、我方投标文件及</w:t>
      </w:r>
      <w:r>
        <w:rPr>
          <w:rFonts w:hint="eastAsia" w:ascii="宋体" w:hAnsi="宋体" w:eastAsia="宋体" w:cs="宋体"/>
          <w:color w:val="auto"/>
          <w:sz w:val="21"/>
          <w:szCs w:val="21"/>
          <w:highlight w:val="none"/>
          <w:lang w:eastAsia="zh-CN"/>
        </w:rPr>
        <w:t>承包合同</w:t>
      </w:r>
      <w:r>
        <w:rPr>
          <w:rFonts w:hint="eastAsia" w:ascii="宋体" w:hAnsi="宋体" w:eastAsia="宋体" w:cs="宋体"/>
          <w:color w:val="auto"/>
          <w:sz w:val="21"/>
          <w:szCs w:val="21"/>
          <w:highlight w:val="none"/>
        </w:rPr>
        <w:t>履行责任和义务。</w:t>
      </w:r>
    </w:p>
    <w:p>
      <w:pPr>
        <w:pStyle w:val="12"/>
        <w:widowControl/>
        <w:ind w:firstLine="420"/>
        <w:rPr>
          <w:color w:val="auto"/>
          <w:highlight w:val="none"/>
        </w:rPr>
      </w:pPr>
      <w:r>
        <w:rPr>
          <w:rFonts w:hint="eastAsia" w:ascii="宋体" w:hAnsi="宋体" w:eastAsia="宋体" w:cs="宋体"/>
          <w:color w:val="auto"/>
          <w:sz w:val="21"/>
          <w:szCs w:val="21"/>
          <w:highlight w:val="none"/>
        </w:rPr>
        <w:t>2.7若贵单位要求，我方同意提供与本项目投标有关的一切资料、数据或文件，并完全理解贵单位不一定要接受最低的投标报价或收到的任何投标。</w:t>
      </w:r>
    </w:p>
    <w:p>
      <w:pPr>
        <w:pStyle w:val="12"/>
        <w:widowControl/>
        <w:ind w:firstLine="420"/>
        <w:rPr>
          <w:color w:val="auto"/>
          <w:highlight w:val="none"/>
        </w:rPr>
      </w:pPr>
      <w:r>
        <w:rPr>
          <w:rFonts w:hint="eastAsia" w:ascii="宋体" w:hAnsi="宋体" w:eastAsia="宋体" w:cs="宋体"/>
          <w:color w:val="auto"/>
          <w:sz w:val="21"/>
          <w:szCs w:val="21"/>
          <w:highlight w:val="none"/>
        </w:rPr>
        <w:t>2.8除招标文件另有规定外，对于贵单位按照下述联络方式发出的任何信息或通知，均视为我方已收悉前述信息或通知的全部内容：</w:t>
      </w:r>
    </w:p>
    <w:p>
      <w:pPr>
        <w:pStyle w:val="12"/>
        <w:widowControl/>
        <w:ind w:firstLine="420"/>
        <w:rPr>
          <w:color w:val="auto"/>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single"/>
        </w:rPr>
        <w:t>                 </w:t>
      </w:r>
    </w:p>
    <w:p>
      <w:pPr>
        <w:pStyle w:val="12"/>
        <w:widowControl/>
        <w:ind w:firstLine="420"/>
        <w:rPr>
          <w:color w:val="auto"/>
          <w:highlight w:val="none"/>
        </w:rPr>
      </w:pPr>
      <w:r>
        <w:rPr>
          <w:rFonts w:hint="eastAsia" w:ascii="宋体" w:hAnsi="宋体" w:eastAsia="宋体" w:cs="宋体"/>
          <w:color w:val="auto"/>
          <w:sz w:val="21"/>
          <w:szCs w:val="21"/>
          <w:highlight w:val="none"/>
        </w:rPr>
        <w:t>联系方法：</w:t>
      </w:r>
      <w:r>
        <w:rPr>
          <w:rFonts w:hint="eastAsia" w:ascii="宋体" w:hAnsi="宋体" w:eastAsia="宋体" w:cs="宋体"/>
          <w:color w:val="auto"/>
          <w:sz w:val="21"/>
          <w:szCs w:val="21"/>
          <w:highlight w:val="none"/>
          <w:u w:val="single"/>
        </w:rPr>
        <w:t>（包括但不限于：联系人、联系电话、手机、传真、电子邮箱等）</w:t>
      </w:r>
    </w:p>
    <w:p>
      <w:pPr>
        <w:pStyle w:val="12"/>
        <w:widowControl/>
        <w:ind w:firstLine="420"/>
        <w:rPr>
          <w:color w:val="auto"/>
          <w:highlight w:val="none"/>
        </w:rPr>
      </w:pPr>
      <w:r>
        <w:rPr>
          <w:rFonts w:hint="eastAsia" w:ascii="宋体" w:hAnsi="宋体" w:eastAsia="宋体" w:cs="宋体"/>
          <w:color w:val="auto"/>
          <w:sz w:val="21"/>
          <w:szCs w:val="21"/>
          <w:highlight w:val="none"/>
        </w:rPr>
        <w:t> </w:t>
      </w:r>
    </w:p>
    <w:p>
      <w:pPr>
        <w:pStyle w:val="12"/>
        <w:widowControl/>
        <w:ind w:firstLine="420"/>
        <w:rPr>
          <w:color w:val="auto"/>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（全称并加盖单位公章）</w:t>
      </w:r>
    </w:p>
    <w:p>
      <w:pPr>
        <w:pStyle w:val="12"/>
        <w:widowControl/>
        <w:ind w:firstLine="420"/>
        <w:rPr>
          <w:color w:val="auto"/>
          <w:highlight w:val="none"/>
        </w:rPr>
      </w:pPr>
      <w:r>
        <w:rPr>
          <w:rFonts w:hint="eastAsia" w:ascii="宋体" w:hAnsi="宋体" w:eastAsia="宋体" w:cs="宋体"/>
          <w:color w:val="auto"/>
          <w:sz w:val="21"/>
          <w:szCs w:val="21"/>
          <w:highlight w:val="none"/>
        </w:rPr>
        <w:t>投标人代表签字：</w:t>
      </w:r>
      <w:r>
        <w:rPr>
          <w:rFonts w:hint="eastAsia" w:ascii="宋体" w:hAnsi="宋体" w:eastAsia="宋体" w:cs="宋体"/>
          <w:color w:val="auto"/>
          <w:sz w:val="21"/>
          <w:szCs w:val="21"/>
          <w:highlight w:val="none"/>
          <w:u w:val="single"/>
        </w:rPr>
        <w:t>                   </w:t>
      </w:r>
    </w:p>
    <w:p>
      <w:pPr>
        <w:pStyle w:val="12"/>
        <w:widowControl/>
        <w:ind w:firstLine="420"/>
        <w:rPr>
          <w:color w:val="auto"/>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pPr>
        <w:pStyle w:val="12"/>
        <w:widowControl/>
        <w:jc w:val="center"/>
        <w:rPr>
          <w:rFonts w:ascii="Calibri" w:hAnsi="Calibri" w:cs="Calibri"/>
          <w:color w:val="auto"/>
          <w:sz w:val="21"/>
          <w:szCs w:val="21"/>
          <w:highlight w:val="none"/>
        </w:rPr>
      </w:pPr>
      <w:r>
        <w:rPr>
          <w:rFonts w:ascii="Calibri" w:hAnsi="Calibri" w:cs="Calibri"/>
          <w:color w:val="auto"/>
          <w:sz w:val="21"/>
          <w:szCs w:val="21"/>
          <w:highlight w:val="none"/>
        </w:rPr>
        <w:br w:type="textWrapping"/>
      </w:r>
    </w:p>
    <w:p>
      <w:pPr>
        <w:rPr>
          <w:rFonts w:ascii="Calibri" w:hAnsi="Calibri" w:cs="Calibri"/>
          <w:color w:val="auto"/>
          <w:szCs w:val="21"/>
          <w:highlight w:val="none"/>
        </w:rPr>
      </w:pPr>
      <w:r>
        <w:rPr>
          <w:rFonts w:ascii="Calibri" w:hAnsi="Calibri" w:cs="Calibri"/>
          <w:color w:val="auto"/>
          <w:szCs w:val="21"/>
          <w:highlight w:val="none"/>
        </w:rPr>
        <w:br w:type="page"/>
      </w:r>
    </w:p>
    <w:p>
      <w:pPr>
        <w:pStyle w:val="12"/>
        <w:widowControl/>
        <w:jc w:val="center"/>
        <w:outlineLvl w:val="2"/>
        <w:rPr>
          <w:color w:val="auto"/>
          <w:highlight w:val="none"/>
        </w:rPr>
      </w:pPr>
      <w:r>
        <w:rPr>
          <w:rStyle w:val="16"/>
          <w:rFonts w:hint="eastAsia" w:ascii="宋体" w:hAnsi="宋体" w:eastAsia="宋体" w:cs="宋体"/>
          <w:color w:val="auto"/>
          <w:sz w:val="21"/>
          <w:szCs w:val="21"/>
          <w:highlight w:val="none"/>
        </w:rPr>
        <w:t>二、投标人的资格及资信证明文件</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jc w:val="center"/>
        <w:outlineLvl w:val="3"/>
        <w:rPr>
          <w:color w:val="auto"/>
          <w:highlight w:val="none"/>
        </w:rPr>
      </w:pPr>
      <w:r>
        <w:rPr>
          <w:rStyle w:val="16"/>
          <w:rFonts w:hint="eastAsia" w:ascii="宋体" w:hAnsi="宋体" w:eastAsia="宋体" w:cs="宋体"/>
          <w:color w:val="auto"/>
          <w:sz w:val="21"/>
          <w:szCs w:val="21"/>
          <w:highlight w:val="none"/>
        </w:rPr>
        <w:t>二-1单位负责人授权书（若有）</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w:t>
      </w:r>
    </w:p>
    <w:p>
      <w:pPr>
        <w:pStyle w:val="12"/>
        <w:widowControl/>
        <w:ind w:firstLine="420"/>
        <w:rPr>
          <w:color w:val="auto"/>
          <w:highlight w:val="none"/>
        </w:rPr>
      </w:pPr>
      <w:r>
        <w:rPr>
          <w:rFonts w:hint="eastAsia" w:ascii="宋体" w:hAnsi="宋体" w:eastAsia="宋体" w:cs="宋体"/>
          <w:color w:val="auto"/>
          <w:sz w:val="21"/>
          <w:szCs w:val="21"/>
          <w:highlight w:val="none"/>
        </w:rPr>
        <w:t>我方的单位负责人</w:t>
      </w:r>
      <w:r>
        <w:rPr>
          <w:rFonts w:hint="eastAsia" w:ascii="宋体" w:hAnsi="宋体" w:eastAsia="宋体" w:cs="宋体"/>
          <w:color w:val="auto"/>
          <w:sz w:val="21"/>
          <w:szCs w:val="21"/>
          <w:highlight w:val="none"/>
          <w:u w:val="single"/>
        </w:rPr>
        <w:t>（填写“单位负责人全名”）</w:t>
      </w:r>
      <w:r>
        <w:rPr>
          <w:rFonts w:hint="eastAsia" w:ascii="宋体" w:hAnsi="宋体" w:eastAsia="宋体" w:cs="宋体"/>
          <w:color w:val="auto"/>
          <w:sz w:val="21"/>
          <w:szCs w:val="21"/>
          <w:highlight w:val="none"/>
        </w:rPr>
        <w:t>授权</w:t>
      </w:r>
      <w:r>
        <w:rPr>
          <w:rFonts w:hint="eastAsia" w:ascii="宋体" w:hAnsi="宋体" w:eastAsia="宋体" w:cs="宋体"/>
          <w:color w:val="auto"/>
          <w:sz w:val="21"/>
          <w:szCs w:val="21"/>
          <w:highlight w:val="none"/>
          <w:u w:val="single"/>
        </w:rPr>
        <w:t>（填写“投标人代表全名”）</w:t>
      </w:r>
      <w:r>
        <w:rPr>
          <w:rFonts w:hint="eastAsia" w:ascii="宋体" w:hAnsi="宋体" w:eastAsia="宋体" w:cs="宋体"/>
          <w:color w:val="auto"/>
          <w:sz w:val="21"/>
          <w:szCs w:val="21"/>
          <w:highlight w:val="none"/>
        </w:rPr>
        <w:t>为投标人代表，代表我方参加</w:t>
      </w:r>
      <w:r>
        <w:rPr>
          <w:rFonts w:hint="eastAsia" w:ascii="宋体" w:hAnsi="宋体" w:eastAsia="宋体" w:cs="宋体"/>
          <w:color w:val="auto"/>
          <w:sz w:val="21"/>
          <w:szCs w:val="21"/>
          <w:highlight w:val="none"/>
          <w:u w:val="single"/>
        </w:rPr>
        <w:t>（填写“项目名称”）</w:t>
      </w:r>
      <w:r>
        <w:rPr>
          <w:rFonts w:hint="eastAsia" w:ascii="宋体" w:hAnsi="宋体" w:eastAsia="宋体" w:cs="宋体"/>
          <w:color w:val="auto"/>
          <w:sz w:val="21"/>
          <w:szCs w:val="21"/>
          <w:highlight w:val="none"/>
        </w:rPr>
        <w:t>项目（招标编号：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12"/>
        <w:widowControl/>
        <w:ind w:firstLine="420"/>
        <w:rPr>
          <w:color w:val="auto"/>
          <w:highlight w:val="none"/>
        </w:rPr>
      </w:pPr>
      <w:r>
        <w:rPr>
          <w:rFonts w:hint="eastAsia" w:ascii="宋体" w:hAnsi="宋体" w:eastAsia="宋体" w:cs="宋体"/>
          <w:color w:val="auto"/>
          <w:sz w:val="21"/>
          <w:szCs w:val="21"/>
          <w:highlight w:val="none"/>
        </w:rPr>
        <w:t>投标人代表无转委权。特此授权。</w:t>
      </w:r>
    </w:p>
    <w:p>
      <w:pPr>
        <w:pStyle w:val="12"/>
        <w:widowControl/>
        <w:jc w:val="center"/>
        <w:rPr>
          <w:color w:val="auto"/>
          <w:highlight w:val="none"/>
        </w:rPr>
      </w:pPr>
      <w:r>
        <w:rPr>
          <w:rFonts w:hint="eastAsia" w:ascii="宋体" w:hAnsi="宋体" w:eastAsia="宋体" w:cs="宋体"/>
          <w:color w:val="auto"/>
          <w:sz w:val="21"/>
          <w:szCs w:val="21"/>
          <w:highlight w:val="none"/>
        </w:rPr>
        <w:t>（以下无正文）</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单位负责人：</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手机：</w:t>
      </w:r>
      <w:r>
        <w:rPr>
          <w:rFonts w:hint="eastAsia" w:ascii="宋体" w:hAnsi="宋体" w:eastAsia="宋体" w:cs="宋体"/>
          <w:color w:val="auto"/>
          <w:sz w:val="21"/>
          <w:szCs w:val="21"/>
          <w:highlight w:val="none"/>
          <w:u w:val="single"/>
        </w:rPr>
        <w:t>              </w:t>
      </w:r>
    </w:p>
    <w:p>
      <w:pPr>
        <w:pStyle w:val="12"/>
        <w:widowControl/>
        <w:rPr>
          <w:color w:val="auto"/>
          <w:highlight w:val="none"/>
        </w:rPr>
      </w:pPr>
      <w:r>
        <w:rPr>
          <w:rFonts w:hint="eastAsia" w:ascii="宋体" w:hAnsi="宋体" w:eastAsia="宋体" w:cs="宋体"/>
          <w:color w:val="auto"/>
          <w:sz w:val="21"/>
          <w:szCs w:val="21"/>
          <w:highlight w:val="none"/>
        </w:rPr>
        <w:t>投标人代表：</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手机：</w:t>
      </w:r>
      <w:r>
        <w:rPr>
          <w:rFonts w:hint="eastAsia" w:ascii="宋体" w:hAnsi="宋体" w:eastAsia="宋体" w:cs="宋体"/>
          <w:color w:val="auto"/>
          <w:sz w:val="21"/>
          <w:szCs w:val="21"/>
          <w:highlight w:val="none"/>
          <w:u w:val="single"/>
        </w:rPr>
        <w:t>              </w:t>
      </w:r>
    </w:p>
    <w:p>
      <w:pPr>
        <w:pStyle w:val="12"/>
        <w:widowControl/>
        <w:rPr>
          <w:color w:val="auto"/>
          <w:highlight w:val="none"/>
        </w:rPr>
      </w:pPr>
      <w:r>
        <w:rPr>
          <w:rFonts w:ascii="Calibri" w:hAnsi="Calibri" w:cs="Calibri"/>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授权方</w:t>
      </w:r>
    </w:p>
    <w:p>
      <w:pPr>
        <w:pStyle w:val="12"/>
        <w:widowControl/>
        <w:rPr>
          <w:color w:val="auto"/>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（全称并加盖单位公章）</w:t>
      </w:r>
    </w:p>
    <w:p>
      <w:pPr>
        <w:pStyle w:val="12"/>
        <w:widowControl/>
        <w:rPr>
          <w:color w:val="auto"/>
          <w:highlight w:val="none"/>
        </w:rPr>
      </w:pPr>
      <w:r>
        <w:rPr>
          <w:rFonts w:hint="eastAsia" w:ascii="宋体" w:hAnsi="宋体" w:eastAsia="宋体" w:cs="宋体"/>
          <w:color w:val="auto"/>
          <w:sz w:val="21"/>
          <w:szCs w:val="21"/>
          <w:highlight w:val="none"/>
        </w:rPr>
        <w:t>单位负责人签字或盖章：</w:t>
      </w:r>
      <w:r>
        <w:rPr>
          <w:rFonts w:hint="eastAsia" w:ascii="宋体" w:hAnsi="宋体" w:eastAsia="宋体" w:cs="宋体"/>
          <w:color w:val="auto"/>
          <w:sz w:val="21"/>
          <w:szCs w:val="21"/>
          <w:highlight w:val="none"/>
          <w:u w:val="single"/>
        </w:rPr>
        <w:t>                   </w:t>
      </w:r>
    </w:p>
    <w:p>
      <w:pPr>
        <w:pStyle w:val="12"/>
        <w:widowControl/>
        <w:rPr>
          <w:color w:val="auto"/>
          <w:highlight w:val="none"/>
        </w:rPr>
      </w:pPr>
      <w:r>
        <w:rPr>
          <w:rFonts w:ascii="Calibri" w:hAnsi="Calibri" w:cs="Calibri"/>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接受授权方</w:t>
      </w:r>
    </w:p>
    <w:p>
      <w:pPr>
        <w:pStyle w:val="12"/>
        <w:widowControl/>
        <w:rPr>
          <w:color w:val="auto"/>
          <w:highlight w:val="none"/>
        </w:rPr>
      </w:pPr>
      <w:r>
        <w:rPr>
          <w:rFonts w:hint="eastAsia" w:ascii="宋体" w:hAnsi="宋体" w:eastAsia="宋体" w:cs="宋体"/>
          <w:color w:val="auto"/>
          <w:sz w:val="21"/>
          <w:szCs w:val="21"/>
          <w:highlight w:val="none"/>
        </w:rPr>
        <w:t>投标人代表签字：</w:t>
      </w:r>
      <w:r>
        <w:rPr>
          <w:rFonts w:hint="eastAsia" w:ascii="宋体" w:hAnsi="宋体" w:eastAsia="宋体" w:cs="宋体"/>
          <w:color w:val="auto"/>
          <w:sz w:val="21"/>
          <w:szCs w:val="21"/>
          <w:highlight w:val="none"/>
          <w:u w:val="single"/>
        </w:rPr>
        <w:t>                   </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jc w:val="right"/>
        <w:rPr>
          <w:color w:val="auto"/>
          <w:highlight w:val="none"/>
        </w:rPr>
      </w:pPr>
      <w:r>
        <w:rPr>
          <w:rFonts w:hint="eastAsia" w:ascii="宋体" w:hAnsi="宋体" w:eastAsia="宋体" w:cs="宋体"/>
          <w:color w:val="auto"/>
          <w:sz w:val="21"/>
          <w:szCs w:val="21"/>
          <w:highlight w:val="none"/>
        </w:rPr>
        <w:t>签署日期：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pPr>
        <w:pStyle w:val="12"/>
        <w:widowControl/>
        <w:rPr>
          <w:color w:val="auto"/>
          <w:highlight w:val="none"/>
        </w:rPr>
      </w:pPr>
      <w:r>
        <w:rPr>
          <w:rFonts w:ascii="Calibri" w:hAnsi="Calibri" w:cs="Calibri"/>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附：单位负责人、投标人代表的身份证正反面复印件</w:t>
      </w:r>
    </w:p>
    <w:tbl>
      <w:tblPr>
        <w:tblStyle w:val="13"/>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15" w:type="dxa"/>
        </w:trPr>
        <w:tc>
          <w:tcPr>
            <w:tcW w:w="8520" w:type="dxa"/>
            <w:tcBorders>
              <w:top w:val="nil"/>
              <w:left w:val="nil"/>
              <w:bottom w:val="nil"/>
              <w:right w:val="nil"/>
            </w:tcBorders>
            <w:shd w:val="clear" w:color="auto" w:fill="auto"/>
            <w:tcMar>
              <w:top w:w="0" w:type="dxa"/>
              <w:left w:w="105" w:type="dxa"/>
              <w:bottom w:w="0" w:type="dxa"/>
              <w:right w:w="105" w:type="dxa"/>
            </w:tcMar>
            <w:vAlign w:val="center"/>
          </w:tcPr>
          <w:p>
            <w:pPr>
              <w:pStyle w:val="12"/>
              <w:widowControl/>
              <w:jc w:val="center"/>
              <w:rPr>
                <w:color w:val="auto"/>
                <w:highlight w:val="none"/>
              </w:rPr>
            </w:pPr>
            <w:r>
              <w:rPr>
                <w:rStyle w:val="16"/>
                <w:rFonts w:hint="eastAsia" w:ascii="宋体" w:hAnsi="宋体" w:eastAsia="宋体" w:cs="宋体"/>
                <w:color w:val="auto"/>
                <w:sz w:val="21"/>
                <w:szCs w:val="21"/>
                <w:highlight w:val="none"/>
              </w:rPr>
              <w:t> </w:t>
            </w:r>
          </w:p>
          <w:p>
            <w:pPr>
              <w:pStyle w:val="12"/>
              <w:widowControl/>
              <w:jc w:val="center"/>
              <w:rPr>
                <w:color w:val="auto"/>
                <w:highlight w:val="none"/>
              </w:rPr>
            </w:pPr>
            <w:r>
              <w:rPr>
                <w:rStyle w:val="16"/>
                <w:rFonts w:hint="eastAsia" w:ascii="宋体" w:hAnsi="宋体" w:eastAsia="宋体" w:cs="宋体"/>
                <w:color w:val="auto"/>
                <w:sz w:val="21"/>
                <w:szCs w:val="21"/>
                <w:highlight w:val="none"/>
              </w:rPr>
              <w:t>要求：真实有效且内容完整、清晰、整洁。</w:t>
            </w:r>
          </w:p>
          <w:p>
            <w:pPr>
              <w:pStyle w:val="12"/>
              <w:widowControl/>
              <w:jc w:val="center"/>
              <w:rPr>
                <w:color w:val="auto"/>
                <w:highlight w:val="none"/>
              </w:rPr>
            </w:pPr>
            <w:r>
              <w:rPr>
                <w:rStyle w:val="16"/>
                <w:rFonts w:hint="eastAsia" w:ascii="宋体" w:hAnsi="宋体" w:eastAsia="宋体" w:cs="宋体"/>
                <w:color w:val="auto"/>
                <w:sz w:val="21"/>
                <w:szCs w:val="21"/>
                <w:highlight w:val="none"/>
              </w:rPr>
              <w:t> </w:t>
            </w:r>
          </w:p>
        </w:tc>
      </w:tr>
    </w:tbl>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★注意：</w:t>
      </w:r>
    </w:p>
    <w:p>
      <w:pPr>
        <w:pStyle w:val="12"/>
        <w:widowControl/>
        <w:rPr>
          <w:color w:val="auto"/>
          <w:highlight w:val="none"/>
        </w:rPr>
      </w:pPr>
      <w:r>
        <w:rPr>
          <w:rFonts w:hint="eastAsia" w:ascii="宋体" w:hAnsi="宋体" w:eastAsia="宋体" w:cs="宋体"/>
          <w:color w:val="auto"/>
          <w:sz w:val="21"/>
          <w:szCs w:val="21"/>
          <w:highlight w:val="none"/>
        </w:rPr>
        <w:t>1、企业（银行、保险、石油石化、电力、电信等行业除外）、事业单位和社会团体法人的“单位负责人”指</w:t>
      </w:r>
      <w:r>
        <w:rPr>
          <w:rStyle w:val="16"/>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rPr>
        <w:t>，即与实际提交的“营业执照等证明文件”载明的一致。</w:t>
      </w:r>
    </w:p>
    <w:p>
      <w:pPr>
        <w:pStyle w:val="12"/>
        <w:widowControl/>
        <w:rPr>
          <w:color w:val="auto"/>
          <w:highlight w:val="none"/>
        </w:rPr>
      </w:pPr>
      <w:r>
        <w:rPr>
          <w:rFonts w:hint="eastAsia" w:ascii="宋体" w:hAnsi="宋体" w:eastAsia="宋体" w:cs="宋体"/>
          <w:color w:val="auto"/>
          <w:sz w:val="21"/>
          <w:szCs w:val="21"/>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12"/>
        <w:widowControl/>
        <w:rPr>
          <w:color w:val="auto"/>
          <w:highlight w:val="none"/>
        </w:rPr>
      </w:pPr>
      <w:r>
        <w:rPr>
          <w:rFonts w:hint="eastAsia" w:ascii="宋体" w:hAnsi="宋体" w:eastAsia="宋体" w:cs="宋体"/>
          <w:color w:val="auto"/>
          <w:sz w:val="21"/>
          <w:szCs w:val="21"/>
          <w:highlight w:val="none"/>
        </w:rPr>
        <w:t>3、投标人（自然人除外）：若投标人代表为单位负责人授权的委托代理人，应提供本授权书；若投标人代表为单位负责人，应在此项下提交其身份证正反面复印件，可不提供本授权书。</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4、投标人为自然人的，可不填写本授权书。</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5、纸质投标文件正本中的本授权书（若有）应为原件。 </w:t>
      </w:r>
    </w:p>
    <w:p>
      <w:pPr>
        <w:pStyle w:val="12"/>
        <w:widowControl/>
        <w:rPr>
          <w:color w:val="auto"/>
          <w:highlight w:val="none"/>
        </w:rPr>
      </w:pP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jc w:val="center"/>
        <w:rPr>
          <w:rFonts w:ascii="Calibri" w:hAnsi="Calibri" w:cs="Calibri"/>
          <w:color w:val="auto"/>
          <w:sz w:val="21"/>
          <w:szCs w:val="21"/>
          <w:highlight w:val="none"/>
        </w:rPr>
      </w:pPr>
      <w:r>
        <w:rPr>
          <w:rFonts w:ascii="Calibri" w:hAnsi="Calibri" w:cs="Calibri"/>
          <w:color w:val="auto"/>
          <w:sz w:val="21"/>
          <w:szCs w:val="21"/>
          <w:highlight w:val="none"/>
        </w:rPr>
        <w:br w:type="textWrapping"/>
      </w:r>
    </w:p>
    <w:p>
      <w:pPr>
        <w:rPr>
          <w:rFonts w:ascii="Calibri" w:hAnsi="Calibri" w:cs="Calibri"/>
          <w:color w:val="auto"/>
          <w:szCs w:val="21"/>
          <w:highlight w:val="none"/>
        </w:rPr>
      </w:pPr>
      <w:r>
        <w:rPr>
          <w:rFonts w:ascii="Calibri" w:hAnsi="Calibri" w:cs="Calibri"/>
          <w:color w:val="auto"/>
          <w:szCs w:val="21"/>
          <w:highlight w:val="none"/>
        </w:rPr>
        <w:br w:type="page"/>
      </w:r>
    </w:p>
    <w:p>
      <w:pPr>
        <w:pStyle w:val="12"/>
        <w:widowControl/>
        <w:jc w:val="center"/>
        <w:outlineLvl w:val="3"/>
        <w:rPr>
          <w:color w:val="auto"/>
          <w:highlight w:val="none"/>
        </w:rPr>
      </w:pPr>
      <w:r>
        <w:rPr>
          <w:rStyle w:val="16"/>
          <w:rFonts w:hint="eastAsia" w:ascii="宋体" w:hAnsi="宋体" w:eastAsia="宋体" w:cs="宋体"/>
          <w:color w:val="auto"/>
          <w:sz w:val="21"/>
          <w:szCs w:val="21"/>
          <w:highlight w:val="none"/>
        </w:rPr>
        <w:t>二-2营业执照等证明文件</w:t>
      </w:r>
    </w:p>
    <w:p>
      <w:pPr>
        <w:pStyle w:val="12"/>
        <w:widowControl/>
        <w:rPr>
          <w:color w:val="auto"/>
          <w:highlight w:val="none"/>
        </w:rPr>
      </w:pPr>
      <w:r>
        <w:rPr>
          <w:rFonts w:ascii="Calibri" w:hAnsi="Calibri" w:cs="Calibri"/>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w:t>
      </w:r>
    </w:p>
    <w:p>
      <w:pPr>
        <w:pStyle w:val="12"/>
        <w:widowControl/>
        <w:ind w:firstLine="420"/>
        <w:rPr>
          <w:color w:val="auto"/>
          <w:highlight w:val="none"/>
        </w:rPr>
      </w:pPr>
      <w:r>
        <w:rPr>
          <w:rFonts w:hint="eastAsia" w:ascii="宋体" w:hAnsi="宋体" w:eastAsia="宋体" w:cs="宋体"/>
          <w:color w:val="auto"/>
          <w:sz w:val="21"/>
          <w:szCs w:val="21"/>
          <w:highlight w:val="none"/>
        </w:rPr>
        <w:t>（ ）投标人为法人（包括企业、事业单位和社会团体）的</w:t>
      </w:r>
    </w:p>
    <w:p>
      <w:pPr>
        <w:pStyle w:val="12"/>
        <w:widowControl/>
        <w:ind w:firstLine="420"/>
        <w:rPr>
          <w:color w:val="auto"/>
          <w:highlight w:val="none"/>
        </w:rPr>
      </w:pPr>
      <w:r>
        <w:rPr>
          <w:rFonts w:hint="eastAsia" w:ascii="宋体" w:hAnsi="宋体" w:eastAsia="宋体" w:cs="宋体"/>
          <w:color w:val="auto"/>
          <w:sz w:val="21"/>
          <w:szCs w:val="21"/>
          <w:highlight w:val="none"/>
        </w:rPr>
        <w:t>现附上由</w:t>
      </w:r>
      <w:r>
        <w:rPr>
          <w:rFonts w:hint="eastAsia" w:ascii="宋体" w:hAnsi="宋体" w:eastAsia="宋体" w:cs="宋体"/>
          <w:color w:val="auto"/>
          <w:sz w:val="21"/>
          <w:szCs w:val="21"/>
          <w:highlight w:val="none"/>
          <w:u w:val="single"/>
        </w:rPr>
        <w:t>（填写“签发机关全称”）</w:t>
      </w:r>
      <w:r>
        <w:rPr>
          <w:rFonts w:hint="eastAsia" w:ascii="宋体" w:hAnsi="宋体" w:eastAsia="宋体" w:cs="宋体"/>
          <w:color w:val="auto"/>
          <w:sz w:val="21"/>
          <w:szCs w:val="21"/>
          <w:highlight w:val="none"/>
        </w:rPr>
        <w:t>签发的我方统一社会信用代码</w:t>
      </w:r>
      <w:r>
        <w:rPr>
          <w:rFonts w:hint="eastAsia" w:ascii="宋体" w:hAnsi="宋体" w:eastAsia="宋体" w:cs="宋体"/>
          <w:color w:val="auto"/>
          <w:sz w:val="21"/>
          <w:szCs w:val="21"/>
          <w:highlight w:val="none"/>
          <w:u w:val="single"/>
        </w:rPr>
        <w:t>（请填写法人的具体证照名称）</w:t>
      </w:r>
      <w:r>
        <w:rPr>
          <w:rFonts w:hint="eastAsia" w:ascii="宋体" w:hAnsi="宋体" w:eastAsia="宋体" w:cs="宋体"/>
          <w:color w:val="auto"/>
          <w:sz w:val="21"/>
          <w:szCs w:val="21"/>
          <w:highlight w:val="none"/>
        </w:rPr>
        <w:t>复印件，该证明材料真实有效，否则我方负全部责任。</w:t>
      </w:r>
    </w:p>
    <w:p>
      <w:pPr>
        <w:pStyle w:val="12"/>
        <w:widowControl/>
        <w:ind w:firstLine="420"/>
        <w:rPr>
          <w:color w:val="auto"/>
          <w:highlight w:val="none"/>
        </w:rPr>
      </w:pPr>
      <w:r>
        <w:rPr>
          <w:rFonts w:hint="eastAsia" w:ascii="宋体" w:hAnsi="宋体" w:eastAsia="宋体" w:cs="宋体"/>
          <w:color w:val="auto"/>
          <w:sz w:val="21"/>
          <w:szCs w:val="21"/>
          <w:highlight w:val="none"/>
        </w:rPr>
        <w:t>（ ）投标人为非法人（包括其他组织、自然人）的</w:t>
      </w:r>
    </w:p>
    <w:p>
      <w:pPr>
        <w:pStyle w:val="12"/>
        <w:widowControl/>
        <w:ind w:firstLine="420"/>
        <w:rPr>
          <w:color w:val="auto"/>
          <w:highlight w:val="none"/>
        </w:rPr>
      </w:pPr>
      <w:r>
        <w:rPr>
          <w:rFonts w:hint="eastAsia" w:ascii="宋体" w:hAnsi="宋体" w:eastAsia="宋体" w:cs="宋体"/>
          <w:color w:val="auto"/>
          <w:sz w:val="21"/>
          <w:szCs w:val="21"/>
          <w:highlight w:val="none"/>
        </w:rPr>
        <w:t>□现附上由</w:t>
      </w:r>
      <w:r>
        <w:rPr>
          <w:rFonts w:hint="eastAsia" w:ascii="宋体" w:hAnsi="宋体" w:eastAsia="宋体" w:cs="宋体"/>
          <w:color w:val="auto"/>
          <w:sz w:val="21"/>
          <w:szCs w:val="21"/>
          <w:highlight w:val="none"/>
          <w:u w:val="single"/>
        </w:rPr>
        <w:t>（填写“签发机关全称”）</w:t>
      </w:r>
      <w:r>
        <w:rPr>
          <w:rFonts w:hint="eastAsia" w:ascii="宋体" w:hAnsi="宋体" w:eastAsia="宋体" w:cs="宋体"/>
          <w:color w:val="auto"/>
          <w:sz w:val="21"/>
          <w:szCs w:val="21"/>
          <w:highlight w:val="none"/>
        </w:rPr>
        <w:t>签发的我方</w:t>
      </w:r>
      <w:r>
        <w:rPr>
          <w:rFonts w:hint="eastAsia" w:ascii="宋体" w:hAnsi="宋体" w:eastAsia="宋体" w:cs="宋体"/>
          <w:color w:val="auto"/>
          <w:sz w:val="21"/>
          <w:szCs w:val="21"/>
          <w:highlight w:val="none"/>
          <w:u w:val="single"/>
        </w:rPr>
        <w:t>（请填写非自然人的非法人的具体证照名称）</w:t>
      </w:r>
      <w:r>
        <w:rPr>
          <w:rFonts w:hint="eastAsia" w:ascii="宋体" w:hAnsi="宋体" w:eastAsia="宋体" w:cs="宋体"/>
          <w:color w:val="auto"/>
          <w:sz w:val="21"/>
          <w:szCs w:val="21"/>
          <w:highlight w:val="none"/>
        </w:rPr>
        <w:t>复印件，该证明材料真实有效，否则我方负全部责任。</w:t>
      </w:r>
    </w:p>
    <w:p>
      <w:pPr>
        <w:pStyle w:val="12"/>
        <w:widowControl/>
        <w:ind w:firstLine="420"/>
        <w:rPr>
          <w:color w:val="auto"/>
          <w:highlight w:val="none"/>
        </w:rPr>
      </w:pPr>
      <w:r>
        <w:rPr>
          <w:rFonts w:hint="eastAsia" w:ascii="宋体" w:hAnsi="宋体" w:eastAsia="宋体" w:cs="宋体"/>
          <w:color w:val="auto"/>
          <w:sz w:val="21"/>
          <w:szCs w:val="21"/>
          <w:highlight w:val="none"/>
        </w:rPr>
        <w:t>□现附上由</w:t>
      </w:r>
      <w:r>
        <w:rPr>
          <w:rFonts w:hint="eastAsia" w:ascii="宋体" w:hAnsi="宋体" w:eastAsia="宋体" w:cs="宋体"/>
          <w:color w:val="auto"/>
          <w:sz w:val="21"/>
          <w:szCs w:val="21"/>
          <w:highlight w:val="none"/>
          <w:u w:val="single"/>
        </w:rPr>
        <w:t>（填写“签发机关全称”）</w:t>
      </w:r>
      <w:r>
        <w:rPr>
          <w:rFonts w:hint="eastAsia" w:ascii="宋体" w:hAnsi="宋体" w:eastAsia="宋体" w:cs="宋体"/>
          <w:color w:val="auto"/>
          <w:sz w:val="21"/>
          <w:szCs w:val="21"/>
          <w:highlight w:val="none"/>
        </w:rPr>
        <w:t>签发的我方</w:t>
      </w:r>
      <w:r>
        <w:rPr>
          <w:rFonts w:hint="eastAsia" w:ascii="宋体" w:hAnsi="宋体" w:eastAsia="宋体" w:cs="宋体"/>
          <w:color w:val="auto"/>
          <w:sz w:val="21"/>
          <w:szCs w:val="21"/>
          <w:highlight w:val="none"/>
          <w:u w:val="single"/>
        </w:rPr>
        <w:t>（请填写自然人的身份证件名称）</w:t>
      </w:r>
      <w:r>
        <w:rPr>
          <w:rFonts w:hint="eastAsia" w:ascii="宋体" w:hAnsi="宋体" w:eastAsia="宋体" w:cs="宋体"/>
          <w:color w:val="auto"/>
          <w:sz w:val="21"/>
          <w:szCs w:val="21"/>
          <w:highlight w:val="none"/>
        </w:rPr>
        <w:t>复印件，该证明材料真实有效，否则我方负全部责任。</w:t>
      </w:r>
    </w:p>
    <w:p>
      <w:pPr>
        <w:pStyle w:val="12"/>
        <w:widowControl/>
        <w:rPr>
          <w:color w:val="auto"/>
          <w:highlight w:val="none"/>
        </w:rPr>
      </w:pPr>
      <w:r>
        <w:rPr>
          <w:rFonts w:ascii="Calibri" w:hAnsi="Calibri" w:cs="Calibri"/>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★注意：</w:t>
      </w:r>
    </w:p>
    <w:p>
      <w:pPr>
        <w:pStyle w:val="12"/>
        <w:widowControl/>
        <w:rPr>
          <w:color w:val="auto"/>
          <w:highlight w:val="none"/>
        </w:rPr>
      </w:pPr>
      <w:r>
        <w:rPr>
          <w:rFonts w:hint="eastAsia" w:ascii="宋体" w:hAnsi="宋体" w:eastAsia="宋体" w:cs="宋体"/>
          <w:color w:val="auto"/>
          <w:sz w:val="21"/>
          <w:szCs w:val="21"/>
          <w:highlight w:val="none"/>
        </w:rPr>
        <w:t>1、请投标人按照实际情况编制填写，在相应的（）中打“√”并选择相应的“□”（若有）后，再按照本格式的要求提供相应证明材料的复印件。</w:t>
      </w:r>
    </w:p>
    <w:p>
      <w:pPr>
        <w:pStyle w:val="12"/>
        <w:widowControl/>
        <w:rPr>
          <w:color w:val="auto"/>
          <w:highlight w:val="none"/>
        </w:rPr>
      </w:pPr>
      <w:r>
        <w:rPr>
          <w:rFonts w:hint="eastAsia" w:ascii="宋体" w:hAnsi="宋体" w:eastAsia="宋体" w:cs="宋体"/>
          <w:color w:val="auto"/>
          <w:sz w:val="21"/>
          <w:szCs w:val="21"/>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12"/>
        <w:widowControl/>
        <w:rPr>
          <w:color w:val="auto"/>
          <w:highlight w:val="none"/>
        </w:rPr>
      </w:pPr>
      <w:r>
        <w:rPr>
          <w:rFonts w:hint="eastAsia" w:ascii="宋体" w:hAnsi="宋体" w:eastAsia="宋体" w:cs="宋体"/>
          <w:color w:val="auto"/>
          <w:sz w:val="21"/>
          <w:szCs w:val="21"/>
          <w:highlight w:val="none"/>
        </w:rPr>
        <w:t>3、投标人提供的相应证明材料复印件均应符合：内容完整、清晰、整洁，并由投标人加盖其单位公章。</w:t>
      </w:r>
      <w:r>
        <w:rPr>
          <w:rFonts w:ascii="Calibri" w:hAnsi="Calibri" w:cs="Calibri"/>
          <w:color w:val="auto"/>
          <w:sz w:val="21"/>
          <w:szCs w:val="21"/>
          <w:highlight w:val="none"/>
        </w:rPr>
        <w:t> </w:t>
      </w:r>
    </w:p>
    <w:p>
      <w:pPr>
        <w:pStyle w:val="12"/>
        <w:widowControl/>
        <w:rPr>
          <w:rFonts w:ascii="Calibri" w:hAnsi="Calibri" w:cs="Calibri"/>
          <w:color w:val="auto"/>
          <w:sz w:val="21"/>
          <w:szCs w:val="21"/>
          <w:highlight w:val="none"/>
        </w:rPr>
      </w:pPr>
      <w:r>
        <w:rPr>
          <w:rFonts w:ascii="Calibri" w:hAnsi="Calibri" w:cs="Calibri"/>
          <w:color w:val="auto"/>
          <w:sz w:val="21"/>
          <w:szCs w:val="21"/>
          <w:highlight w:val="none"/>
        </w:rPr>
        <w:t> </w:t>
      </w:r>
    </w:p>
    <w:p>
      <w:pPr>
        <w:pStyle w:val="12"/>
        <w:widowControl/>
        <w:rPr>
          <w:rFonts w:ascii="Calibri" w:hAnsi="Calibri" w:cs="Calibri"/>
          <w:color w:val="auto"/>
          <w:sz w:val="21"/>
          <w:szCs w:val="21"/>
          <w:highlight w:val="none"/>
        </w:rPr>
      </w:pPr>
    </w:p>
    <w:p>
      <w:pPr>
        <w:pStyle w:val="12"/>
        <w:widowControl/>
        <w:rPr>
          <w:color w:val="auto"/>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（全称并加盖单位公章）</w:t>
      </w:r>
    </w:p>
    <w:p>
      <w:pPr>
        <w:pStyle w:val="12"/>
        <w:widowControl/>
        <w:rPr>
          <w:color w:val="auto"/>
          <w:highlight w:val="none"/>
        </w:rPr>
      </w:pPr>
      <w:r>
        <w:rPr>
          <w:rFonts w:hint="eastAsia" w:ascii="宋体" w:hAnsi="宋体" w:eastAsia="宋体" w:cs="宋体"/>
          <w:color w:val="auto"/>
          <w:sz w:val="21"/>
          <w:szCs w:val="21"/>
          <w:highlight w:val="none"/>
        </w:rPr>
        <w:t>投标人代表签字：</w:t>
      </w:r>
      <w:r>
        <w:rPr>
          <w:rFonts w:hint="eastAsia" w:ascii="宋体" w:hAnsi="宋体" w:eastAsia="宋体" w:cs="宋体"/>
          <w:color w:val="auto"/>
          <w:sz w:val="21"/>
          <w:szCs w:val="21"/>
          <w:highlight w:val="none"/>
          <w:u w:val="single"/>
        </w:rPr>
        <w:t>                   </w:t>
      </w:r>
    </w:p>
    <w:p>
      <w:pPr>
        <w:pStyle w:val="12"/>
        <w:widowControl/>
        <w:rPr>
          <w:color w:val="auto"/>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pPr>
        <w:rPr>
          <w:rStyle w:val="16"/>
          <w:rFonts w:ascii="宋体" w:hAnsi="宋体" w:eastAsia="宋体" w:cs="宋体"/>
          <w:color w:val="auto"/>
          <w:szCs w:val="21"/>
          <w:highlight w:val="none"/>
        </w:rPr>
      </w:pPr>
      <w:r>
        <w:rPr>
          <w:rStyle w:val="16"/>
          <w:rFonts w:hint="eastAsia" w:ascii="宋体" w:hAnsi="宋体" w:eastAsia="宋体" w:cs="宋体"/>
          <w:color w:val="auto"/>
          <w:szCs w:val="21"/>
          <w:highlight w:val="none"/>
        </w:rPr>
        <w:br w:type="page"/>
      </w:r>
    </w:p>
    <w:p>
      <w:pPr>
        <w:pStyle w:val="12"/>
        <w:widowControl/>
        <w:jc w:val="center"/>
        <w:outlineLvl w:val="3"/>
        <w:rPr>
          <w:color w:val="auto"/>
          <w:highlight w:val="none"/>
        </w:rPr>
      </w:pPr>
      <w:r>
        <w:rPr>
          <w:rStyle w:val="16"/>
          <w:rFonts w:hint="eastAsia" w:ascii="宋体" w:hAnsi="宋体" w:eastAsia="宋体" w:cs="宋体"/>
          <w:color w:val="auto"/>
          <w:sz w:val="21"/>
          <w:szCs w:val="21"/>
          <w:highlight w:val="none"/>
        </w:rPr>
        <w:t>二-3财务状况报告（财务报告、或资信证明、或投标担保函）</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w:t>
      </w:r>
    </w:p>
    <w:p>
      <w:pPr>
        <w:pStyle w:val="12"/>
        <w:widowControl/>
        <w:ind w:firstLine="420"/>
        <w:rPr>
          <w:color w:val="auto"/>
          <w:highlight w:val="none"/>
        </w:rPr>
      </w:pPr>
      <w:r>
        <w:rPr>
          <w:rFonts w:hint="eastAsia" w:ascii="宋体" w:hAnsi="宋体" w:eastAsia="宋体" w:cs="宋体"/>
          <w:color w:val="auto"/>
          <w:sz w:val="21"/>
          <w:szCs w:val="21"/>
          <w:highlight w:val="none"/>
        </w:rPr>
        <w:t>（ ）投标人提供财务报告的</w:t>
      </w:r>
    </w:p>
    <w:p>
      <w:pPr>
        <w:pStyle w:val="12"/>
        <w:widowControl/>
        <w:ind w:firstLine="420"/>
        <w:rPr>
          <w:color w:val="auto"/>
          <w:highlight w:val="none"/>
        </w:rPr>
      </w:pPr>
      <w:r>
        <w:rPr>
          <w:rFonts w:hint="eastAsia" w:ascii="宋体" w:hAnsi="宋体" w:eastAsia="宋体" w:cs="宋体"/>
          <w:color w:val="auto"/>
          <w:sz w:val="21"/>
          <w:szCs w:val="21"/>
          <w:highlight w:val="none"/>
        </w:rPr>
        <w:t>□企业适用：现附上我方</w:t>
      </w:r>
      <w:r>
        <w:rPr>
          <w:rFonts w:hint="eastAsia" w:ascii="宋体" w:hAnsi="宋体" w:eastAsia="宋体" w:cs="宋体"/>
          <w:color w:val="auto"/>
          <w:sz w:val="21"/>
          <w:szCs w:val="21"/>
          <w:highlight w:val="none"/>
          <w:u w:val="single"/>
        </w:rPr>
        <w:t>（填写“具体的年度、或半年度、或季度”）</w:t>
      </w:r>
      <w:r>
        <w:rPr>
          <w:rFonts w:hint="eastAsia" w:ascii="宋体" w:hAnsi="宋体" w:eastAsia="宋体" w:cs="宋体"/>
          <w:color w:val="auto"/>
          <w:sz w:val="21"/>
          <w:szCs w:val="21"/>
          <w:highlight w:val="none"/>
        </w:rPr>
        <w:t>财务报告复印件，包括资产负债表、利润表、现金流量表、所有者权益变动表（若有）及其附注（若有），上述证明材料真实有效，否则我方负全部责任。</w:t>
      </w:r>
    </w:p>
    <w:p>
      <w:pPr>
        <w:pStyle w:val="12"/>
        <w:widowControl/>
        <w:ind w:firstLine="420"/>
        <w:rPr>
          <w:color w:val="auto"/>
          <w:highlight w:val="none"/>
        </w:rPr>
      </w:pPr>
      <w:r>
        <w:rPr>
          <w:rFonts w:hint="eastAsia" w:ascii="宋体" w:hAnsi="宋体" w:eastAsia="宋体" w:cs="宋体"/>
          <w:color w:val="auto"/>
          <w:sz w:val="21"/>
          <w:szCs w:val="21"/>
          <w:highlight w:val="none"/>
        </w:rPr>
        <w:t>□事业单位适用：现附上我方</w:t>
      </w:r>
      <w:r>
        <w:rPr>
          <w:rFonts w:hint="eastAsia" w:ascii="宋体" w:hAnsi="宋体" w:eastAsia="宋体" w:cs="宋体"/>
          <w:color w:val="auto"/>
          <w:sz w:val="21"/>
          <w:szCs w:val="21"/>
          <w:highlight w:val="none"/>
          <w:u w:val="single"/>
        </w:rPr>
        <w:t>（填写“具体的年度、或半年度、或季度”）</w:t>
      </w:r>
      <w:r>
        <w:rPr>
          <w:rFonts w:hint="eastAsia" w:ascii="宋体" w:hAnsi="宋体" w:eastAsia="宋体" w:cs="宋体"/>
          <w:color w:val="auto"/>
          <w:sz w:val="21"/>
          <w:szCs w:val="21"/>
          <w:highlight w:val="none"/>
        </w:rPr>
        <w:t>财务报告复印件，包括资产负债表、收入支出表（或收入费用表）、财政补助收入支出表（若有），上述证明材料真实有效，否则我方负全部责任。</w:t>
      </w:r>
    </w:p>
    <w:p>
      <w:pPr>
        <w:pStyle w:val="12"/>
        <w:widowControl/>
        <w:ind w:firstLine="420"/>
        <w:rPr>
          <w:color w:val="auto"/>
          <w:highlight w:val="none"/>
        </w:rPr>
      </w:pPr>
      <w:r>
        <w:rPr>
          <w:rFonts w:hint="eastAsia" w:ascii="宋体" w:hAnsi="宋体" w:eastAsia="宋体" w:cs="宋体"/>
          <w:color w:val="auto"/>
          <w:sz w:val="21"/>
          <w:szCs w:val="21"/>
          <w:highlight w:val="none"/>
        </w:rPr>
        <w:t>□社会团体适用：现附上我方</w:t>
      </w:r>
      <w:r>
        <w:rPr>
          <w:rFonts w:hint="eastAsia" w:ascii="宋体" w:hAnsi="宋体" w:eastAsia="宋体" w:cs="宋体"/>
          <w:color w:val="auto"/>
          <w:sz w:val="21"/>
          <w:szCs w:val="21"/>
          <w:highlight w:val="none"/>
          <w:u w:val="single"/>
        </w:rPr>
        <w:t>（填写“具体的年度、或半年度、或季度”）</w:t>
      </w:r>
      <w:r>
        <w:rPr>
          <w:rFonts w:hint="eastAsia" w:ascii="宋体" w:hAnsi="宋体" w:eastAsia="宋体" w:cs="宋体"/>
          <w:color w:val="auto"/>
          <w:sz w:val="21"/>
          <w:szCs w:val="21"/>
          <w:highlight w:val="none"/>
        </w:rPr>
        <w:t>财务报告复印件，包括资产负债表、业务活动表、现金流量表，上述证明材料真实有效，否则我方负全部责任。</w:t>
      </w:r>
    </w:p>
    <w:p>
      <w:pPr>
        <w:pStyle w:val="12"/>
        <w:widowControl/>
        <w:ind w:firstLine="420"/>
        <w:rPr>
          <w:color w:val="auto"/>
          <w:highlight w:val="none"/>
        </w:rPr>
      </w:pPr>
      <w:r>
        <w:rPr>
          <w:rFonts w:hint="eastAsia" w:ascii="宋体" w:hAnsi="宋体" w:eastAsia="宋体" w:cs="宋体"/>
          <w:color w:val="auto"/>
          <w:sz w:val="21"/>
          <w:szCs w:val="21"/>
          <w:highlight w:val="none"/>
        </w:rPr>
        <w:t>（ ）投标人提供资信证明的</w:t>
      </w:r>
    </w:p>
    <w:p>
      <w:pPr>
        <w:pStyle w:val="12"/>
        <w:widowControl/>
        <w:ind w:firstLine="420"/>
        <w:rPr>
          <w:color w:val="auto"/>
          <w:highlight w:val="none"/>
        </w:rPr>
      </w:pPr>
      <w:r>
        <w:rPr>
          <w:rFonts w:hint="eastAsia" w:ascii="宋体" w:hAnsi="宋体" w:eastAsia="宋体" w:cs="宋体"/>
          <w:color w:val="auto"/>
          <w:sz w:val="21"/>
          <w:szCs w:val="21"/>
          <w:highlight w:val="none"/>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pPr>
        <w:pStyle w:val="12"/>
        <w:widowControl/>
        <w:ind w:firstLine="420"/>
        <w:rPr>
          <w:color w:val="auto"/>
          <w:highlight w:val="none"/>
        </w:rPr>
      </w:pPr>
      <w:r>
        <w:rPr>
          <w:rFonts w:hint="eastAsia" w:ascii="宋体" w:hAnsi="宋体" w:eastAsia="宋体" w:cs="宋体"/>
          <w:color w:val="auto"/>
          <w:sz w:val="21"/>
          <w:szCs w:val="21"/>
          <w:highlight w:val="none"/>
        </w:rPr>
        <w:t>□自然人适用：现附上我方银行：</w:t>
      </w:r>
      <w:r>
        <w:rPr>
          <w:rFonts w:hint="eastAsia" w:ascii="宋体" w:hAnsi="宋体" w:eastAsia="宋体" w:cs="宋体"/>
          <w:color w:val="auto"/>
          <w:sz w:val="21"/>
          <w:szCs w:val="21"/>
          <w:highlight w:val="none"/>
          <w:u w:val="single"/>
        </w:rPr>
        <w:t>（填写自然人的“个人账户的开户银行全称”）</w:t>
      </w:r>
      <w:r>
        <w:rPr>
          <w:rFonts w:hint="eastAsia" w:ascii="宋体" w:hAnsi="宋体" w:eastAsia="宋体" w:cs="宋体"/>
          <w:color w:val="auto"/>
          <w:sz w:val="21"/>
          <w:szCs w:val="21"/>
          <w:highlight w:val="none"/>
        </w:rPr>
        <w:t>出具的资信证明复印件，上述证明材料真实有效，否则我方负全部责任。</w:t>
      </w:r>
    </w:p>
    <w:p>
      <w:pPr>
        <w:pStyle w:val="12"/>
        <w:widowControl/>
        <w:ind w:firstLine="420"/>
        <w:rPr>
          <w:color w:val="auto"/>
          <w:highlight w:val="none"/>
        </w:rPr>
      </w:pPr>
      <w:r>
        <w:rPr>
          <w:rFonts w:hint="eastAsia" w:ascii="宋体" w:hAnsi="宋体" w:eastAsia="宋体" w:cs="宋体"/>
          <w:color w:val="auto"/>
          <w:sz w:val="21"/>
          <w:szCs w:val="21"/>
          <w:highlight w:val="none"/>
        </w:rPr>
        <w:t>（ ）投标人提供投标担保函的</w:t>
      </w:r>
    </w:p>
    <w:p>
      <w:pPr>
        <w:pStyle w:val="12"/>
        <w:widowControl/>
        <w:ind w:firstLine="420"/>
        <w:rPr>
          <w:color w:val="auto"/>
          <w:highlight w:val="none"/>
        </w:rPr>
      </w:pPr>
      <w:r>
        <w:rPr>
          <w:rFonts w:hint="eastAsia" w:ascii="宋体" w:hAnsi="宋体" w:eastAsia="宋体" w:cs="宋体"/>
          <w:color w:val="auto"/>
          <w:sz w:val="21"/>
          <w:szCs w:val="21"/>
          <w:highlight w:val="none"/>
        </w:rPr>
        <w:t>现附上由财政部门认可的政府采购专业担保机构：</w:t>
      </w:r>
      <w:r>
        <w:rPr>
          <w:rFonts w:hint="eastAsia" w:ascii="宋体" w:hAnsi="宋体" w:eastAsia="宋体" w:cs="宋体"/>
          <w:color w:val="auto"/>
          <w:sz w:val="21"/>
          <w:szCs w:val="21"/>
          <w:highlight w:val="none"/>
          <w:u w:val="single"/>
        </w:rPr>
        <w:t>（填写“担保机构全称”）</w:t>
      </w:r>
      <w:r>
        <w:rPr>
          <w:rFonts w:hint="eastAsia" w:ascii="宋体" w:hAnsi="宋体" w:eastAsia="宋体" w:cs="宋体"/>
          <w:color w:val="auto"/>
          <w:sz w:val="21"/>
          <w:szCs w:val="21"/>
          <w:highlight w:val="none"/>
        </w:rPr>
        <w:t>出具的投标担保函复印件，上述证明材料真实有效，否则我方负全部责任。</w:t>
      </w:r>
    </w:p>
    <w:p>
      <w:pPr>
        <w:pStyle w:val="12"/>
        <w:widowControl/>
        <w:rPr>
          <w:color w:val="auto"/>
          <w:highlight w:val="none"/>
        </w:rPr>
      </w:pPr>
      <w:r>
        <w:rPr>
          <w:rFonts w:ascii="Calibri" w:hAnsi="Calibri" w:cs="Calibri"/>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★注意：</w:t>
      </w:r>
    </w:p>
    <w:p>
      <w:pPr>
        <w:pStyle w:val="12"/>
        <w:widowControl/>
        <w:rPr>
          <w:color w:val="auto"/>
          <w:highlight w:val="none"/>
        </w:rPr>
      </w:pPr>
      <w:r>
        <w:rPr>
          <w:rFonts w:hint="eastAsia" w:ascii="宋体" w:hAnsi="宋体" w:eastAsia="宋体" w:cs="宋体"/>
          <w:color w:val="auto"/>
          <w:sz w:val="21"/>
          <w:szCs w:val="21"/>
          <w:highlight w:val="none"/>
        </w:rPr>
        <w:t>1、请投标人按照实际情况编制填写，在相应的（）中打“√”并选择相应的“□”（若有）后，再按照本格式的要求提供相应证明材料的复印件。</w:t>
      </w:r>
    </w:p>
    <w:p>
      <w:pPr>
        <w:pStyle w:val="12"/>
        <w:widowControl/>
        <w:rPr>
          <w:color w:val="auto"/>
          <w:highlight w:val="none"/>
        </w:rPr>
      </w:pPr>
      <w:r>
        <w:rPr>
          <w:rFonts w:hint="eastAsia" w:ascii="宋体" w:hAnsi="宋体" w:eastAsia="宋体" w:cs="宋体"/>
          <w:color w:val="auto"/>
          <w:sz w:val="21"/>
          <w:szCs w:val="21"/>
          <w:highlight w:val="none"/>
        </w:rPr>
        <w:t>2、投标人提供的财务报告复印件（成立年限按照投标截止时间推算）应符合下列规定：</w:t>
      </w:r>
    </w:p>
    <w:p>
      <w:pPr>
        <w:pStyle w:val="12"/>
        <w:widowControl/>
        <w:rPr>
          <w:color w:val="auto"/>
          <w:highlight w:val="none"/>
        </w:rPr>
      </w:pPr>
      <w:r>
        <w:rPr>
          <w:rFonts w:hint="eastAsia" w:ascii="宋体" w:hAnsi="宋体" w:eastAsia="宋体" w:cs="宋体"/>
          <w:color w:val="auto"/>
          <w:sz w:val="21"/>
          <w:szCs w:val="21"/>
          <w:highlight w:val="none"/>
        </w:rPr>
        <w:t>2.1成立年限满</w:t>
      </w:r>
      <w:r>
        <w:rPr>
          <w:rFonts w:ascii="Calibri" w:hAnsi="Calibri" w:eastAsia="宋体" w:cs="Calibri"/>
          <w:color w:val="auto"/>
          <w:sz w:val="21"/>
          <w:szCs w:val="21"/>
          <w:highlight w:val="none"/>
        </w:rPr>
        <w:t>1</w:t>
      </w:r>
      <w:r>
        <w:rPr>
          <w:rFonts w:hint="eastAsia" w:ascii="宋体" w:hAnsi="宋体" w:eastAsia="宋体" w:cs="宋体"/>
          <w:color w:val="auto"/>
          <w:sz w:val="21"/>
          <w:szCs w:val="21"/>
          <w:highlight w:val="none"/>
        </w:rPr>
        <w:t>年及以上的投标人，提供经审计的上一年度的年度财务报告。</w:t>
      </w:r>
    </w:p>
    <w:p>
      <w:pPr>
        <w:pStyle w:val="12"/>
        <w:widowControl/>
        <w:rPr>
          <w:color w:val="auto"/>
          <w:highlight w:val="none"/>
        </w:rPr>
      </w:pPr>
      <w:r>
        <w:rPr>
          <w:rFonts w:hint="eastAsia" w:ascii="宋体" w:hAnsi="宋体" w:eastAsia="宋体" w:cs="宋体"/>
          <w:color w:val="auto"/>
          <w:sz w:val="21"/>
          <w:szCs w:val="21"/>
          <w:highlight w:val="none"/>
        </w:rPr>
        <w:t>2.2成立年限满半年但不足</w:t>
      </w:r>
      <w:r>
        <w:rPr>
          <w:rFonts w:ascii="Calibri" w:hAnsi="Calibri" w:eastAsia="宋体" w:cs="Calibri"/>
          <w:color w:val="auto"/>
          <w:sz w:val="21"/>
          <w:szCs w:val="21"/>
          <w:highlight w:val="none"/>
        </w:rPr>
        <w:t>1</w:t>
      </w:r>
      <w:r>
        <w:rPr>
          <w:rFonts w:hint="eastAsia" w:ascii="宋体" w:hAnsi="宋体" w:eastAsia="宋体" w:cs="宋体"/>
          <w:color w:val="auto"/>
          <w:sz w:val="21"/>
          <w:szCs w:val="21"/>
          <w:highlight w:val="none"/>
        </w:rPr>
        <w:t>年的投标人，提供该半年度中任一季度的季度财务报告或该半年度的半年度财务报告。</w:t>
      </w:r>
    </w:p>
    <w:p>
      <w:pPr>
        <w:pStyle w:val="12"/>
        <w:widowControl/>
        <w:rPr>
          <w:color w:val="auto"/>
          <w:highlight w:val="none"/>
        </w:rPr>
      </w:pPr>
      <w:r>
        <w:rPr>
          <w:rStyle w:val="16"/>
          <w:rFonts w:hint="eastAsia" w:ascii="宋体" w:hAnsi="宋体" w:eastAsia="宋体" w:cs="宋体"/>
          <w:color w:val="auto"/>
          <w:highlight w:val="none"/>
        </w:rPr>
        <w:t xml:space="preserve">※无法按照本格式第2.1、2.2条规定提供财务报告复印件的投标人（包括但不限于：成立年限满1年及以上的投标人、成立年限满半年但不足1年的投标人、成立年限不足半年的投标人），应按照本格式的要求选择提供资信证明复印件或投标担保函复印件，其中：非自然人的投标人选择提供资信证明的，还应附上其开户（基本存款账户）许可证复印件。 </w:t>
      </w:r>
    </w:p>
    <w:p>
      <w:pPr>
        <w:pStyle w:val="12"/>
        <w:widowControl/>
        <w:rPr>
          <w:color w:val="auto"/>
          <w:highlight w:val="none"/>
        </w:rPr>
      </w:pPr>
      <w:r>
        <w:rPr>
          <w:rFonts w:hint="eastAsia" w:ascii="宋体" w:hAnsi="宋体" w:eastAsia="宋体" w:cs="宋体"/>
          <w:color w:val="auto"/>
          <w:sz w:val="21"/>
          <w:szCs w:val="21"/>
          <w:highlight w:val="none"/>
        </w:rPr>
        <w:t>3、“财政部门认可的政府采购专业担保机构”应符合《财政部关于开展政府采购信用担保试点工作方案》（财库</w:t>
      </w:r>
      <w:r>
        <w:rPr>
          <w:rFonts w:ascii="Calibri" w:hAnsi="Calibri" w:eastAsia="宋体" w:cs="Calibri"/>
          <w:color w:val="auto"/>
          <w:sz w:val="21"/>
          <w:szCs w:val="21"/>
          <w:highlight w:val="none"/>
        </w:rPr>
        <w:t>[2011]124</w:t>
      </w:r>
      <w:r>
        <w:rPr>
          <w:rFonts w:hint="eastAsia" w:ascii="宋体" w:hAnsi="宋体" w:eastAsia="宋体" w:cs="宋体"/>
          <w:color w:val="auto"/>
          <w:sz w:val="21"/>
          <w:szCs w:val="21"/>
          <w:highlight w:val="none"/>
        </w:rPr>
        <w:t>号）的规定。</w:t>
      </w:r>
    </w:p>
    <w:p>
      <w:pPr>
        <w:pStyle w:val="12"/>
        <w:widowControl/>
        <w:rPr>
          <w:color w:val="auto"/>
          <w:highlight w:val="none"/>
        </w:rPr>
      </w:pPr>
      <w:r>
        <w:rPr>
          <w:rFonts w:hint="eastAsia" w:ascii="宋体" w:hAnsi="宋体" w:eastAsia="宋体" w:cs="宋体"/>
          <w:color w:val="auto"/>
          <w:sz w:val="21"/>
          <w:szCs w:val="21"/>
          <w:highlight w:val="none"/>
        </w:rPr>
        <w:t>4、投标人提供的相应证明材料复印件均应符合：内容完整、清晰、整洁，并由投标人加盖其单位公章。</w:t>
      </w:r>
    </w:p>
    <w:p>
      <w:pPr>
        <w:pStyle w:val="12"/>
        <w:widowControl/>
        <w:rPr>
          <w:color w:val="auto"/>
          <w:highlight w:val="none"/>
        </w:rPr>
      </w:pPr>
      <w:r>
        <w:rPr>
          <w:rFonts w:ascii="Calibri" w:hAnsi="Calibri" w:cs="Calibri"/>
          <w:color w:val="auto"/>
          <w:sz w:val="21"/>
          <w:szCs w:val="21"/>
          <w:highlight w:val="none"/>
        </w:rPr>
        <w:t> </w:t>
      </w:r>
    </w:p>
    <w:p>
      <w:pPr>
        <w:pStyle w:val="12"/>
        <w:widowControl/>
        <w:rPr>
          <w:color w:val="auto"/>
          <w:highlight w:val="none"/>
        </w:rPr>
      </w:pPr>
      <w:r>
        <w:rPr>
          <w:rFonts w:ascii="Calibri" w:hAnsi="Calibri" w:cs="Calibri"/>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（全称并加盖单位公章）</w:t>
      </w:r>
    </w:p>
    <w:p>
      <w:pPr>
        <w:pStyle w:val="12"/>
        <w:widowControl/>
        <w:rPr>
          <w:color w:val="auto"/>
          <w:highlight w:val="none"/>
        </w:rPr>
      </w:pPr>
      <w:r>
        <w:rPr>
          <w:rFonts w:hint="eastAsia" w:ascii="宋体" w:hAnsi="宋体" w:eastAsia="宋体" w:cs="宋体"/>
          <w:color w:val="auto"/>
          <w:sz w:val="21"/>
          <w:szCs w:val="21"/>
          <w:highlight w:val="none"/>
        </w:rPr>
        <w:t>投标人代表签字：</w:t>
      </w:r>
      <w:r>
        <w:rPr>
          <w:rFonts w:hint="eastAsia" w:ascii="宋体" w:hAnsi="宋体" w:eastAsia="宋体" w:cs="宋体"/>
          <w:color w:val="auto"/>
          <w:sz w:val="21"/>
          <w:szCs w:val="21"/>
          <w:highlight w:val="none"/>
          <w:u w:val="single"/>
        </w:rPr>
        <w:t>                   </w:t>
      </w:r>
    </w:p>
    <w:p>
      <w:pPr>
        <w:pStyle w:val="12"/>
        <w:widowControl/>
        <w:rPr>
          <w:color w:val="auto"/>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jc w:val="center"/>
        <w:rPr>
          <w:rFonts w:ascii="Calibri" w:hAnsi="Calibri" w:cs="Calibri"/>
          <w:color w:val="auto"/>
          <w:sz w:val="21"/>
          <w:szCs w:val="21"/>
          <w:highlight w:val="none"/>
        </w:rPr>
      </w:pPr>
      <w:r>
        <w:rPr>
          <w:rFonts w:ascii="Calibri" w:hAnsi="Calibri" w:cs="Calibri"/>
          <w:color w:val="auto"/>
          <w:sz w:val="21"/>
          <w:szCs w:val="21"/>
          <w:highlight w:val="none"/>
        </w:rPr>
        <w:br w:type="textWrapping"/>
      </w:r>
    </w:p>
    <w:p>
      <w:pPr>
        <w:rPr>
          <w:rFonts w:ascii="Calibri" w:hAnsi="Calibri" w:cs="Calibri"/>
          <w:color w:val="auto"/>
          <w:szCs w:val="21"/>
          <w:highlight w:val="none"/>
        </w:rPr>
      </w:pPr>
      <w:r>
        <w:rPr>
          <w:rFonts w:ascii="Calibri" w:hAnsi="Calibri" w:cs="Calibri"/>
          <w:color w:val="auto"/>
          <w:szCs w:val="21"/>
          <w:highlight w:val="none"/>
        </w:rPr>
        <w:br w:type="page"/>
      </w:r>
    </w:p>
    <w:p>
      <w:pPr>
        <w:pStyle w:val="12"/>
        <w:widowControl/>
        <w:jc w:val="center"/>
        <w:outlineLvl w:val="3"/>
        <w:rPr>
          <w:color w:val="auto"/>
          <w:highlight w:val="none"/>
        </w:rPr>
      </w:pPr>
      <w:r>
        <w:rPr>
          <w:rFonts w:hint="eastAsia" w:ascii="宋体" w:hAnsi="宋体" w:eastAsia="宋体" w:cs="宋体"/>
          <w:color w:val="auto"/>
          <w:sz w:val="21"/>
          <w:szCs w:val="21"/>
          <w:highlight w:val="none"/>
        </w:rPr>
        <w:t>二</w:t>
      </w:r>
      <w:r>
        <w:rPr>
          <w:rStyle w:val="16"/>
          <w:rFonts w:hint="eastAsia" w:ascii="宋体" w:hAnsi="宋体" w:eastAsia="宋体" w:cs="宋体"/>
          <w:color w:val="auto"/>
          <w:sz w:val="21"/>
          <w:szCs w:val="21"/>
          <w:highlight w:val="none"/>
        </w:rPr>
        <w:t>-4依法缴纳税收证明材料</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w:t>
      </w:r>
    </w:p>
    <w:p>
      <w:pPr>
        <w:pStyle w:val="12"/>
        <w:widowControl/>
        <w:ind w:firstLine="420"/>
        <w:rPr>
          <w:color w:val="auto"/>
          <w:highlight w:val="none"/>
        </w:rPr>
      </w:pPr>
      <w:r>
        <w:rPr>
          <w:rFonts w:hint="eastAsia" w:ascii="宋体" w:hAnsi="宋体" w:eastAsia="宋体" w:cs="宋体"/>
          <w:color w:val="auto"/>
          <w:sz w:val="21"/>
          <w:szCs w:val="21"/>
          <w:highlight w:val="none"/>
        </w:rPr>
        <w:t>1、依法缴纳税收的投标人</w:t>
      </w:r>
    </w:p>
    <w:p>
      <w:pPr>
        <w:pStyle w:val="12"/>
        <w:widowControl/>
        <w:ind w:firstLine="420"/>
        <w:rPr>
          <w:color w:val="auto"/>
          <w:highlight w:val="none"/>
        </w:rPr>
      </w:pPr>
      <w:r>
        <w:rPr>
          <w:rFonts w:hint="eastAsia" w:ascii="宋体" w:hAnsi="宋体" w:eastAsia="宋体" w:cs="宋体"/>
          <w:color w:val="auto"/>
          <w:sz w:val="21"/>
          <w:szCs w:val="21"/>
          <w:highlight w:val="none"/>
        </w:rPr>
        <w:t>（ ）法人（包括企业、事业单位和社会团体）的</w:t>
      </w:r>
    </w:p>
    <w:p>
      <w:pPr>
        <w:pStyle w:val="12"/>
        <w:widowControl/>
        <w:ind w:firstLine="420"/>
        <w:rPr>
          <w:color w:val="auto"/>
          <w:highlight w:val="none"/>
        </w:rPr>
      </w:pPr>
      <w:r>
        <w:rPr>
          <w:rFonts w:hint="eastAsia" w:ascii="宋体" w:hAnsi="宋体" w:eastAsia="宋体" w:cs="宋体"/>
          <w:color w:val="auto"/>
          <w:sz w:val="21"/>
          <w:szCs w:val="21"/>
          <w:highlight w:val="none"/>
        </w:rPr>
        <w:t>现附上自</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日期间我方缴纳的</w:t>
      </w:r>
      <w:r>
        <w:rPr>
          <w:rFonts w:hint="eastAsia" w:ascii="宋体" w:hAnsi="宋体" w:eastAsia="宋体" w:cs="宋体"/>
          <w:color w:val="auto"/>
          <w:sz w:val="21"/>
          <w:szCs w:val="21"/>
          <w:highlight w:val="none"/>
          <w:u w:val="single"/>
        </w:rPr>
        <w:t>（按照投标人实际缴纳的税种名称填写，如：增值税、所得税等）</w:t>
      </w:r>
      <w:r>
        <w:rPr>
          <w:rFonts w:hint="eastAsia" w:ascii="宋体" w:hAnsi="宋体" w:eastAsia="宋体" w:cs="宋体"/>
          <w:color w:val="auto"/>
          <w:sz w:val="21"/>
          <w:szCs w:val="21"/>
          <w:highlight w:val="none"/>
        </w:rPr>
        <w:t>税收凭据复印件，上述证明材料真实有效，否则我方负全部责任。</w:t>
      </w:r>
    </w:p>
    <w:p>
      <w:pPr>
        <w:pStyle w:val="12"/>
        <w:widowControl/>
        <w:ind w:firstLine="420"/>
        <w:rPr>
          <w:color w:val="auto"/>
          <w:highlight w:val="none"/>
        </w:rPr>
      </w:pPr>
      <w:r>
        <w:rPr>
          <w:rFonts w:hint="eastAsia" w:ascii="宋体" w:hAnsi="宋体" w:eastAsia="宋体" w:cs="宋体"/>
          <w:color w:val="auto"/>
          <w:sz w:val="21"/>
          <w:szCs w:val="21"/>
          <w:highlight w:val="none"/>
        </w:rPr>
        <w:t>（ ）非法人（包括其他组织、自然人）的</w:t>
      </w:r>
    </w:p>
    <w:p>
      <w:pPr>
        <w:pStyle w:val="12"/>
        <w:widowControl/>
        <w:ind w:firstLine="420"/>
        <w:rPr>
          <w:color w:val="auto"/>
          <w:highlight w:val="none"/>
        </w:rPr>
      </w:pPr>
      <w:r>
        <w:rPr>
          <w:rFonts w:hint="eastAsia" w:ascii="宋体" w:hAnsi="宋体" w:eastAsia="宋体" w:cs="宋体"/>
          <w:color w:val="auto"/>
          <w:sz w:val="21"/>
          <w:szCs w:val="21"/>
          <w:highlight w:val="none"/>
        </w:rPr>
        <w:t>现附上自</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日期间我方缴纳的</w:t>
      </w:r>
      <w:r>
        <w:rPr>
          <w:rFonts w:hint="eastAsia" w:ascii="宋体" w:hAnsi="宋体" w:eastAsia="宋体" w:cs="宋体"/>
          <w:color w:val="auto"/>
          <w:sz w:val="21"/>
          <w:szCs w:val="21"/>
          <w:highlight w:val="none"/>
          <w:u w:val="single"/>
        </w:rPr>
        <w:t>（按照投标人实际缴纳的税种名称填写）</w:t>
      </w:r>
      <w:r>
        <w:rPr>
          <w:rFonts w:hint="eastAsia" w:ascii="宋体" w:hAnsi="宋体" w:eastAsia="宋体" w:cs="宋体"/>
          <w:color w:val="auto"/>
          <w:sz w:val="21"/>
          <w:szCs w:val="21"/>
          <w:highlight w:val="none"/>
        </w:rPr>
        <w:t>税收凭据复印件，上述证明材料真实有效，否则我方负全部责任。</w:t>
      </w:r>
    </w:p>
    <w:p>
      <w:pPr>
        <w:pStyle w:val="12"/>
        <w:widowControl/>
        <w:ind w:firstLine="420"/>
        <w:rPr>
          <w:color w:val="auto"/>
          <w:highlight w:val="none"/>
        </w:rPr>
      </w:pPr>
      <w:r>
        <w:rPr>
          <w:rFonts w:hint="eastAsia" w:ascii="宋体" w:hAnsi="宋体" w:eastAsia="宋体" w:cs="宋体"/>
          <w:color w:val="auto"/>
          <w:sz w:val="21"/>
          <w:szCs w:val="21"/>
          <w:highlight w:val="none"/>
        </w:rPr>
        <w:t>2、依法免税的投标人</w:t>
      </w:r>
    </w:p>
    <w:p>
      <w:pPr>
        <w:pStyle w:val="12"/>
        <w:widowControl/>
        <w:ind w:firstLine="420"/>
        <w:rPr>
          <w:color w:val="auto"/>
          <w:highlight w:val="none"/>
        </w:rPr>
      </w:pPr>
      <w:r>
        <w:rPr>
          <w:rFonts w:hint="eastAsia" w:ascii="宋体" w:hAnsi="宋体" w:eastAsia="宋体" w:cs="宋体"/>
          <w:color w:val="auto"/>
          <w:sz w:val="21"/>
          <w:szCs w:val="21"/>
          <w:highlight w:val="none"/>
        </w:rPr>
        <w:t>（ ）现附上我方依法免税证明材料复印件，上述证明材料真实有效，否则我方负全部责任。</w:t>
      </w:r>
    </w:p>
    <w:p>
      <w:pPr>
        <w:pStyle w:val="12"/>
        <w:widowControl/>
        <w:rPr>
          <w:color w:val="auto"/>
          <w:highlight w:val="none"/>
        </w:rPr>
      </w:pPr>
      <w:r>
        <w:rPr>
          <w:rFonts w:ascii="Calibri" w:hAnsi="Calibri" w:cs="Calibri"/>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★注意：</w:t>
      </w:r>
    </w:p>
    <w:p>
      <w:pPr>
        <w:pStyle w:val="12"/>
        <w:widowControl/>
        <w:rPr>
          <w:color w:val="auto"/>
          <w:highlight w:val="none"/>
        </w:rPr>
      </w:pPr>
      <w:r>
        <w:rPr>
          <w:rFonts w:hint="eastAsia" w:ascii="宋体" w:hAnsi="宋体" w:eastAsia="宋体" w:cs="宋体"/>
          <w:color w:val="auto"/>
          <w:sz w:val="21"/>
          <w:szCs w:val="21"/>
          <w:highlight w:val="none"/>
        </w:rPr>
        <w:t>1、请投标人按照实际情况编制填写，在相应的（）中打“√”，并按照本格式的要求提供相应证明材料的复印件。</w:t>
      </w:r>
    </w:p>
    <w:p>
      <w:pPr>
        <w:pStyle w:val="12"/>
        <w:widowControl/>
        <w:rPr>
          <w:color w:val="auto"/>
          <w:highlight w:val="none"/>
        </w:rPr>
      </w:pPr>
      <w:r>
        <w:rPr>
          <w:rFonts w:hint="eastAsia" w:ascii="宋体" w:hAnsi="宋体" w:eastAsia="宋体" w:cs="宋体"/>
          <w:color w:val="auto"/>
          <w:sz w:val="21"/>
          <w:szCs w:val="21"/>
          <w:highlight w:val="none"/>
        </w:rPr>
        <w:t>2、投标人提供的税收凭据复印件应符合下列规定：</w:t>
      </w:r>
    </w:p>
    <w:p>
      <w:pPr>
        <w:pStyle w:val="12"/>
        <w:widowControl/>
        <w:rPr>
          <w:color w:val="auto"/>
          <w:highlight w:val="none"/>
        </w:rPr>
      </w:pPr>
      <w:r>
        <w:rPr>
          <w:rFonts w:hint="eastAsia" w:ascii="宋体" w:hAnsi="宋体" w:eastAsia="宋体" w:cs="宋体"/>
          <w:color w:val="auto"/>
          <w:sz w:val="21"/>
          <w:szCs w:val="21"/>
          <w:highlight w:val="none"/>
        </w:rPr>
        <w:t>2.1投标截止时间前（不含投标截止时间的当月）已依法缴纳税收的投标人，提供投标截止时间前六个月（不含投标截止时间的当月）中任一月份的税收凭据复印件。</w:t>
      </w:r>
    </w:p>
    <w:p>
      <w:pPr>
        <w:pStyle w:val="12"/>
        <w:widowControl/>
        <w:rPr>
          <w:color w:val="auto"/>
          <w:highlight w:val="none"/>
        </w:rPr>
      </w:pPr>
      <w:r>
        <w:rPr>
          <w:rFonts w:hint="eastAsia" w:ascii="宋体" w:hAnsi="宋体" w:eastAsia="宋体" w:cs="宋体"/>
          <w:color w:val="auto"/>
          <w:sz w:val="21"/>
          <w:szCs w:val="21"/>
          <w:highlight w:val="none"/>
        </w:rPr>
        <w:t>2.2投标截止时间的当月成立且已依法缴纳税收的投标人，提供投标截止时间当月的税收凭据复印件。</w:t>
      </w:r>
    </w:p>
    <w:p>
      <w:pPr>
        <w:pStyle w:val="12"/>
        <w:widowControl/>
        <w:rPr>
          <w:color w:val="auto"/>
          <w:highlight w:val="none"/>
        </w:rPr>
      </w:pPr>
      <w:r>
        <w:rPr>
          <w:rFonts w:hint="eastAsia" w:ascii="宋体" w:hAnsi="宋体" w:eastAsia="宋体" w:cs="宋体"/>
          <w:color w:val="auto"/>
          <w:sz w:val="21"/>
          <w:szCs w:val="21"/>
          <w:highlight w:val="none"/>
        </w:rPr>
        <w:t>2.3投标截止时间的当月成立但因税务机关原因导致其尚未依法缴纳税收的投标人，提供依法缴纳税收承诺书原件（格式自拟），该承诺书视同税收凭据。</w:t>
      </w:r>
    </w:p>
    <w:p>
      <w:pPr>
        <w:pStyle w:val="12"/>
        <w:widowControl/>
        <w:rPr>
          <w:color w:val="auto"/>
          <w:highlight w:val="none"/>
        </w:rPr>
      </w:pPr>
      <w:r>
        <w:rPr>
          <w:rFonts w:hint="eastAsia" w:ascii="宋体" w:hAnsi="宋体" w:eastAsia="宋体" w:cs="宋体"/>
          <w:color w:val="auto"/>
          <w:sz w:val="21"/>
          <w:szCs w:val="21"/>
          <w:highlight w:val="none"/>
        </w:rPr>
        <w:t>3、</w:t>
      </w:r>
      <w:r>
        <w:rPr>
          <w:rStyle w:val="16"/>
          <w:rFonts w:hint="eastAsia" w:ascii="宋体" w:hAnsi="宋体" w:eastAsia="宋体" w:cs="宋体"/>
          <w:color w:val="auto"/>
          <w:sz w:val="21"/>
          <w:szCs w:val="21"/>
          <w:highlight w:val="none"/>
        </w:rPr>
        <w:t>“依法缴纳税收证明材料”</w:t>
      </w:r>
      <w:r>
        <w:rPr>
          <w:rFonts w:hint="eastAsia" w:ascii="宋体" w:hAnsi="宋体" w:eastAsia="宋体" w:cs="宋体"/>
          <w:color w:val="auto"/>
          <w:sz w:val="21"/>
          <w:szCs w:val="21"/>
          <w:highlight w:val="none"/>
        </w:rPr>
        <w:t>有欠缴记录的，视为</w:t>
      </w:r>
      <w:r>
        <w:rPr>
          <w:rStyle w:val="16"/>
          <w:rFonts w:hint="eastAsia" w:ascii="宋体" w:hAnsi="宋体" w:eastAsia="宋体" w:cs="宋体"/>
          <w:color w:val="auto"/>
          <w:sz w:val="21"/>
          <w:szCs w:val="21"/>
          <w:highlight w:val="none"/>
        </w:rPr>
        <w:t>未依法缴纳税收。</w:t>
      </w:r>
    </w:p>
    <w:p>
      <w:pPr>
        <w:pStyle w:val="12"/>
        <w:widowControl/>
        <w:rPr>
          <w:color w:val="auto"/>
          <w:highlight w:val="none"/>
        </w:rPr>
      </w:pPr>
      <w:r>
        <w:rPr>
          <w:rFonts w:hint="eastAsia" w:ascii="宋体" w:hAnsi="宋体" w:eastAsia="宋体" w:cs="宋体"/>
          <w:color w:val="auto"/>
          <w:sz w:val="21"/>
          <w:szCs w:val="21"/>
          <w:highlight w:val="none"/>
        </w:rPr>
        <w:t>4、投标人提供的相应证明材料复印件均应符合：内容完整、清晰、整洁，并由投标人加盖其单位公章。</w:t>
      </w:r>
    </w:p>
    <w:p>
      <w:pPr>
        <w:pStyle w:val="12"/>
        <w:widowControl/>
        <w:rPr>
          <w:color w:val="auto"/>
          <w:highlight w:val="none"/>
        </w:rPr>
      </w:pPr>
      <w:r>
        <w:rPr>
          <w:rFonts w:ascii="Calibri" w:hAnsi="Calibri" w:cs="Calibri"/>
          <w:color w:val="auto"/>
          <w:sz w:val="21"/>
          <w:szCs w:val="21"/>
          <w:highlight w:val="none"/>
        </w:rPr>
        <w:t> </w:t>
      </w:r>
    </w:p>
    <w:p>
      <w:pPr>
        <w:pStyle w:val="12"/>
        <w:widowControl/>
        <w:rPr>
          <w:color w:val="auto"/>
          <w:highlight w:val="none"/>
        </w:rPr>
      </w:pPr>
      <w:r>
        <w:rPr>
          <w:rFonts w:ascii="Calibri" w:hAnsi="Calibri" w:cs="Calibri"/>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（全称并加盖单位公章）</w:t>
      </w:r>
    </w:p>
    <w:p>
      <w:pPr>
        <w:pStyle w:val="12"/>
        <w:widowControl/>
        <w:rPr>
          <w:color w:val="auto"/>
          <w:highlight w:val="none"/>
        </w:rPr>
      </w:pPr>
      <w:r>
        <w:rPr>
          <w:rFonts w:hint="eastAsia" w:ascii="宋体" w:hAnsi="宋体" w:eastAsia="宋体" w:cs="宋体"/>
          <w:color w:val="auto"/>
          <w:sz w:val="21"/>
          <w:szCs w:val="21"/>
          <w:highlight w:val="none"/>
        </w:rPr>
        <w:t>投标人代表签字：</w:t>
      </w:r>
      <w:r>
        <w:rPr>
          <w:rFonts w:hint="eastAsia" w:ascii="宋体" w:hAnsi="宋体" w:eastAsia="宋体" w:cs="宋体"/>
          <w:color w:val="auto"/>
          <w:sz w:val="21"/>
          <w:szCs w:val="21"/>
          <w:highlight w:val="none"/>
          <w:u w:val="single"/>
        </w:rPr>
        <w:t>                   </w:t>
      </w:r>
    </w:p>
    <w:p>
      <w:pPr>
        <w:pStyle w:val="12"/>
        <w:widowControl/>
        <w:rPr>
          <w:color w:val="auto"/>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jc w:val="center"/>
        <w:rPr>
          <w:rFonts w:ascii="Calibri" w:hAnsi="Calibri" w:cs="Calibri"/>
          <w:color w:val="auto"/>
          <w:sz w:val="21"/>
          <w:szCs w:val="21"/>
          <w:highlight w:val="none"/>
        </w:rPr>
      </w:pPr>
      <w:r>
        <w:rPr>
          <w:rFonts w:ascii="Calibri" w:hAnsi="Calibri" w:cs="Calibri"/>
          <w:color w:val="auto"/>
          <w:sz w:val="21"/>
          <w:szCs w:val="21"/>
          <w:highlight w:val="none"/>
        </w:rPr>
        <w:br w:type="textWrapping"/>
      </w:r>
    </w:p>
    <w:p>
      <w:pPr>
        <w:rPr>
          <w:rFonts w:ascii="Calibri" w:hAnsi="Calibri" w:cs="Calibri"/>
          <w:color w:val="auto"/>
          <w:szCs w:val="21"/>
          <w:highlight w:val="none"/>
        </w:rPr>
      </w:pPr>
      <w:r>
        <w:rPr>
          <w:rFonts w:ascii="Calibri" w:hAnsi="Calibri" w:cs="Calibri"/>
          <w:color w:val="auto"/>
          <w:szCs w:val="21"/>
          <w:highlight w:val="none"/>
        </w:rPr>
        <w:br w:type="page"/>
      </w:r>
    </w:p>
    <w:p>
      <w:pPr>
        <w:pStyle w:val="12"/>
        <w:widowControl/>
        <w:jc w:val="center"/>
        <w:outlineLvl w:val="3"/>
        <w:rPr>
          <w:color w:val="auto"/>
          <w:highlight w:val="none"/>
        </w:rPr>
      </w:pPr>
      <w:r>
        <w:rPr>
          <w:rStyle w:val="16"/>
          <w:rFonts w:hint="eastAsia" w:ascii="宋体" w:hAnsi="宋体" w:eastAsia="宋体" w:cs="宋体"/>
          <w:color w:val="auto"/>
          <w:sz w:val="21"/>
          <w:szCs w:val="21"/>
          <w:highlight w:val="none"/>
        </w:rPr>
        <w:t>二-5依法缴纳社会保障资金证明材料</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w:t>
      </w:r>
    </w:p>
    <w:p>
      <w:pPr>
        <w:pStyle w:val="12"/>
        <w:widowControl/>
        <w:ind w:firstLine="420"/>
        <w:rPr>
          <w:color w:val="auto"/>
          <w:highlight w:val="none"/>
        </w:rPr>
      </w:pPr>
      <w:r>
        <w:rPr>
          <w:rFonts w:hint="eastAsia" w:ascii="宋体" w:hAnsi="宋体" w:eastAsia="宋体" w:cs="宋体"/>
          <w:color w:val="auto"/>
          <w:sz w:val="21"/>
          <w:szCs w:val="21"/>
          <w:highlight w:val="none"/>
        </w:rPr>
        <w:t>1、依法缴纳社会保障资金的投标人</w:t>
      </w:r>
    </w:p>
    <w:p>
      <w:pPr>
        <w:pStyle w:val="12"/>
        <w:widowControl/>
        <w:ind w:firstLine="420"/>
        <w:rPr>
          <w:color w:val="auto"/>
          <w:highlight w:val="none"/>
        </w:rPr>
      </w:pPr>
      <w:r>
        <w:rPr>
          <w:rFonts w:hint="eastAsia" w:ascii="宋体" w:hAnsi="宋体" w:eastAsia="宋体" w:cs="宋体"/>
          <w:color w:val="auto"/>
          <w:sz w:val="21"/>
          <w:szCs w:val="21"/>
          <w:highlight w:val="none"/>
        </w:rPr>
        <w:t>（ ）法人（包括企业、事业单位和社会团体）的</w:t>
      </w:r>
    </w:p>
    <w:p>
      <w:pPr>
        <w:pStyle w:val="12"/>
        <w:widowControl/>
        <w:ind w:firstLine="420"/>
        <w:rPr>
          <w:color w:val="auto"/>
          <w:highlight w:val="none"/>
        </w:rPr>
      </w:pPr>
      <w:r>
        <w:rPr>
          <w:rFonts w:hint="eastAsia" w:ascii="宋体" w:hAnsi="宋体" w:eastAsia="宋体" w:cs="宋体"/>
          <w:color w:val="auto"/>
          <w:sz w:val="21"/>
          <w:szCs w:val="21"/>
          <w:highlight w:val="none"/>
        </w:rPr>
        <w:t>现附上自</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日我方缴纳的社会保险凭据（限：税务机关/社会保障资金管理机关的专用收据或社会保险缴纳清单，或社会保险的银行缴款收讫凭证）复印件，上述证明材料真实有效，否则我方负全部责任。</w:t>
      </w:r>
    </w:p>
    <w:p>
      <w:pPr>
        <w:pStyle w:val="12"/>
        <w:widowControl/>
        <w:ind w:firstLine="420"/>
        <w:rPr>
          <w:color w:val="auto"/>
          <w:highlight w:val="none"/>
        </w:rPr>
      </w:pPr>
      <w:r>
        <w:rPr>
          <w:rFonts w:hint="eastAsia" w:ascii="宋体" w:hAnsi="宋体" w:eastAsia="宋体" w:cs="宋体"/>
          <w:color w:val="auto"/>
          <w:sz w:val="21"/>
          <w:szCs w:val="21"/>
          <w:highlight w:val="none"/>
        </w:rPr>
        <w:t>（ ）非法人（包括其他组织、自然人）的</w:t>
      </w:r>
    </w:p>
    <w:p>
      <w:pPr>
        <w:pStyle w:val="12"/>
        <w:widowControl/>
        <w:ind w:firstLine="420"/>
        <w:rPr>
          <w:color w:val="auto"/>
          <w:highlight w:val="none"/>
        </w:rPr>
      </w:pPr>
      <w:r>
        <w:rPr>
          <w:rFonts w:hint="eastAsia" w:ascii="宋体" w:hAnsi="宋体" w:eastAsia="宋体" w:cs="宋体"/>
          <w:color w:val="auto"/>
          <w:sz w:val="21"/>
          <w:szCs w:val="21"/>
          <w:highlight w:val="none"/>
        </w:rPr>
        <w:t>自</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日我方缴纳的社会保险凭据（限：税务机关/社会保障资金管理机关的专用收据或社会保险缴纳清单，或社会保险的银行缴款收讫凭证）复印件，上述证明材料真实有效，否则我方负全部责任。</w:t>
      </w:r>
    </w:p>
    <w:p>
      <w:pPr>
        <w:pStyle w:val="12"/>
        <w:widowControl/>
        <w:ind w:firstLine="420"/>
        <w:rPr>
          <w:color w:val="auto"/>
          <w:highlight w:val="none"/>
        </w:rPr>
      </w:pPr>
      <w:r>
        <w:rPr>
          <w:rFonts w:hint="eastAsia" w:ascii="宋体" w:hAnsi="宋体" w:eastAsia="宋体" w:cs="宋体"/>
          <w:color w:val="auto"/>
          <w:sz w:val="21"/>
          <w:szCs w:val="21"/>
          <w:highlight w:val="none"/>
        </w:rPr>
        <w:t>2、依法不需要缴纳社会保障资金的投标人</w:t>
      </w:r>
    </w:p>
    <w:p>
      <w:pPr>
        <w:pStyle w:val="12"/>
        <w:widowControl/>
        <w:ind w:firstLine="420"/>
        <w:rPr>
          <w:color w:val="auto"/>
          <w:highlight w:val="none"/>
        </w:rPr>
      </w:pPr>
      <w:r>
        <w:rPr>
          <w:rFonts w:hint="eastAsia" w:ascii="宋体" w:hAnsi="宋体" w:eastAsia="宋体" w:cs="宋体"/>
          <w:color w:val="auto"/>
          <w:sz w:val="21"/>
          <w:szCs w:val="21"/>
          <w:highlight w:val="none"/>
        </w:rPr>
        <w:t>（ ）现附上我方依法不需要缴纳社会保障资金证明材料复印件，上述证明材料真实有效，否则我方负全部责任。</w:t>
      </w:r>
    </w:p>
    <w:p>
      <w:pPr>
        <w:pStyle w:val="12"/>
        <w:widowControl/>
        <w:rPr>
          <w:color w:val="auto"/>
          <w:highlight w:val="none"/>
        </w:rPr>
      </w:pPr>
      <w:r>
        <w:rPr>
          <w:rFonts w:ascii="Calibri" w:hAnsi="Calibri" w:cs="Calibri"/>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★注意：</w:t>
      </w:r>
    </w:p>
    <w:p>
      <w:pPr>
        <w:pStyle w:val="12"/>
        <w:widowControl/>
        <w:rPr>
          <w:color w:val="auto"/>
          <w:highlight w:val="none"/>
        </w:rPr>
      </w:pPr>
      <w:r>
        <w:rPr>
          <w:rFonts w:hint="eastAsia" w:ascii="宋体" w:hAnsi="宋体" w:eastAsia="宋体" w:cs="宋体"/>
          <w:color w:val="auto"/>
          <w:sz w:val="21"/>
          <w:szCs w:val="21"/>
          <w:highlight w:val="none"/>
        </w:rPr>
        <w:t>1、请投标人按照实际情况编制填写，在相应的（）中打“√”，并按照本格式的要求提供相应证明材料的复印件。</w:t>
      </w:r>
    </w:p>
    <w:p>
      <w:pPr>
        <w:pStyle w:val="12"/>
        <w:widowControl/>
        <w:rPr>
          <w:color w:val="auto"/>
          <w:highlight w:val="none"/>
        </w:rPr>
      </w:pPr>
      <w:r>
        <w:rPr>
          <w:rFonts w:hint="eastAsia" w:ascii="宋体" w:hAnsi="宋体" w:eastAsia="宋体" w:cs="宋体"/>
          <w:color w:val="auto"/>
          <w:sz w:val="21"/>
          <w:szCs w:val="21"/>
          <w:highlight w:val="none"/>
        </w:rPr>
        <w:t>2、投标人提供的社会保险凭据复印件应符合下列规定：</w:t>
      </w:r>
    </w:p>
    <w:p>
      <w:pPr>
        <w:pStyle w:val="12"/>
        <w:widowControl/>
        <w:rPr>
          <w:color w:val="auto"/>
          <w:highlight w:val="none"/>
        </w:rPr>
      </w:pPr>
      <w:r>
        <w:rPr>
          <w:rFonts w:hint="eastAsia" w:ascii="宋体" w:hAnsi="宋体" w:eastAsia="宋体" w:cs="宋体"/>
          <w:color w:val="auto"/>
          <w:sz w:val="21"/>
          <w:szCs w:val="21"/>
          <w:highlight w:val="none"/>
        </w:rPr>
        <w:t>2.1投标截止时间前（不含投标截止时间的当月）已依法缴纳社会保障资金的投标人，提供投标截止时间前六个月（不含投标截止时间的当月）中任一月份的社会保险凭据复印件。</w:t>
      </w:r>
    </w:p>
    <w:p>
      <w:pPr>
        <w:pStyle w:val="12"/>
        <w:widowControl/>
        <w:rPr>
          <w:color w:val="auto"/>
          <w:highlight w:val="none"/>
        </w:rPr>
      </w:pPr>
      <w:r>
        <w:rPr>
          <w:rFonts w:hint="eastAsia" w:ascii="宋体" w:hAnsi="宋体" w:eastAsia="宋体" w:cs="宋体"/>
          <w:color w:val="auto"/>
          <w:sz w:val="21"/>
          <w:szCs w:val="21"/>
          <w:highlight w:val="none"/>
        </w:rPr>
        <w:t>2.2投标截止时间的当月成立且已依法缴纳社会保障资金的投标人，提供投标截止时间当月的社会保险凭据复印件。</w:t>
      </w:r>
    </w:p>
    <w:p>
      <w:pPr>
        <w:pStyle w:val="12"/>
        <w:widowControl/>
        <w:rPr>
          <w:color w:val="auto"/>
          <w:highlight w:val="none"/>
        </w:rPr>
      </w:pPr>
      <w:r>
        <w:rPr>
          <w:rFonts w:hint="eastAsia" w:ascii="宋体" w:hAnsi="宋体" w:eastAsia="宋体" w:cs="宋体"/>
          <w:color w:val="auto"/>
          <w:sz w:val="21"/>
          <w:szCs w:val="21"/>
          <w:highlight w:val="none"/>
        </w:rPr>
        <w:t>2.3投标截止时间的当月成立但因税务机关</w:t>
      </w:r>
      <w:r>
        <w:rPr>
          <w:rFonts w:ascii="Calibri" w:hAnsi="Calibri" w:eastAsia="宋体" w:cs="Calibri"/>
          <w:color w:val="auto"/>
          <w:sz w:val="21"/>
          <w:szCs w:val="21"/>
          <w:highlight w:val="none"/>
        </w:rPr>
        <w:t>/</w:t>
      </w:r>
      <w:r>
        <w:rPr>
          <w:rFonts w:hint="eastAsia" w:ascii="宋体" w:hAnsi="宋体" w:eastAsia="宋体" w:cs="宋体"/>
          <w:color w:val="auto"/>
          <w:sz w:val="21"/>
          <w:szCs w:val="21"/>
          <w:highlight w:val="none"/>
        </w:rPr>
        <w:t>社会保障资金管理机关原因导致其尚未依法缴纳社会保障资金的投标人，提供依法缴纳社会保障资金承诺书原件（格式自拟），该承诺书视同社会保险凭据。</w:t>
      </w:r>
    </w:p>
    <w:p>
      <w:pPr>
        <w:pStyle w:val="12"/>
        <w:widowControl/>
        <w:rPr>
          <w:color w:val="auto"/>
          <w:highlight w:val="none"/>
        </w:rPr>
      </w:pPr>
      <w:r>
        <w:rPr>
          <w:rFonts w:hint="eastAsia" w:ascii="宋体" w:hAnsi="宋体" w:eastAsia="宋体" w:cs="宋体"/>
          <w:color w:val="auto"/>
          <w:sz w:val="21"/>
          <w:szCs w:val="21"/>
          <w:highlight w:val="none"/>
        </w:rPr>
        <w:t>3、</w:t>
      </w:r>
      <w:r>
        <w:rPr>
          <w:rStyle w:val="16"/>
          <w:rFonts w:hint="eastAsia" w:ascii="宋体" w:hAnsi="宋体" w:eastAsia="宋体" w:cs="宋体"/>
          <w:color w:val="auto"/>
          <w:sz w:val="21"/>
          <w:szCs w:val="21"/>
          <w:highlight w:val="none"/>
        </w:rPr>
        <w:t>“依法缴纳社会保障资金证明材料”</w:t>
      </w:r>
      <w:r>
        <w:rPr>
          <w:rFonts w:hint="eastAsia" w:ascii="宋体" w:hAnsi="宋体" w:eastAsia="宋体" w:cs="宋体"/>
          <w:color w:val="auto"/>
          <w:sz w:val="21"/>
          <w:szCs w:val="21"/>
          <w:highlight w:val="none"/>
        </w:rPr>
        <w:t>有欠缴记录的，视为</w:t>
      </w:r>
      <w:r>
        <w:rPr>
          <w:rStyle w:val="16"/>
          <w:rFonts w:hint="eastAsia" w:ascii="宋体" w:hAnsi="宋体" w:eastAsia="宋体" w:cs="宋体"/>
          <w:color w:val="auto"/>
          <w:sz w:val="21"/>
          <w:szCs w:val="21"/>
          <w:highlight w:val="none"/>
        </w:rPr>
        <w:t>未依法缴纳社会保障资金。</w:t>
      </w:r>
    </w:p>
    <w:p>
      <w:pPr>
        <w:pStyle w:val="12"/>
        <w:widowControl/>
        <w:rPr>
          <w:color w:val="auto"/>
          <w:highlight w:val="none"/>
        </w:rPr>
      </w:pPr>
      <w:r>
        <w:rPr>
          <w:rFonts w:hint="eastAsia" w:ascii="宋体" w:hAnsi="宋体" w:eastAsia="宋体" w:cs="宋体"/>
          <w:color w:val="auto"/>
          <w:sz w:val="21"/>
          <w:szCs w:val="21"/>
          <w:highlight w:val="none"/>
        </w:rPr>
        <w:t>4、投标人提供的相应证明材料复印件均应符合：内容完整、清晰、整洁，并由投标人加盖其单位公章。</w:t>
      </w:r>
    </w:p>
    <w:p>
      <w:pPr>
        <w:pStyle w:val="12"/>
        <w:widowControl/>
        <w:rPr>
          <w:color w:val="auto"/>
          <w:highlight w:val="none"/>
        </w:rPr>
      </w:pPr>
      <w:r>
        <w:rPr>
          <w:rFonts w:ascii="Calibri" w:hAnsi="Calibri" w:cs="Calibri"/>
          <w:color w:val="auto"/>
          <w:sz w:val="21"/>
          <w:szCs w:val="21"/>
          <w:highlight w:val="none"/>
        </w:rPr>
        <w:t> </w:t>
      </w:r>
    </w:p>
    <w:p>
      <w:pPr>
        <w:pStyle w:val="12"/>
        <w:widowControl/>
        <w:rPr>
          <w:color w:val="auto"/>
          <w:highlight w:val="none"/>
        </w:rPr>
      </w:pPr>
      <w:r>
        <w:rPr>
          <w:rFonts w:ascii="Calibri" w:hAnsi="Calibri" w:cs="Calibri"/>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（全称并加盖单位公章）</w:t>
      </w:r>
    </w:p>
    <w:p>
      <w:pPr>
        <w:pStyle w:val="12"/>
        <w:widowControl/>
        <w:rPr>
          <w:color w:val="auto"/>
          <w:highlight w:val="none"/>
        </w:rPr>
      </w:pPr>
      <w:r>
        <w:rPr>
          <w:rFonts w:hint="eastAsia" w:ascii="宋体" w:hAnsi="宋体" w:eastAsia="宋体" w:cs="宋体"/>
          <w:color w:val="auto"/>
          <w:sz w:val="21"/>
          <w:szCs w:val="21"/>
          <w:highlight w:val="none"/>
        </w:rPr>
        <w:t>投标人代表签字：</w:t>
      </w:r>
      <w:r>
        <w:rPr>
          <w:rFonts w:hint="eastAsia" w:ascii="宋体" w:hAnsi="宋体" w:eastAsia="宋体" w:cs="宋体"/>
          <w:color w:val="auto"/>
          <w:sz w:val="21"/>
          <w:szCs w:val="21"/>
          <w:highlight w:val="none"/>
          <w:u w:val="single"/>
        </w:rPr>
        <w:t>                   </w:t>
      </w:r>
    </w:p>
    <w:p>
      <w:pPr>
        <w:pStyle w:val="12"/>
        <w:widowControl/>
        <w:rPr>
          <w:color w:val="auto"/>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jc w:val="center"/>
        <w:rPr>
          <w:rFonts w:ascii="Calibri" w:hAnsi="Calibri" w:cs="Calibri"/>
          <w:color w:val="auto"/>
          <w:sz w:val="21"/>
          <w:szCs w:val="21"/>
          <w:highlight w:val="none"/>
        </w:rPr>
      </w:pPr>
      <w:r>
        <w:rPr>
          <w:rFonts w:ascii="Calibri" w:hAnsi="Calibri" w:cs="Calibri"/>
          <w:color w:val="auto"/>
          <w:sz w:val="21"/>
          <w:szCs w:val="21"/>
          <w:highlight w:val="none"/>
        </w:rPr>
        <w:br w:type="textWrapping"/>
      </w:r>
    </w:p>
    <w:p>
      <w:pPr>
        <w:rPr>
          <w:rFonts w:ascii="Calibri" w:hAnsi="Calibri" w:cs="Calibri"/>
          <w:color w:val="auto"/>
          <w:szCs w:val="21"/>
          <w:highlight w:val="none"/>
        </w:rPr>
      </w:pPr>
      <w:r>
        <w:rPr>
          <w:rFonts w:ascii="Calibri" w:hAnsi="Calibri" w:cs="Calibri"/>
          <w:color w:val="auto"/>
          <w:szCs w:val="21"/>
          <w:highlight w:val="none"/>
        </w:rPr>
        <w:br w:type="page"/>
      </w:r>
    </w:p>
    <w:p>
      <w:pPr>
        <w:pStyle w:val="12"/>
        <w:widowControl/>
        <w:jc w:val="center"/>
        <w:outlineLvl w:val="3"/>
        <w:rPr>
          <w:color w:val="auto"/>
          <w:highlight w:val="none"/>
        </w:rPr>
      </w:pPr>
      <w:r>
        <w:rPr>
          <w:rFonts w:hint="eastAsia" w:ascii="宋体" w:hAnsi="宋体" w:eastAsia="宋体" w:cs="宋体"/>
          <w:color w:val="auto"/>
          <w:sz w:val="21"/>
          <w:szCs w:val="21"/>
          <w:highlight w:val="none"/>
        </w:rPr>
        <w:t>二</w:t>
      </w:r>
      <w:r>
        <w:rPr>
          <w:rStyle w:val="16"/>
          <w:rFonts w:hint="eastAsia" w:ascii="宋体" w:hAnsi="宋体" w:eastAsia="宋体" w:cs="宋体"/>
          <w:color w:val="auto"/>
          <w:sz w:val="21"/>
          <w:szCs w:val="21"/>
          <w:highlight w:val="none"/>
        </w:rPr>
        <w:t>-6具备履行合同所必需设备和专业技术能力的声明函（若有）</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w:t>
      </w:r>
    </w:p>
    <w:p>
      <w:pPr>
        <w:pStyle w:val="12"/>
        <w:widowControl/>
        <w:ind w:firstLine="420"/>
        <w:rPr>
          <w:color w:val="auto"/>
          <w:highlight w:val="none"/>
        </w:rPr>
      </w:pPr>
      <w:r>
        <w:rPr>
          <w:rFonts w:hint="eastAsia" w:ascii="宋体" w:hAnsi="宋体" w:eastAsia="宋体" w:cs="宋体"/>
          <w:color w:val="auto"/>
          <w:sz w:val="21"/>
          <w:szCs w:val="21"/>
          <w:highlight w:val="none"/>
        </w:rPr>
        <w:t>我方具备履行合同所必需的设备和专业技术能力，否则产生不利后果由我方承担责任。</w:t>
      </w:r>
    </w:p>
    <w:p>
      <w:pPr>
        <w:pStyle w:val="12"/>
        <w:widowControl/>
        <w:ind w:firstLine="420"/>
        <w:rPr>
          <w:color w:val="auto"/>
          <w:highlight w:val="none"/>
        </w:rPr>
      </w:pPr>
      <w:r>
        <w:rPr>
          <w:rFonts w:hint="eastAsia" w:ascii="宋体" w:hAnsi="宋体" w:eastAsia="宋体" w:cs="宋体"/>
          <w:color w:val="auto"/>
          <w:sz w:val="21"/>
          <w:szCs w:val="21"/>
          <w:highlight w:val="none"/>
        </w:rPr>
        <w:t>特此声明。</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★注意：</w:t>
      </w:r>
    </w:p>
    <w:p>
      <w:pPr>
        <w:pStyle w:val="12"/>
        <w:widowControl/>
        <w:rPr>
          <w:color w:val="auto"/>
          <w:highlight w:val="none"/>
        </w:rPr>
      </w:pPr>
      <w:r>
        <w:rPr>
          <w:rFonts w:hint="eastAsia" w:ascii="宋体" w:hAnsi="宋体" w:eastAsia="宋体" w:cs="宋体"/>
          <w:color w:val="auto"/>
          <w:sz w:val="21"/>
          <w:szCs w:val="21"/>
          <w:highlight w:val="none"/>
        </w:rPr>
        <w:t>1、招标文件未要求投标人提供“具备履行合同所必需的设备和专业技术能力专项证明材料”的，投标人应提供本声明函。</w:t>
      </w:r>
    </w:p>
    <w:p>
      <w:pPr>
        <w:pStyle w:val="12"/>
        <w:widowControl/>
        <w:rPr>
          <w:color w:val="auto"/>
          <w:highlight w:val="none"/>
        </w:rPr>
      </w:pPr>
      <w:r>
        <w:rPr>
          <w:rFonts w:hint="eastAsia" w:ascii="宋体" w:hAnsi="宋体" w:eastAsia="宋体" w:cs="宋体"/>
          <w:color w:val="auto"/>
          <w:sz w:val="21"/>
          <w:szCs w:val="21"/>
          <w:highlight w:val="none"/>
        </w:rPr>
        <w:t>2、招标文件要求投标人提供“具备履行合同所必需的设备和专业技术能力专项证明材料”的，投标人可不提供本声明函。</w:t>
      </w:r>
    </w:p>
    <w:p>
      <w:pPr>
        <w:pStyle w:val="12"/>
        <w:widowControl/>
        <w:rPr>
          <w:color w:val="auto"/>
          <w:highlight w:val="none"/>
        </w:rPr>
      </w:pPr>
      <w:r>
        <w:rPr>
          <w:rFonts w:hint="eastAsia" w:ascii="宋体" w:hAnsi="宋体" w:eastAsia="宋体" w:cs="宋体"/>
          <w:color w:val="auto"/>
          <w:sz w:val="21"/>
          <w:szCs w:val="21"/>
          <w:highlight w:val="none"/>
        </w:rPr>
        <w:t>3、纸质投标文件正本中的本声明函（若有）应为原件。</w:t>
      </w:r>
    </w:p>
    <w:p>
      <w:pPr>
        <w:pStyle w:val="12"/>
        <w:widowControl/>
        <w:rPr>
          <w:color w:val="auto"/>
          <w:highlight w:val="none"/>
        </w:rPr>
      </w:pPr>
      <w:r>
        <w:rPr>
          <w:rFonts w:hint="eastAsia" w:ascii="宋体" w:hAnsi="宋体" w:eastAsia="宋体" w:cs="宋体"/>
          <w:color w:val="auto"/>
          <w:sz w:val="21"/>
          <w:szCs w:val="21"/>
          <w:highlight w:val="none"/>
        </w:rPr>
        <w:t>4、请投标人根据实际情况如实声明，否则</w:t>
      </w:r>
      <w:r>
        <w:rPr>
          <w:rStyle w:val="16"/>
          <w:rFonts w:hint="eastAsia" w:ascii="宋体" w:hAnsi="宋体" w:eastAsia="宋体" w:cs="宋体"/>
          <w:color w:val="auto"/>
          <w:sz w:val="21"/>
          <w:szCs w:val="21"/>
          <w:highlight w:val="none"/>
        </w:rPr>
        <w:t>视为提供虚假材料。</w:t>
      </w:r>
    </w:p>
    <w:p>
      <w:pPr>
        <w:pStyle w:val="12"/>
        <w:widowControl/>
        <w:rPr>
          <w:color w:val="auto"/>
          <w:highlight w:val="none"/>
        </w:rPr>
      </w:pPr>
      <w:r>
        <w:rPr>
          <w:rFonts w:ascii="Calibri" w:hAnsi="Calibri" w:cs="Calibri"/>
          <w:color w:val="auto"/>
          <w:sz w:val="21"/>
          <w:szCs w:val="21"/>
          <w:highlight w:val="none"/>
        </w:rPr>
        <w:t> </w:t>
      </w:r>
    </w:p>
    <w:p>
      <w:pPr>
        <w:pStyle w:val="12"/>
        <w:widowControl/>
        <w:rPr>
          <w:color w:val="auto"/>
          <w:highlight w:val="none"/>
        </w:rPr>
      </w:pPr>
      <w:r>
        <w:rPr>
          <w:rFonts w:ascii="Calibri" w:hAnsi="Calibri" w:cs="Calibri"/>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（全称并加盖单位公章）</w:t>
      </w:r>
    </w:p>
    <w:p>
      <w:pPr>
        <w:pStyle w:val="12"/>
        <w:widowControl/>
        <w:rPr>
          <w:color w:val="auto"/>
          <w:highlight w:val="none"/>
        </w:rPr>
      </w:pPr>
      <w:r>
        <w:rPr>
          <w:rFonts w:hint="eastAsia" w:ascii="宋体" w:hAnsi="宋体" w:eastAsia="宋体" w:cs="宋体"/>
          <w:color w:val="auto"/>
          <w:sz w:val="21"/>
          <w:szCs w:val="21"/>
          <w:highlight w:val="none"/>
        </w:rPr>
        <w:t>投标人代表签字：</w:t>
      </w:r>
      <w:r>
        <w:rPr>
          <w:rFonts w:hint="eastAsia" w:ascii="宋体" w:hAnsi="宋体" w:eastAsia="宋体" w:cs="宋体"/>
          <w:color w:val="auto"/>
          <w:sz w:val="21"/>
          <w:szCs w:val="21"/>
          <w:highlight w:val="none"/>
          <w:u w:val="single"/>
        </w:rPr>
        <w:t>                   </w:t>
      </w:r>
    </w:p>
    <w:p>
      <w:pPr>
        <w:pStyle w:val="12"/>
        <w:widowControl/>
        <w:rPr>
          <w:color w:val="auto"/>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jc w:val="center"/>
        <w:rPr>
          <w:rFonts w:ascii="Calibri" w:hAnsi="Calibri" w:cs="Calibri"/>
          <w:color w:val="auto"/>
          <w:sz w:val="21"/>
          <w:szCs w:val="21"/>
          <w:highlight w:val="none"/>
        </w:rPr>
      </w:pPr>
      <w:r>
        <w:rPr>
          <w:rFonts w:ascii="Calibri" w:hAnsi="Calibri" w:cs="Calibri"/>
          <w:color w:val="auto"/>
          <w:sz w:val="21"/>
          <w:szCs w:val="21"/>
          <w:highlight w:val="none"/>
        </w:rPr>
        <w:br w:type="textWrapping"/>
      </w:r>
    </w:p>
    <w:p>
      <w:pPr>
        <w:rPr>
          <w:rFonts w:ascii="Calibri" w:hAnsi="Calibri" w:cs="Calibri"/>
          <w:color w:val="auto"/>
          <w:szCs w:val="21"/>
          <w:highlight w:val="none"/>
        </w:rPr>
      </w:pPr>
      <w:r>
        <w:rPr>
          <w:rFonts w:ascii="Calibri" w:hAnsi="Calibri" w:cs="Calibri"/>
          <w:color w:val="auto"/>
          <w:szCs w:val="21"/>
          <w:highlight w:val="none"/>
        </w:rPr>
        <w:br w:type="page"/>
      </w:r>
    </w:p>
    <w:p>
      <w:pPr>
        <w:pStyle w:val="12"/>
        <w:widowControl/>
        <w:jc w:val="center"/>
        <w:outlineLvl w:val="3"/>
        <w:rPr>
          <w:color w:val="auto"/>
          <w:highlight w:val="none"/>
        </w:rPr>
      </w:pPr>
      <w:r>
        <w:rPr>
          <w:rFonts w:hint="eastAsia" w:ascii="宋体" w:hAnsi="宋体" w:eastAsia="宋体" w:cs="宋体"/>
          <w:color w:val="auto"/>
          <w:sz w:val="21"/>
          <w:szCs w:val="21"/>
          <w:highlight w:val="none"/>
        </w:rPr>
        <w:t>二</w:t>
      </w:r>
      <w:r>
        <w:rPr>
          <w:rStyle w:val="16"/>
          <w:rFonts w:hint="eastAsia" w:ascii="宋体" w:hAnsi="宋体" w:eastAsia="宋体" w:cs="宋体"/>
          <w:color w:val="auto"/>
          <w:sz w:val="21"/>
          <w:szCs w:val="21"/>
          <w:highlight w:val="none"/>
        </w:rPr>
        <w:t>-7参加</w:t>
      </w:r>
      <w:r>
        <w:rPr>
          <w:rStyle w:val="16"/>
          <w:rFonts w:hint="eastAsia" w:ascii="宋体" w:hAnsi="宋体" w:eastAsia="宋体" w:cs="宋体"/>
          <w:color w:val="auto"/>
          <w:sz w:val="21"/>
          <w:szCs w:val="21"/>
          <w:highlight w:val="none"/>
          <w:lang w:eastAsia="zh-CN"/>
        </w:rPr>
        <w:t>招标</w:t>
      </w:r>
      <w:r>
        <w:rPr>
          <w:rStyle w:val="16"/>
          <w:rFonts w:hint="eastAsia" w:ascii="宋体" w:hAnsi="宋体" w:eastAsia="宋体" w:cs="宋体"/>
          <w:color w:val="auto"/>
          <w:sz w:val="21"/>
          <w:szCs w:val="21"/>
          <w:highlight w:val="none"/>
        </w:rPr>
        <w:t>活动前三年内在经营活动中没有重大违法记录书面声明</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w:t>
      </w:r>
    </w:p>
    <w:p>
      <w:pPr>
        <w:pStyle w:val="12"/>
        <w:widowControl/>
        <w:ind w:firstLine="420"/>
        <w:rPr>
          <w:color w:val="auto"/>
          <w:highlight w:val="none"/>
        </w:rPr>
      </w:pPr>
      <w:r>
        <w:rPr>
          <w:rFonts w:hint="eastAsia" w:ascii="宋体" w:hAnsi="宋体" w:eastAsia="宋体" w:cs="宋体"/>
          <w:color w:val="auto"/>
          <w:sz w:val="21"/>
          <w:szCs w:val="21"/>
          <w:highlight w:val="none"/>
        </w:rPr>
        <w:t>参加</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rPr>
        <w:t>活动前三年内，我方在经营活动中没有重大违法记录，也无行贿犯罪记录，否则产生不利后果由我方承担责任。</w:t>
      </w:r>
    </w:p>
    <w:p>
      <w:pPr>
        <w:pStyle w:val="12"/>
        <w:widowControl/>
        <w:ind w:firstLine="420"/>
        <w:rPr>
          <w:color w:val="auto"/>
          <w:highlight w:val="none"/>
        </w:rPr>
      </w:pPr>
      <w:r>
        <w:rPr>
          <w:rFonts w:hint="eastAsia" w:ascii="宋体" w:hAnsi="宋体" w:eastAsia="宋体" w:cs="宋体"/>
          <w:color w:val="auto"/>
          <w:sz w:val="21"/>
          <w:szCs w:val="21"/>
          <w:highlight w:val="none"/>
        </w:rPr>
        <w:t>特此声明。</w:t>
      </w:r>
    </w:p>
    <w:p>
      <w:pPr>
        <w:pStyle w:val="12"/>
        <w:widowControl/>
        <w:rPr>
          <w:color w:val="auto"/>
          <w:highlight w:val="none"/>
        </w:rPr>
      </w:pPr>
      <w:r>
        <w:rPr>
          <w:rFonts w:ascii="Calibri" w:hAnsi="Calibri" w:cs="Calibri"/>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★注意：</w:t>
      </w:r>
    </w:p>
    <w:p>
      <w:pPr>
        <w:pStyle w:val="12"/>
        <w:widowControl/>
        <w:rPr>
          <w:color w:val="auto"/>
          <w:highlight w:val="none"/>
        </w:rPr>
      </w:pPr>
      <w:r>
        <w:rPr>
          <w:rFonts w:hint="eastAsia" w:ascii="宋体" w:hAnsi="宋体" w:eastAsia="宋体" w:cs="宋体"/>
          <w:color w:val="auto"/>
          <w:sz w:val="21"/>
          <w:szCs w:val="21"/>
          <w:highlight w:val="none"/>
        </w:rPr>
        <w:t>1、“重大违法记录”指投标人因违法经营受到刑事处罚或责令停产停业、吊销许可证或执照、较大数额罚款等行政处罚。</w:t>
      </w:r>
    </w:p>
    <w:p>
      <w:pPr>
        <w:pStyle w:val="12"/>
        <w:widowControl/>
        <w:rPr>
          <w:color w:val="auto"/>
          <w:highlight w:val="none"/>
        </w:rPr>
      </w:pPr>
      <w:r>
        <w:rPr>
          <w:rFonts w:hint="eastAsia" w:ascii="宋体" w:hAnsi="宋体" w:eastAsia="宋体" w:cs="宋体"/>
          <w:color w:val="auto"/>
          <w:sz w:val="21"/>
          <w:szCs w:val="21"/>
          <w:highlight w:val="none"/>
        </w:rPr>
        <w:t>2、纸质投标文件正本中的本声明应为原件。</w:t>
      </w:r>
    </w:p>
    <w:p>
      <w:pPr>
        <w:pStyle w:val="12"/>
        <w:widowControl/>
        <w:rPr>
          <w:color w:val="auto"/>
          <w:highlight w:val="none"/>
        </w:rPr>
      </w:pPr>
      <w:r>
        <w:rPr>
          <w:rFonts w:hint="eastAsia" w:ascii="宋体" w:hAnsi="宋体" w:eastAsia="宋体" w:cs="宋体"/>
          <w:color w:val="auto"/>
          <w:sz w:val="21"/>
          <w:szCs w:val="21"/>
          <w:highlight w:val="none"/>
        </w:rPr>
        <w:t>3、请投标人根据实际情况如实声明，否则</w:t>
      </w:r>
      <w:r>
        <w:rPr>
          <w:rStyle w:val="16"/>
          <w:rFonts w:hint="eastAsia" w:ascii="宋体" w:hAnsi="宋体" w:eastAsia="宋体" w:cs="宋体"/>
          <w:color w:val="auto"/>
          <w:sz w:val="21"/>
          <w:szCs w:val="21"/>
          <w:highlight w:val="none"/>
        </w:rPr>
        <w:t>视为提供虚假材料。</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（全称并加盖单位公章）</w:t>
      </w:r>
    </w:p>
    <w:p>
      <w:pPr>
        <w:pStyle w:val="12"/>
        <w:widowControl/>
        <w:rPr>
          <w:color w:val="auto"/>
          <w:highlight w:val="none"/>
        </w:rPr>
      </w:pPr>
      <w:r>
        <w:rPr>
          <w:rFonts w:hint="eastAsia" w:ascii="宋体" w:hAnsi="宋体" w:eastAsia="宋体" w:cs="宋体"/>
          <w:color w:val="auto"/>
          <w:sz w:val="21"/>
          <w:szCs w:val="21"/>
          <w:highlight w:val="none"/>
        </w:rPr>
        <w:t>投标人代表签字：</w:t>
      </w:r>
      <w:r>
        <w:rPr>
          <w:rFonts w:hint="eastAsia" w:ascii="宋体" w:hAnsi="宋体" w:eastAsia="宋体" w:cs="宋体"/>
          <w:color w:val="auto"/>
          <w:sz w:val="21"/>
          <w:szCs w:val="21"/>
          <w:highlight w:val="none"/>
          <w:u w:val="single"/>
        </w:rPr>
        <w:t>                   </w:t>
      </w:r>
    </w:p>
    <w:p>
      <w:pPr>
        <w:pStyle w:val="12"/>
        <w:widowControl/>
        <w:rPr>
          <w:color w:val="auto"/>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jc w:val="center"/>
        <w:rPr>
          <w:rFonts w:ascii="Calibri" w:hAnsi="Calibri" w:cs="Calibri"/>
          <w:color w:val="auto"/>
          <w:sz w:val="21"/>
          <w:szCs w:val="21"/>
          <w:highlight w:val="none"/>
        </w:rPr>
      </w:pPr>
      <w:r>
        <w:rPr>
          <w:rFonts w:ascii="Calibri" w:hAnsi="Calibri" w:cs="Calibri"/>
          <w:color w:val="auto"/>
          <w:sz w:val="21"/>
          <w:szCs w:val="21"/>
          <w:highlight w:val="none"/>
        </w:rPr>
        <w:br w:type="textWrapping"/>
      </w:r>
    </w:p>
    <w:p>
      <w:pPr>
        <w:rPr>
          <w:rFonts w:ascii="Calibri" w:hAnsi="Calibri" w:cs="Calibri"/>
          <w:color w:val="auto"/>
          <w:szCs w:val="21"/>
          <w:highlight w:val="none"/>
        </w:rPr>
      </w:pPr>
      <w:r>
        <w:rPr>
          <w:rFonts w:ascii="Calibri" w:hAnsi="Calibri" w:cs="Calibri"/>
          <w:color w:val="auto"/>
          <w:szCs w:val="21"/>
          <w:highlight w:val="none"/>
        </w:rPr>
        <w:br w:type="page"/>
      </w:r>
    </w:p>
    <w:p>
      <w:pPr>
        <w:pStyle w:val="12"/>
        <w:widowControl/>
        <w:jc w:val="center"/>
        <w:outlineLvl w:val="3"/>
        <w:rPr>
          <w:color w:val="auto"/>
          <w:highlight w:val="none"/>
        </w:rPr>
      </w:pPr>
      <w:r>
        <w:rPr>
          <w:rFonts w:hint="eastAsia" w:ascii="宋体" w:hAnsi="宋体" w:eastAsia="宋体" w:cs="宋体"/>
          <w:color w:val="auto"/>
          <w:sz w:val="21"/>
          <w:szCs w:val="21"/>
          <w:highlight w:val="none"/>
        </w:rPr>
        <w:t>二</w:t>
      </w:r>
      <w:r>
        <w:rPr>
          <w:rStyle w:val="16"/>
          <w:rFonts w:hint="eastAsia" w:ascii="宋体" w:hAnsi="宋体" w:eastAsia="宋体" w:cs="宋体"/>
          <w:color w:val="auto"/>
          <w:sz w:val="21"/>
          <w:szCs w:val="21"/>
          <w:highlight w:val="none"/>
        </w:rPr>
        <w:t>-8信用记录查询结果</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w:t>
      </w:r>
    </w:p>
    <w:p>
      <w:pPr>
        <w:pStyle w:val="12"/>
        <w:widowControl/>
        <w:ind w:firstLine="420"/>
        <w:rPr>
          <w:color w:val="auto"/>
          <w:highlight w:val="none"/>
        </w:rPr>
      </w:pPr>
      <w:r>
        <w:rPr>
          <w:rFonts w:hint="eastAsia" w:ascii="宋体" w:hAnsi="宋体" w:eastAsia="宋体" w:cs="宋体"/>
          <w:color w:val="auto"/>
          <w:sz w:val="21"/>
          <w:szCs w:val="21"/>
          <w:highlight w:val="none"/>
        </w:rPr>
        <w:t>现附上截至</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时我方通过“信用中国”网站（</w:t>
      </w:r>
      <w:r>
        <w:rPr>
          <w:rFonts w:ascii="Calibri" w:hAnsi="Calibri" w:eastAsia="宋体" w:cs="Calibri"/>
          <w:color w:val="auto"/>
          <w:sz w:val="21"/>
          <w:szCs w:val="21"/>
          <w:highlight w:val="none"/>
        </w:rPr>
        <w:t>www.creditchina.gov.cn</w:t>
      </w:r>
      <w:r>
        <w:rPr>
          <w:rFonts w:hint="eastAsia" w:ascii="宋体" w:hAnsi="宋体" w:eastAsia="宋体" w:cs="宋体"/>
          <w:color w:val="auto"/>
          <w:sz w:val="21"/>
          <w:szCs w:val="21"/>
          <w:highlight w:val="none"/>
        </w:rPr>
        <w:t>）获取的我方信用信息查询结果</w:t>
      </w:r>
      <w:r>
        <w:rPr>
          <w:rFonts w:hint="eastAsia" w:ascii="宋体" w:hAnsi="宋体" w:eastAsia="宋体" w:cs="宋体"/>
          <w:color w:val="auto"/>
          <w:sz w:val="21"/>
          <w:szCs w:val="21"/>
          <w:highlight w:val="none"/>
          <w:u w:val="single"/>
        </w:rPr>
        <w:t>（填写具体份数）</w:t>
      </w:r>
      <w:r>
        <w:rPr>
          <w:rFonts w:hint="eastAsia" w:ascii="宋体" w:hAnsi="宋体" w:eastAsia="宋体" w:cs="宋体"/>
          <w:color w:val="auto"/>
          <w:sz w:val="21"/>
          <w:szCs w:val="21"/>
          <w:highlight w:val="none"/>
        </w:rPr>
        <w:t>份、通过中国政府采购网（www.ccgp.gov.cn）获取的我方信用信息查询结果</w:t>
      </w:r>
      <w:r>
        <w:rPr>
          <w:rFonts w:hint="eastAsia" w:ascii="宋体" w:hAnsi="宋体" w:eastAsia="宋体" w:cs="宋体"/>
          <w:color w:val="auto"/>
          <w:sz w:val="21"/>
          <w:szCs w:val="21"/>
          <w:highlight w:val="none"/>
          <w:u w:val="single"/>
        </w:rPr>
        <w:t>（填写具体份数）</w:t>
      </w:r>
      <w:r>
        <w:rPr>
          <w:rFonts w:hint="eastAsia" w:ascii="宋体" w:hAnsi="宋体" w:eastAsia="宋体" w:cs="宋体"/>
          <w:color w:val="auto"/>
          <w:sz w:val="21"/>
          <w:szCs w:val="21"/>
          <w:highlight w:val="none"/>
        </w:rPr>
        <w:t>份，上述信用信息查询结果真实有效，否则我方负全部责任。</w:t>
      </w:r>
    </w:p>
    <w:p>
      <w:pPr>
        <w:pStyle w:val="12"/>
        <w:widowControl/>
        <w:rPr>
          <w:color w:val="auto"/>
          <w:highlight w:val="none"/>
        </w:rPr>
      </w:pPr>
      <w:r>
        <w:rPr>
          <w:rFonts w:ascii="Calibri" w:hAnsi="Calibri" w:cs="Calibri"/>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★注意：</w:t>
      </w:r>
    </w:p>
    <w:p>
      <w:pPr>
        <w:pStyle w:val="12"/>
        <w:widowControl/>
        <w:rPr>
          <w:color w:val="auto"/>
          <w:highlight w:val="none"/>
        </w:rPr>
      </w:pPr>
      <w:r>
        <w:rPr>
          <w:rFonts w:hint="eastAsia" w:ascii="宋体" w:hAnsi="宋体" w:eastAsia="宋体" w:cs="宋体"/>
          <w:color w:val="auto"/>
          <w:sz w:val="21"/>
          <w:szCs w:val="21"/>
          <w:highlight w:val="none"/>
        </w:rPr>
        <w:t>投标人应在招标文件要求的截止时点前分别通过“信用中国”网站（</w:t>
      </w:r>
      <w:r>
        <w:rPr>
          <w:rFonts w:ascii="Calibri" w:hAnsi="Calibri" w:eastAsia="宋体" w:cs="Calibri"/>
          <w:color w:val="auto"/>
          <w:sz w:val="21"/>
          <w:szCs w:val="21"/>
          <w:highlight w:val="none"/>
        </w:rPr>
        <w:t>www.creditchina.gov.cn</w:t>
      </w:r>
      <w:r>
        <w:rPr>
          <w:rFonts w:hint="eastAsia" w:ascii="宋体" w:hAnsi="宋体" w:eastAsia="宋体" w:cs="宋体"/>
          <w:color w:val="auto"/>
          <w:sz w:val="21"/>
          <w:szCs w:val="21"/>
          <w:highlight w:val="none"/>
        </w:rPr>
        <w:t>）、中国政府采购网（</w:t>
      </w:r>
      <w:r>
        <w:rPr>
          <w:rFonts w:ascii="Calibri" w:hAnsi="Calibri" w:eastAsia="宋体" w:cs="Calibri"/>
          <w:color w:val="auto"/>
          <w:sz w:val="21"/>
          <w:szCs w:val="21"/>
          <w:highlight w:val="none"/>
        </w:rPr>
        <w:t>www.ccgp.gov.cn</w:t>
      </w:r>
      <w:r>
        <w:rPr>
          <w:rFonts w:hint="eastAsia" w:ascii="宋体" w:hAnsi="宋体" w:eastAsia="宋体" w:cs="宋体"/>
          <w:color w:val="auto"/>
          <w:sz w:val="21"/>
          <w:szCs w:val="21"/>
          <w:highlight w:val="none"/>
        </w:rPr>
        <w:t>）查询并打印相应的信用记录，投标人提供的查询结果应为其通过上述网站获取的信用信息查询结果原始页面的打印件（或截图）。</w:t>
      </w:r>
    </w:p>
    <w:p>
      <w:pPr>
        <w:pStyle w:val="12"/>
        <w:widowControl/>
        <w:rPr>
          <w:color w:val="auto"/>
          <w:highlight w:val="none"/>
        </w:rPr>
      </w:pP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（全称并加盖单位公章）</w:t>
      </w:r>
    </w:p>
    <w:p>
      <w:pPr>
        <w:pStyle w:val="12"/>
        <w:widowControl/>
        <w:rPr>
          <w:color w:val="auto"/>
          <w:highlight w:val="none"/>
        </w:rPr>
      </w:pPr>
      <w:r>
        <w:rPr>
          <w:rFonts w:hint="eastAsia" w:ascii="宋体" w:hAnsi="宋体" w:eastAsia="宋体" w:cs="宋体"/>
          <w:color w:val="auto"/>
          <w:sz w:val="21"/>
          <w:szCs w:val="21"/>
          <w:highlight w:val="none"/>
        </w:rPr>
        <w:t>投标人代表签字：</w:t>
      </w:r>
      <w:r>
        <w:rPr>
          <w:rFonts w:hint="eastAsia" w:ascii="宋体" w:hAnsi="宋体" w:eastAsia="宋体" w:cs="宋体"/>
          <w:color w:val="auto"/>
          <w:sz w:val="21"/>
          <w:szCs w:val="21"/>
          <w:highlight w:val="none"/>
          <w:u w:val="single"/>
        </w:rPr>
        <w:t>                   </w:t>
      </w:r>
    </w:p>
    <w:p>
      <w:pPr>
        <w:pStyle w:val="12"/>
        <w:widowControl/>
        <w:rPr>
          <w:color w:val="auto"/>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jc w:val="center"/>
        <w:rPr>
          <w:rStyle w:val="16"/>
          <w:rFonts w:ascii="Calibri" w:hAnsi="Calibri" w:cs="Calibri"/>
          <w:color w:val="auto"/>
          <w:sz w:val="21"/>
          <w:szCs w:val="21"/>
          <w:highlight w:val="none"/>
        </w:rPr>
      </w:pPr>
      <w:r>
        <w:rPr>
          <w:rStyle w:val="16"/>
          <w:rFonts w:ascii="Calibri" w:hAnsi="Calibri" w:cs="Calibri"/>
          <w:color w:val="auto"/>
          <w:sz w:val="21"/>
          <w:szCs w:val="21"/>
          <w:highlight w:val="none"/>
        </w:rPr>
        <w:br w:type="textWrapping"/>
      </w:r>
    </w:p>
    <w:p>
      <w:pPr>
        <w:rPr>
          <w:rStyle w:val="16"/>
          <w:rFonts w:ascii="Calibri" w:hAnsi="Calibri" w:cs="Calibri"/>
          <w:color w:val="auto"/>
          <w:szCs w:val="21"/>
          <w:highlight w:val="none"/>
        </w:rPr>
      </w:pPr>
      <w:r>
        <w:rPr>
          <w:rStyle w:val="16"/>
          <w:rFonts w:ascii="Calibri" w:hAnsi="Calibri" w:cs="Calibri"/>
          <w:color w:val="auto"/>
          <w:szCs w:val="21"/>
          <w:highlight w:val="none"/>
        </w:rPr>
        <w:br w:type="page"/>
      </w:r>
    </w:p>
    <w:p>
      <w:pPr>
        <w:pStyle w:val="12"/>
        <w:widowControl/>
        <w:jc w:val="center"/>
        <w:outlineLvl w:val="3"/>
        <w:rPr>
          <w:color w:val="auto"/>
          <w:highlight w:val="none"/>
        </w:rPr>
      </w:pPr>
      <w:r>
        <w:rPr>
          <w:rStyle w:val="16"/>
          <w:rFonts w:hint="eastAsia" w:ascii="宋体" w:hAnsi="宋体" w:eastAsia="宋体" w:cs="宋体"/>
          <w:color w:val="auto"/>
          <w:sz w:val="21"/>
          <w:szCs w:val="21"/>
          <w:highlight w:val="none"/>
        </w:rPr>
        <w:t>二-9检察机关行贿犯罪档案查询结果告知函（若有）</w:t>
      </w:r>
    </w:p>
    <w:p>
      <w:pPr>
        <w:pStyle w:val="12"/>
        <w:widowControl/>
        <w:rPr>
          <w:color w:val="auto"/>
          <w:highlight w:val="none"/>
        </w:rPr>
      </w:pPr>
      <w:r>
        <w:rPr>
          <w:rFonts w:ascii="Calibri" w:hAnsi="Calibri" w:cs="Calibri"/>
          <w:color w:val="auto"/>
          <w:sz w:val="21"/>
          <w:szCs w:val="21"/>
          <w:highlight w:val="none"/>
        </w:rPr>
        <w:t> </w:t>
      </w:r>
    </w:p>
    <w:p>
      <w:pPr>
        <w:pStyle w:val="12"/>
        <w:widowControl/>
        <w:ind w:firstLine="420"/>
        <w:rPr>
          <w:color w:val="auto"/>
          <w:highlight w:val="none"/>
        </w:rPr>
      </w:pPr>
      <w:r>
        <w:rPr>
          <w:rFonts w:hint="eastAsia" w:ascii="宋体" w:hAnsi="宋体" w:eastAsia="宋体" w:cs="宋体"/>
          <w:color w:val="auto"/>
          <w:sz w:val="21"/>
          <w:szCs w:val="21"/>
          <w:highlight w:val="none"/>
        </w:rPr>
        <w:t>检察机关行贿犯罪档案查询结果告知函（以下简称：“告知函”）由投标人向住所地或业务发生地检察院申请查询，具体以检察院出具的为准。</w:t>
      </w:r>
    </w:p>
    <w:p>
      <w:pPr>
        <w:pStyle w:val="12"/>
        <w:widowControl/>
        <w:rPr>
          <w:color w:val="auto"/>
          <w:highlight w:val="none"/>
        </w:rPr>
      </w:pPr>
      <w:r>
        <w:rPr>
          <w:rFonts w:ascii="Calibri" w:hAnsi="Calibri" w:cs="Calibri"/>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★注意：</w:t>
      </w:r>
    </w:p>
    <w:p>
      <w:pPr>
        <w:pStyle w:val="12"/>
        <w:widowControl/>
        <w:rPr>
          <w:color w:val="auto"/>
          <w:highlight w:val="none"/>
        </w:rPr>
      </w:pPr>
      <w:r>
        <w:rPr>
          <w:rFonts w:hint="eastAsia" w:ascii="宋体" w:hAnsi="宋体" w:eastAsia="宋体" w:cs="宋体"/>
          <w:color w:val="auto"/>
          <w:sz w:val="21"/>
          <w:szCs w:val="21"/>
          <w:highlight w:val="none"/>
        </w:rPr>
        <w:t>1、未提供行贿犯罪档案查询结果或查询结果表明投标人有行贿犯罪记录的，</w:t>
      </w:r>
      <w:r>
        <w:rPr>
          <w:rStyle w:val="16"/>
          <w:rFonts w:hint="eastAsia" w:ascii="宋体" w:hAnsi="宋体" w:eastAsia="宋体" w:cs="宋体"/>
          <w:color w:val="auto"/>
          <w:sz w:val="21"/>
          <w:szCs w:val="21"/>
          <w:highlight w:val="none"/>
        </w:rPr>
        <w:t>投标无效。</w:t>
      </w:r>
    </w:p>
    <w:p>
      <w:pPr>
        <w:pStyle w:val="12"/>
        <w:widowControl/>
        <w:rPr>
          <w:color w:val="auto"/>
          <w:highlight w:val="none"/>
        </w:rPr>
      </w:pPr>
      <w:r>
        <w:rPr>
          <w:rFonts w:hint="eastAsia" w:ascii="宋体" w:hAnsi="宋体" w:eastAsia="宋体" w:cs="宋体"/>
          <w:color w:val="auto"/>
          <w:sz w:val="21"/>
          <w:szCs w:val="21"/>
          <w:highlight w:val="none"/>
        </w:rPr>
        <w:t>2、若从检察机关指定网站下载打印或截图告知函，则告知函应为从前述指定网站获取的查询结果原始页面的打印件（或截图），否则</w:t>
      </w:r>
      <w:r>
        <w:rPr>
          <w:rStyle w:val="16"/>
          <w:rFonts w:hint="eastAsia" w:ascii="宋体" w:hAnsi="宋体" w:eastAsia="宋体" w:cs="宋体"/>
          <w:color w:val="auto"/>
          <w:sz w:val="21"/>
          <w:szCs w:val="21"/>
          <w:highlight w:val="none"/>
        </w:rPr>
        <w:t>投标无效。</w:t>
      </w:r>
    </w:p>
    <w:p>
      <w:pPr>
        <w:pStyle w:val="12"/>
        <w:widowControl/>
        <w:rPr>
          <w:color w:val="auto"/>
          <w:highlight w:val="none"/>
        </w:rPr>
      </w:pPr>
      <w:r>
        <w:rPr>
          <w:rFonts w:hint="eastAsia" w:ascii="宋体" w:hAnsi="宋体" w:eastAsia="宋体" w:cs="宋体"/>
          <w:color w:val="auto"/>
          <w:sz w:val="21"/>
          <w:szCs w:val="21"/>
          <w:highlight w:val="none"/>
        </w:rPr>
        <w:t>3、告知函应在有效期内且内容完整、清晰、整洁，否则</w:t>
      </w:r>
      <w:r>
        <w:rPr>
          <w:rStyle w:val="16"/>
          <w:rFonts w:hint="eastAsia" w:ascii="宋体" w:hAnsi="宋体" w:eastAsia="宋体" w:cs="宋体"/>
          <w:color w:val="auto"/>
          <w:sz w:val="21"/>
          <w:szCs w:val="21"/>
          <w:highlight w:val="none"/>
        </w:rPr>
        <w:t>投标无效。</w:t>
      </w:r>
    </w:p>
    <w:p>
      <w:pPr>
        <w:pStyle w:val="12"/>
        <w:widowControl/>
        <w:rPr>
          <w:color w:val="auto"/>
          <w:highlight w:val="none"/>
        </w:rPr>
      </w:pPr>
      <w:r>
        <w:rPr>
          <w:rFonts w:hint="eastAsia" w:ascii="宋体" w:hAnsi="宋体" w:eastAsia="宋体" w:cs="宋体"/>
          <w:color w:val="auto"/>
          <w:sz w:val="21"/>
          <w:szCs w:val="21"/>
          <w:highlight w:val="none"/>
        </w:rPr>
        <w:t>4、有效期内的告知函复印件（含扫描件）及符合招标文件第七章规定的打印件（或截图），无论内容中是否注明“复印件无效”，</w:t>
      </w:r>
      <w:r>
        <w:rPr>
          <w:rStyle w:val="16"/>
          <w:rFonts w:hint="eastAsia" w:ascii="宋体" w:hAnsi="宋体" w:eastAsia="宋体" w:cs="宋体"/>
          <w:color w:val="auto"/>
          <w:sz w:val="21"/>
          <w:szCs w:val="21"/>
          <w:highlight w:val="none"/>
        </w:rPr>
        <w:t>均视同有效。</w:t>
      </w:r>
    </w:p>
    <w:p>
      <w:pPr>
        <w:pStyle w:val="12"/>
        <w:widowControl/>
        <w:rPr>
          <w:color w:val="auto"/>
          <w:highlight w:val="none"/>
        </w:rPr>
      </w:pPr>
      <w:r>
        <w:rPr>
          <w:rFonts w:hint="eastAsia" w:ascii="宋体" w:hAnsi="宋体" w:eastAsia="宋体" w:cs="宋体"/>
          <w:color w:val="auto"/>
          <w:sz w:val="21"/>
          <w:szCs w:val="21"/>
          <w:highlight w:val="none"/>
        </w:rPr>
        <w:t>5、无法获取有效期内检察机关行贿犯罪档案查询结果告知函的，应在《参加</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rPr>
        <w:t>活动前三年内在经营活动中没有重大违法记录书面声明》中对近三年无行贿犯罪记录进行声明。</w:t>
      </w:r>
    </w:p>
    <w:p>
      <w:pPr>
        <w:pStyle w:val="12"/>
        <w:widowControl/>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br w:type="textWrapping"/>
      </w:r>
    </w:p>
    <w:p>
      <w:pPr>
        <w:rPr>
          <w:rFonts w:ascii="宋体" w:hAnsi="宋体" w:eastAsia="宋体" w:cs="宋体"/>
          <w:color w:val="auto"/>
          <w:szCs w:val="21"/>
          <w:highlight w:val="none"/>
        </w:rPr>
      </w:pPr>
      <w:r>
        <w:rPr>
          <w:rFonts w:hint="eastAsia" w:ascii="宋体" w:hAnsi="宋体" w:eastAsia="宋体" w:cs="宋体"/>
          <w:color w:val="auto"/>
          <w:szCs w:val="21"/>
          <w:highlight w:val="none"/>
        </w:rPr>
        <w:br w:type="page"/>
      </w:r>
    </w:p>
    <w:p>
      <w:pPr>
        <w:pStyle w:val="12"/>
        <w:widowControl/>
        <w:jc w:val="center"/>
        <w:outlineLvl w:val="3"/>
        <w:rPr>
          <w:color w:val="auto"/>
          <w:highlight w:val="none"/>
        </w:rPr>
      </w:pPr>
      <w:r>
        <w:rPr>
          <w:rStyle w:val="16"/>
          <w:rFonts w:hint="eastAsia" w:ascii="宋体" w:hAnsi="宋体" w:eastAsia="宋体" w:cs="宋体"/>
          <w:color w:val="auto"/>
          <w:sz w:val="21"/>
          <w:szCs w:val="21"/>
          <w:highlight w:val="none"/>
        </w:rPr>
        <w:t>二-10联合体协议（若有）</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w:t>
      </w:r>
    </w:p>
    <w:p>
      <w:pPr>
        <w:pStyle w:val="12"/>
        <w:widowControl/>
        <w:ind w:firstLine="420"/>
        <w:rPr>
          <w:color w:val="auto"/>
          <w:highlight w:val="none"/>
        </w:rPr>
      </w:pPr>
      <w:r>
        <w:rPr>
          <w:rFonts w:hint="eastAsia" w:ascii="宋体" w:hAnsi="宋体" w:eastAsia="宋体" w:cs="宋体"/>
          <w:color w:val="auto"/>
          <w:sz w:val="21"/>
          <w:szCs w:val="21"/>
          <w:highlight w:val="none"/>
        </w:rPr>
        <w:t>兹有</w:t>
      </w:r>
      <w:r>
        <w:rPr>
          <w:rFonts w:hint="eastAsia" w:ascii="宋体" w:hAnsi="宋体" w:eastAsia="宋体" w:cs="宋体"/>
          <w:color w:val="auto"/>
          <w:sz w:val="21"/>
          <w:szCs w:val="21"/>
          <w:highlight w:val="none"/>
          <w:u w:val="single"/>
        </w:rPr>
        <w:t>（填写“联合体中各方的全称”，各方的全称之间请用“、”分割）</w:t>
      </w:r>
      <w:r>
        <w:rPr>
          <w:rFonts w:hint="eastAsia" w:ascii="宋体" w:hAnsi="宋体" w:eastAsia="宋体" w:cs="宋体"/>
          <w:color w:val="auto"/>
          <w:sz w:val="21"/>
          <w:szCs w:val="21"/>
          <w:highlight w:val="none"/>
        </w:rPr>
        <w:t>自愿组成联合体，共同参加</w:t>
      </w:r>
      <w:r>
        <w:rPr>
          <w:rFonts w:hint="eastAsia" w:ascii="宋体" w:hAnsi="宋体" w:eastAsia="宋体" w:cs="宋体"/>
          <w:color w:val="auto"/>
          <w:sz w:val="21"/>
          <w:szCs w:val="21"/>
          <w:highlight w:val="none"/>
          <w:u w:val="single"/>
        </w:rPr>
        <w:t xml:space="preserve">（填写“项目名称”） </w:t>
      </w:r>
      <w:r>
        <w:rPr>
          <w:rFonts w:hint="eastAsia" w:ascii="宋体" w:hAnsi="宋体" w:eastAsia="宋体" w:cs="宋体"/>
          <w:color w:val="auto"/>
          <w:sz w:val="21"/>
          <w:szCs w:val="21"/>
          <w:highlight w:val="none"/>
        </w:rPr>
        <w:t>项目（招标编号：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）的投标。现就联合体参加本项目投标的有关事宜达成下列协议：</w:t>
      </w:r>
    </w:p>
    <w:p>
      <w:pPr>
        <w:pStyle w:val="12"/>
        <w:widowControl/>
        <w:ind w:firstLine="420"/>
        <w:rPr>
          <w:color w:val="auto"/>
          <w:highlight w:val="none"/>
        </w:rPr>
      </w:pPr>
      <w:r>
        <w:rPr>
          <w:rFonts w:hint="eastAsia" w:ascii="宋体" w:hAnsi="宋体" w:eastAsia="宋体" w:cs="宋体"/>
          <w:color w:val="auto"/>
          <w:sz w:val="21"/>
          <w:szCs w:val="21"/>
          <w:highlight w:val="none"/>
        </w:rPr>
        <w:t>一、联合体各方应承担的工作和义务具体如下：</w:t>
      </w:r>
    </w:p>
    <w:p>
      <w:pPr>
        <w:pStyle w:val="12"/>
        <w:widowControl/>
        <w:ind w:firstLine="420"/>
        <w:rPr>
          <w:color w:val="auto"/>
          <w:highlight w:val="none"/>
        </w:rPr>
      </w:pPr>
      <w:r>
        <w:rPr>
          <w:rFonts w:hint="eastAsia" w:ascii="宋体" w:hAnsi="宋体" w:eastAsia="宋体" w:cs="宋体"/>
          <w:color w:val="auto"/>
          <w:sz w:val="21"/>
          <w:szCs w:val="21"/>
          <w:highlight w:val="none"/>
        </w:rPr>
        <w:t>1、牵头方（</w:t>
      </w:r>
      <w:r>
        <w:rPr>
          <w:rFonts w:hint="eastAsia" w:ascii="宋体" w:hAnsi="宋体" w:eastAsia="宋体" w:cs="宋体"/>
          <w:color w:val="auto"/>
          <w:sz w:val="21"/>
          <w:szCs w:val="21"/>
          <w:highlight w:val="none"/>
          <w:u w:val="single"/>
        </w:rPr>
        <w:t>全称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（填写“工作及义务的具体内容”） </w:t>
      </w:r>
      <w:r>
        <w:rPr>
          <w:rFonts w:hint="eastAsia" w:ascii="宋体" w:hAnsi="宋体" w:eastAsia="宋体" w:cs="宋体"/>
          <w:color w:val="auto"/>
          <w:sz w:val="21"/>
          <w:szCs w:val="21"/>
          <w:highlight w:val="none"/>
        </w:rPr>
        <w:t>；</w:t>
      </w:r>
    </w:p>
    <w:p>
      <w:pPr>
        <w:pStyle w:val="12"/>
        <w:widowControl/>
        <w:ind w:firstLine="420"/>
        <w:rPr>
          <w:color w:val="auto"/>
          <w:highlight w:val="none"/>
        </w:rPr>
      </w:pPr>
      <w:r>
        <w:rPr>
          <w:rFonts w:hint="eastAsia" w:ascii="宋体" w:hAnsi="宋体" w:eastAsia="宋体" w:cs="宋体"/>
          <w:color w:val="auto"/>
          <w:sz w:val="21"/>
          <w:szCs w:val="21"/>
          <w:highlight w:val="none"/>
        </w:rPr>
        <w:t>2、成员方：</w:t>
      </w:r>
    </w:p>
    <w:p>
      <w:pPr>
        <w:pStyle w:val="12"/>
        <w:widowControl/>
        <w:ind w:firstLine="420"/>
        <w:rPr>
          <w:color w:val="auto"/>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u w:val="single"/>
        </w:rPr>
        <w:t>（成员一的全称）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（填写“工作及义务的具体内容”） </w:t>
      </w:r>
      <w:r>
        <w:rPr>
          <w:rFonts w:hint="eastAsia" w:ascii="宋体" w:hAnsi="宋体" w:eastAsia="宋体" w:cs="宋体"/>
          <w:color w:val="auto"/>
          <w:sz w:val="21"/>
          <w:szCs w:val="21"/>
          <w:highlight w:val="none"/>
        </w:rPr>
        <w:t>；</w:t>
      </w:r>
    </w:p>
    <w:p>
      <w:pPr>
        <w:pStyle w:val="12"/>
        <w:widowControl/>
        <w:ind w:firstLine="420"/>
        <w:rPr>
          <w:color w:val="auto"/>
          <w:highlight w:val="none"/>
        </w:rPr>
      </w:pPr>
      <w:r>
        <w:rPr>
          <w:rFonts w:ascii="Calibri" w:hAnsi="Calibri" w:cs="Calibri"/>
          <w:color w:val="auto"/>
          <w:sz w:val="21"/>
          <w:szCs w:val="21"/>
          <w:highlight w:val="none"/>
        </w:rPr>
        <w:t>……</w:t>
      </w:r>
      <w:r>
        <w:rPr>
          <w:rFonts w:hint="eastAsia" w:ascii="宋体" w:hAnsi="宋体" w:eastAsia="宋体" w:cs="宋体"/>
          <w:color w:val="auto"/>
          <w:sz w:val="21"/>
          <w:szCs w:val="21"/>
          <w:highlight w:val="none"/>
        </w:rPr>
        <w:t>。</w:t>
      </w:r>
    </w:p>
    <w:p>
      <w:pPr>
        <w:pStyle w:val="12"/>
        <w:widowControl/>
        <w:ind w:firstLine="420"/>
        <w:rPr>
          <w:color w:val="auto"/>
          <w:highlight w:val="none"/>
        </w:rPr>
      </w:pPr>
      <w:r>
        <w:rPr>
          <w:rFonts w:hint="eastAsia" w:ascii="宋体" w:hAnsi="宋体" w:eastAsia="宋体" w:cs="宋体"/>
          <w:color w:val="auto"/>
          <w:sz w:val="21"/>
          <w:szCs w:val="21"/>
          <w:highlight w:val="none"/>
        </w:rPr>
        <w:t>二、联合体各方约定：</w:t>
      </w:r>
    </w:p>
    <w:p>
      <w:pPr>
        <w:pStyle w:val="12"/>
        <w:widowControl/>
        <w:ind w:firstLine="420"/>
        <w:rPr>
          <w:color w:val="auto"/>
          <w:highlight w:val="none"/>
        </w:rPr>
      </w:pPr>
      <w:r>
        <w:rPr>
          <w:rFonts w:hint="eastAsia" w:ascii="宋体" w:hAnsi="宋体" w:eastAsia="宋体" w:cs="宋体"/>
          <w:color w:val="auto"/>
          <w:sz w:val="21"/>
          <w:szCs w:val="21"/>
          <w:highlight w:val="none"/>
        </w:rPr>
        <w:t>1、由</w:t>
      </w:r>
      <w:r>
        <w:rPr>
          <w:rFonts w:hint="eastAsia" w:ascii="宋体" w:hAnsi="宋体" w:eastAsia="宋体" w:cs="宋体"/>
          <w:color w:val="auto"/>
          <w:sz w:val="21"/>
          <w:szCs w:val="21"/>
          <w:highlight w:val="none"/>
          <w:u w:val="single"/>
        </w:rPr>
        <w:t>（填写“牵头方的全称”）</w:t>
      </w:r>
      <w:r>
        <w:rPr>
          <w:rFonts w:hint="eastAsia" w:ascii="宋体" w:hAnsi="宋体" w:eastAsia="宋体" w:cs="宋体"/>
          <w:color w:val="auto"/>
          <w:sz w:val="21"/>
          <w:szCs w:val="21"/>
          <w:highlight w:val="none"/>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pPr>
        <w:pStyle w:val="12"/>
        <w:widowControl/>
        <w:ind w:firstLine="420"/>
        <w:rPr>
          <w:color w:val="auto"/>
          <w:highlight w:val="none"/>
        </w:rPr>
      </w:pPr>
      <w:r>
        <w:rPr>
          <w:rFonts w:hint="eastAsia" w:ascii="宋体" w:hAnsi="宋体" w:eastAsia="宋体" w:cs="宋体"/>
          <w:color w:val="auto"/>
          <w:sz w:val="21"/>
          <w:szCs w:val="21"/>
          <w:highlight w:val="none"/>
        </w:rPr>
        <w:t>2、联合体各方约定由</w:t>
      </w:r>
      <w:r>
        <w:rPr>
          <w:rFonts w:hint="eastAsia" w:ascii="宋体" w:hAnsi="宋体" w:eastAsia="宋体" w:cs="宋体"/>
          <w:color w:val="auto"/>
          <w:sz w:val="21"/>
          <w:szCs w:val="21"/>
          <w:highlight w:val="none"/>
          <w:u w:val="single"/>
        </w:rPr>
        <w:t>（填写“牵头方的全称”）</w:t>
      </w:r>
      <w:r>
        <w:rPr>
          <w:rFonts w:hint="eastAsia" w:ascii="宋体" w:hAnsi="宋体" w:eastAsia="宋体" w:cs="宋体"/>
          <w:color w:val="auto"/>
          <w:sz w:val="21"/>
          <w:szCs w:val="21"/>
          <w:highlight w:val="none"/>
        </w:rPr>
        <w:t>代表联合体办理投标保证金事宜。</w:t>
      </w:r>
    </w:p>
    <w:p>
      <w:pPr>
        <w:pStyle w:val="12"/>
        <w:widowControl/>
        <w:rPr>
          <w:color w:val="auto"/>
          <w:highlight w:val="none"/>
        </w:rPr>
      </w:pPr>
      <w:r>
        <w:rPr>
          <w:rFonts w:hint="eastAsia" w:ascii="宋体" w:hAnsi="宋体" w:eastAsia="宋体" w:cs="宋体"/>
          <w:color w:val="auto"/>
          <w:sz w:val="21"/>
          <w:szCs w:val="21"/>
          <w:highlight w:val="none"/>
        </w:rPr>
        <w:t>  3、根据福建省财政厅文件（闽财购[2008]10号）的规定，若本项目采用综合评分法，则联合体只能确定由其中一方的条件参与商务部分的评标。因此，联合体各方约定以</w:t>
      </w:r>
      <w:r>
        <w:rPr>
          <w:rFonts w:hint="eastAsia" w:ascii="宋体" w:hAnsi="宋体" w:eastAsia="宋体" w:cs="宋体"/>
          <w:color w:val="auto"/>
          <w:sz w:val="21"/>
          <w:szCs w:val="21"/>
          <w:highlight w:val="none"/>
          <w:u w:val="single"/>
        </w:rPr>
        <w:t>（应填写“其中一方的全称”，如：联合体确定以成员一的条件参与商务部分的评标，则填写“成员一的全称”…；否则填写“无”）</w:t>
      </w:r>
      <w:r>
        <w:rPr>
          <w:rFonts w:hint="eastAsia" w:ascii="宋体" w:hAnsi="宋体" w:eastAsia="宋体" w:cs="宋体"/>
          <w:color w:val="auto"/>
          <w:sz w:val="21"/>
          <w:szCs w:val="21"/>
          <w:highlight w:val="none"/>
        </w:rPr>
        <w:t>的条件参与商务部分的评标。</w:t>
      </w:r>
    </w:p>
    <w:p>
      <w:pPr>
        <w:pStyle w:val="12"/>
        <w:widowControl/>
        <w:ind w:firstLine="420"/>
        <w:rPr>
          <w:color w:val="auto"/>
          <w:highlight w:val="none"/>
        </w:rPr>
      </w:pPr>
      <w:r>
        <w:rPr>
          <w:rFonts w:hint="eastAsia" w:ascii="宋体" w:hAnsi="宋体" w:eastAsia="宋体" w:cs="宋体"/>
          <w:color w:val="auto"/>
          <w:sz w:val="21"/>
          <w:szCs w:val="21"/>
          <w:highlight w:val="none"/>
        </w:rPr>
        <w:t>三、若中标，牵头方将代表联合体与</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就合同签订事宜进行协商；若协商一致，则联合体各方将共同与</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签订</w:t>
      </w:r>
      <w:r>
        <w:rPr>
          <w:rFonts w:hint="eastAsia" w:ascii="宋体" w:hAnsi="宋体" w:eastAsia="宋体" w:cs="宋体"/>
          <w:color w:val="auto"/>
          <w:sz w:val="21"/>
          <w:szCs w:val="21"/>
          <w:highlight w:val="none"/>
          <w:lang w:eastAsia="zh-CN"/>
        </w:rPr>
        <w:t>承包合同</w:t>
      </w:r>
      <w:r>
        <w:rPr>
          <w:rFonts w:hint="eastAsia" w:ascii="宋体" w:hAnsi="宋体" w:eastAsia="宋体" w:cs="宋体"/>
          <w:color w:val="auto"/>
          <w:sz w:val="21"/>
          <w:szCs w:val="21"/>
          <w:highlight w:val="none"/>
        </w:rPr>
        <w:t>，并就</w:t>
      </w:r>
      <w:r>
        <w:rPr>
          <w:rFonts w:hint="eastAsia" w:ascii="宋体" w:hAnsi="宋体" w:eastAsia="宋体" w:cs="宋体"/>
          <w:color w:val="auto"/>
          <w:sz w:val="21"/>
          <w:szCs w:val="21"/>
          <w:highlight w:val="none"/>
          <w:lang w:eastAsia="zh-CN"/>
        </w:rPr>
        <w:t>承包合同</w:t>
      </w:r>
      <w:r>
        <w:rPr>
          <w:rFonts w:hint="eastAsia" w:ascii="宋体" w:hAnsi="宋体" w:eastAsia="宋体" w:cs="宋体"/>
          <w:color w:val="auto"/>
          <w:sz w:val="21"/>
          <w:szCs w:val="21"/>
          <w:highlight w:val="none"/>
        </w:rPr>
        <w:t>约定的事项对</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承担连带责任。</w:t>
      </w:r>
    </w:p>
    <w:p>
      <w:pPr>
        <w:pStyle w:val="12"/>
        <w:widowControl/>
        <w:ind w:firstLine="420"/>
        <w:rPr>
          <w:color w:val="auto"/>
          <w:highlight w:val="none"/>
        </w:rPr>
      </w:pPr>
      <w:r>
        <w:rPr>
          <w:rFonts w:hint="eastAsia" w:ascii="宋体" w:hAnsi="宋体" w:eastAsia="宋体" w:cs="宋体"/>
          <w:color w:val="auto"/>
          <w:sz w:val="21"/>
          <w:szCs w:val="21"/>
          <w:highlight w:val="none"/>
        </w:rPr>
        <w:t>四、本协议自签署之日起生效，</w:t>
      </w:r>
      <w:r>
        <w:rPr>
          <w:rFonts w:hint="eastAsia" w:ascii="宋体" w:hAnsi="宋体" w:eastAsia="宋体" w:cs="宋体"/>
          <w:color w:val="auto"/>
          <w:sz w:val="21"/>
          <w:szCs w:val="21"/>
          <w:highlight w:val="none"/>
          <w:lang w:eastAsia="zh-CN"/>
        </w:rPr>
        <w:t>承包合同</w:t>
      </w:r>
      <w:r>
        <w:rPr>
          <w:rFonts w:hint="eastAsia" w:ascii="宋体" w:hAnsi="宋体" w:eastAsia="宋体" w:cs="宋体"/>
          <w:color w:val="auto"/>
          <w:sz w:val="21"/>
          <w:szCs w:val="21"/>
          <w:highlight w:val="none"/>
        </w:rPr>
        <w:t>履行完毕后自动失效。</w:t>
      </w:r>
    </w:p>
    <w:p>
      <w:pPr>
        <w:pStyle w:val="12"/>
        <w:widowControl/>
        <w:ind w:firstLine="420"/>
        <w:rPr>
          <w:color w:val="auto"/>
          <w:highlight w:val="none"/>
        </w:rPr>
      </w:pPr>
      <w:r>
        <w:rPr>
          <w:rFonts w:hint="eastAsia" w:ascii="宋体" w:hAnsi="宋体" w:eastAsia="宋体" w:cs="宋体"/>
          <w:color w:val="auto"/>
          <w:sz w:val="21"/>
          <w:szCs w:val="21"/>
          <w:highlight w:val="none"/>
        </w:rPr>
        <w:t>五、本协议一式</w:t>
      </w:r>
      <w:r>
        <w:rPr>
          <w:rFonts w:hint="eastAsia" w:ascii="宋体" w:hAnsi="宋体" w:eastAsia="宋体" w:cs="宋体"/>
          <w:color w:val="auto"/>
          <w:sz w:val="21"/>
          <w:szCs w:val="21"/>
          <w:highlight w:val="none"/>
          <w:u w:val="single"/>
        </w:rPr>
        <w:t>（填写具体份数）</w:t>
      </w:r>
      <w:r>
        <w:rPr>
          <w:rFonts w:hint="eastAsia" w:ascii="宋体" w:hAnsi="宋体" w:eastAsia="宋体" w:cs="宋体"/>
          <w:color w:val="auto"/>
          <w:sz w:val="21"/>
          <w:szCs w:val="21"/>
          <w:highlight w:val="none"/>
        </w:rPr>
        <w:t>份，联合体各方各执一份，投标文件中提交一份。</w:t>
      </w:r>
    </w:p>
    <w:p>
      <w:pPr>
        <w:pStyle w:val="12"/>
        <w:widowControl/>
        <w:jc w:val="center"/>
        <w:rPr>
          <w:color w:val="auto"/>
          <w:highlight w:val="none"/>
        </w:rPr>
      </w:pPr>
      <w:r>
        <w:rPr>
          <w:rFonts w:hint="eastAsia" w:ascii="宋体" w:hAnsi="宋体" w:eastAsia="宋体" w:cs="宋体"/>
          <w:color w:val="auto"/>
          <w:sz w:val="21"/>
          <w:szCs w:val="21"/>
          <w:highlight w:val="none"/>
        </w:rPr>
        <w:t>（以下无正文）</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牵头方：</w:t>
      </w:r>
      <w:r>
        <w:rPr>
          <w:rFonts w:hint="eastAsia" w:ascii="宋体" w:hAnsi="宋体" w:eastAsia="宋体" w:cs="宋体"/>
          <w:color w:val="auto"/>
          <w:sz w:val="21"/>
          <w:szCs w:val="21"/>
          <w:highlight w:val="none"/>
          <w:u w:val="single"/>
        </w:rPr>
        <w:t>（全称并加盖单位公章）</w:t>
      </w:r>
    </w:p>
    <w:p>
      <w:pPr>
        <w:pStyle w:val="12"/>
        <w:widowControl/>
        <w:rPr>
          <w:color w:val="auto"/>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  （签字或盖章）  </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成员一：</w:t>
      </w:r>
      <w:r>
        <w:rPr>
          <w:rFonts w:hint="eastAsia" w:ascii="宋体" w:hAnsi="宋体" w:eastAsia="宋体" w:cs="宋体"/>
          <w:color w:val="auto"/>
          <w:sz w:val="21"/>
          <w:szCs w:val="21"/>
          <w:highlight w:val="none"/>
          <w:u w:val="single"/>
        </w:rPr>
        <w:t>（全称并加盖成员一的单位公章）</w:t>
      </w:r>
    </w:p>
    <w:p>
      <w:pPr>
        <w:pStyle w:val="12"/>
        <w:widowControl/>
        <w:rPr>
          <w:color w:val="auto"/>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  （签字或盖章）  </w:t>
      </w:r>
    </w:p>
    <w:p>
      <w:pPr>
        <w:pStyle w:val="12"/>
        <w:widowControl/>
        <w:rPr>
          <w:color w:val="auto"/>
          <w:highlight w:val="none"/>
        </w:rPr>
      </w:pPr>
      <w:r>
        <w:rPr>
          <w:rFonts w:hint="eastAsia" w:ascii="宋体" w:hAnsi="宋体" w:eastAsia="宋体" w:cs="宋体"/>
          <w:color w:val="auto"/>
          <w:sz w:val="21"/>
          <w:szCs w:val="21"/>
          <w:highlight w:val="none"/>
        </w:rPr>
        <w:t>……</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成员**：</w:t>
      </w:r>
      <w:r>
        <w:rPr>
          <w:rFonts w:hint="eastAsia" w:ascii="宋体" w:hAnsi="宋体" w:eastAsia="宋体" w:cs="宋体"/>
          <w:color w:val="auto"/>
          <w:sz w:val="21"/>
          <w:szCs w:val="21"/>
          <w:highlight w:val="none"/>
          <w:u w:val="single"/>
        </w:rPr>
        <w:t>（全称并加盖成员**的单位公章）</w:t>
      </w:r>
    </w:p>
    <w:p>
      <w:pPr>
        <w:pStyle w:val="12"/>
        <w:widowControl/>
        <w:rPr>
          <w:color w:val="auto"/>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  （签字或盖章）  </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jc w:val="right"/>
        <w:rPr>
          <w:color w:val="auto"/>
          <w:highlight w:val="none"/>
        </w:rPr>
      </w:pPr>
      <w:r>
        <w:rPr>
          <w:rFonts w:hint="eastAsia" w:ascii="宋体" w:hAnsi="宋体" w:eastAsia="宋体" w:cs="宋体"/>
          <w:color w:val="auto"/>
          <w:sz w:val="21"/>
          <w:szCs w:val="21"/>
          <w:highlight w:val="none"/>
        </w:rPr>
        <w:t>签署日期：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★注意：</w:t>
      </w:r>
    </w:p>
    <w:p>
      <w:pPr>
        <w:pStyle w:val="12"/>
        <w:widowControl/>
        <w:rPr>
          <w:color w:val="auto"/>
          <w:highlight w:val="none"/>
        </w:rPr>
      </w:pPr>
      <w:r>
        <w:rPr>
          <w:rFonts w:hint="eastAsia" w:ascii="宋体" w:hAnsi="宋体" w:eastAsia="宋体" w:cs="宋体"/>
          <w:color w:val="auto"/>
          <w:sz w:val="21"/>
          <w:szCs w:val="21"/>
          <w:highlight w:val="none"/>
        </w:rPr>
        <w:t>1、招标文件接受联合体投标且投标人为联合体的，投标人应提供本协议；否则无须提供。</w:t>
      </w:r>
    </w:p>
    <w:p>
      <w:pPr>
        <w:pStyle w:val="12"/>
        <w:widowControl/>
        <w:rPr>
          <w:color w:val="auto"/>
          <w:highlight w:val="none"/>
        </w:rPr>
      </w:pPr>
      <w:r>
        <w:rPr>
          <w:rFonts w:hint="eastAsia" w:ascii="宋体" w:hAnsi="宋体" w:eastAsia="宋体" w:cs="宋体"/>
          <w:color w:val="auto"/>
          <w:sz w:val="21"/>
          <w:szCs w:val="21"/>
          <w:highlight w:val="none"/>
        </w:rPr>
        <w:t>2、本协议由委托代理人签字或盖章的，应按照本章载明的格式提供“单位负责人授权书”。</w:t>
      </w:r>
    </w:p>
    <w:p>
      <w:pPr>
        <w:pStyle w:val="12"/>
        <w:widowControl/>
        <w:rPr>
          <w:color w:val="auto"/>
          <w:highlight w:val="none"/>
        </w:rPr>
      </w:pPr>
      <w:r>
        <w:rPr>
          <w:rFonts w:hint="eastAsia" w:ascii="宋体" w:hAnsi="宋体" w:eastAsia="宋体" w:cs="宋体"/>
          <w:color w:val="auto"/>
          <w:sz w:val="21"/>
          <w:szCs w:val="21"/>
          <w:highlight w:val="none"/>
        </w:rPr>
        <w:t>3、纸质投标文件正本中的本协议（若有）应为原件。</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jc w:val="center"/>
        <w:rPr>
          <w:rFonts w:ascii="Calibri" w:hAnsi="Calibri" w:cs="Calibri"/>
          <w:color w:val="auto"/>
          <w:sz w:val="21"/>
          <w:szCs w:val="21"/>
          <w:highlight w:val="none"/>
        </w:rPr>
      </w:pPr>
      <w:r>
        <w:rPr>
          <w:rFonts w:ascii="Calibri" w:hAnsi="Calibri" w:cs="Calibri"/>
          <w:color w:val="auto"/>
          <w:sz w:val="21"/>
          <w:szCs w:val="21"/>
          <w:highlight w:val="none"/>
        </w:rPr>
        <w:br w:type="textWrapping"/>
      </w:r>
    </w:p>
    <w:p>
      <w:pPr>
        <w:rPr>
          <w:rFonts w:ascii="Calibri" w:hAnsi="Calibri" w:cs="Calibri"/>
          <w:color w:val="auto"/>
          <w:szCs w:val="21"/>
          <w:highlight w:val="none"/>
        </w:rPr>
      </w:pPr>
      <w:r>
        <w:rPr>
          <w:rFonts w:ascii="Calibri" w:hAnsi="Calibri" w:cs="Calibri"/>
          <w:color w:val="auto"/>
          <w:szCs w:val="21"/>
          <w:highlight w:val="none"/>
        </w:rPr>
        <w:br w:type="page"/>
      </w:r>
    </w:p>
    <w:p>
      <w:pPr>
        <w:pStyle w:val="12"/>
        <w:widowControl/>
        <w:jc w:val="center"/>
        <w:outlineLvl w:val="3"/>
        <w:rPr>
          <w:color w:val="auto"/>
          <w:highlight w:val="none"/>
        </w:rPr>
      </w:pPr>
      <w:r>
        <w:rPr>
          <w:rStyle w:val="16"/>
          <w:rFonts w:hint="eastAsia" w:ascii="宋体" w:hAnsi="宋体" w:eastAsia="宋体" w:cs="宋体"/>
          <w:color w:val="auto"/>
          <w:sz w:val="21"/>
          <w:szCs w:val="21"/>
          <w:highlight w:val="none"/>
        </w:rPr>
        <w:t>二-11其他资格证明文件（若有）</w:t>
      </w:r>
    </w:p>
    <w:p>
      <w:pPr>
        <w:pStyle w:val="12"/>
        <w:widowControl/>
        <w:jc w:val="center"/>
        <w:rPr>
          <w:color w:val="auto"/>
          <w:highlight w:val="none"/>
        </w:rPr>
      </w:pPr>
      <w:r>
        <w:rPr>
          <w:rFonts w:hint="eastAsia" w:ascii="宋体" w:hAnsi="宋体" w:eastAsia="宋体" w:cs="宋体"/>
          <w:color w:val="auto"/>
          <w:sz w:val="21"/>
          <w:szCs w:val="21"/>
          <w:highlight w:val="none"/>
        </w:rPr>
        <w:t> </w:t>
      </w:r>
    </w:p>
    <w:p>
      <w:pPr>
        <w:pStyle w:val="12"/>
        <w:widowControl/>
        <w:jc w:val="center"/>
        <w:outlineLvl w:val="4"/>
        <w:rPr>
          <w:color w:val="auto"/>
          <w:highlight w:val="none"/>
        </w:rPr>
      </w:pPr>
      <w:r>
        <w:rPr>
          <w:rFonts w:hint="eastAsia" w:ascii="宋体" w:hAnsi="宋体" w:eastAsia="宋体" w:cs="宋体"/>
          <w:color w:val="auto"/>
          <w:sz w:val="21"/>
          <w:szCs w:val="21"/>
          <w:highlight w:val="none"/>
        </w:rPr>
        <w:t>二</w:t>
      </w:r>
      <w:r>
        <w:rPr>
          <w:rStyle w:val="16"/>
          <w:rFonts w:hint="eastAsia" w:ascii="宋体" w:hAnsi="宋体" w:eastAsia="宋体" w:cs="宋体"/>
          <w:color w:val="auto"/>
          <w:sz w:val="21"/>
          <w:szCs w:val="21"/>
          <w:highlight w:val="none"/>
        </w:rPr>
        <w:t>-1</w:t>
      </w:r>
      <w:r>
        <w:rPr>
          <w:rStyle w:val="16"/>
          <w:rFonts w:hint="eastAsia" w:ascii="宋体" w:hAnsi="宋体" w:eastAsia="宋体" w:cs="宋体"/>
          <w:color w:val="auto"/>
          <w:sz w:val="21"/>
          <w:szCs w:val="21"/>
          <w:highlight w:val="none"/>
          <w:lang w:val="en-US" w:eastAsia="zh-CN"/>
        </w:rPr>
        <w:t>1</w:t>
      </w:r>
      <w:r>
        <w:rPr>
          <w:rStyle w:val="16"/>
          <w:rFonts w:hint="eastAsia" w:ascii="宋体" w:hAnsi="宋体" w:eastAsia="宋体" w:cs="宋体"/>
          <w:color w:val="auto"/>
          <w:sz w:val="21"/>
          <w:szCs w:val="21"/>
          <w:highlight w:val="none"/>
        </w:rPr>
        <w:t>-①具备履行合同所必需设备和专业技术能力专项证明材料（若有）</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w:t>
      </w:r>
    </w:p>
    <w:p>
      <w:pPr>
        <w:pStyle w:val="12"/>
        <w:widowControl/>
        <w:ind w:firstLine="420"/>
        <w:rPr>
          <w:color w:val="auto"/>
          <w:highlight w:val="none"/>
        </w:rPr>
      </w:pPr>
      <w:r>
        <w:rPr>
          <w:rFonts w:hint="eastAsia" w:ascii="宋体" w:hAnsi="宋体" w:eastAsia="宋体" w:cs="宋体"/>
          <w:color w:val="auto"/>
          <w:sz w:val="21"/>
          <w:szCs w:val="21"/>
          <w:highlight w:val="none"/>
        </w:rPr>
        <w:t>现附上我方具备履行合同所必需的设备和专业技术能力的专项证明材料复印件（具体附后），上述证明材料真实有效，否则我方负全部责任。</w:t>
      </w:r>
    </w:p>
    <w:p>
      <w:pPr>
        <w:pStyle w:val="12"/>
        <w:widowControl/>
        <w:rPr>
          <w:color w:val="auto"/>
          <w:highlight w:val="none"/>
        </w:rPr>
      </w:pPr>
      <w:r>
        <w:rPr>
          <w:rFonts w:ascii="Calibri" w:hAnsi="Calibri" w:cs="Calibri"/>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★注意：</w:t>
      </w:r>
    </w:p>
    <w:p>
      <w:pPr>
        <w:pStyle w:val="12"/>
        <w:widowControl/>
        <w:rPr>
          <w:color w:val="auto"/>
          <w:highlight w:val="none"/>
        </w:rPr>
      </w:pPr>
      <w:r>
        <w:rPr>
          <w:rFonts w:hint="eastAsia" w:ascii="宋体" w:hAnsi="宋体" w:eastAsia="宋体" w:cs="宋体"/>
          <w:color w:val="auto"/>
          <w:sz w:val="21"/>
          <w:szCs w:val="21"/>
          <w:highlight w:val="none"/>
        </w:rPr>
        <w:t>1、招标文件要求投标人提供“具备履行合同所必需的设备和专业技术能力专项证明材料”的，投标人应按照招标文件规定在此项下提供相应证明材料复印件。</w:t>
      </w:r>
    </w:p>
    <w:p>
      <w:pPr>
        <w:pStyle w:val="12"/>
        <w:widowControl/>
        <w:rPr>
          <w:color w:val="auto"/>
          <w:highlight w:val="none"/>
        </w:rPr>
      </w:pPr>
      <w:r>
        <w:rPr>
          <w:rFonts w:hint="eastAsia" w:ascii="宋体" w:hAnsi="宋体" w:eastAsia="宋体" w:cs="宋体"/>
          <w:color w:val="auto"/>
          <w:sz w:val="21"/>
          <w:szCs w:val="21"/>
          <w:highlight w:val="none"/>
        </w:rPr>
        <w:t>2、投标人提供的相应证明材料复印件均应符合：内容完整、清晰、整洁，并由投标人加盖其单位公章。</w:t>
      </w:r>
    </w:p>
    <w:p>
      <w:pPr>
        <w:pStyle w:val="12"/>
        <w:widowControl/>
        <w:rPr>
          <w:color w:val="auto"/>
          <w:highlight w:val="none"/>
        </w:rPr>
      </w:pPr>
      <w:r>
        <w:rPr>
          <w:rFonts w:ascii="Calibri" w:hAnsi="Calibri" w:cs="Calibri"/>
          <w:color w:val="auto"/>
          <w:sz w:val="21"/>
          <w:szCs w:val="21"/>
          <w:highlight w:val="none"/>
        </w:rPr>
        <w:t> </w:t>
      </w:r>
    </w:p>
    <w:p>
      <w:pPr>
        <w:pStyle w:val="12"/>
        <w:widowControl/>
        <w:rPr>
          <w:color w:val="auto"/>
          <w:highlight w:val="none"/>
        </w:rPr>
      </w:pPr>
      <w:r>
        <w:rPr>
          <w:rFonts w:ascii="Calibri" w:hAnsi="Calibri" w:cs="Calibri"/>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（全称并加盖单位公章）</w:t>
      </w:r>
    </w:p>
    <w:p>
      <w:pPr>
        <w:pStyle w:val="12"/>
        <w:widowControl/>
        <w:rPr>
          <w:color w:val="auto"/>
          <w:highlight w:val="none"/>
        </w:rPr>
      </w:pPr>
      <w:r>
        <w:rPr>
          <w:rFonts w:hint="eastAsia" w:ascii="宋体" w:hAnsi="宋体" w:eastAsia="宋体" w:cs="宋体"/>
          <w:color w:val="auto"/>
          <w:sz w:val="21"/>
          <w:szCs w:val="21"/>
          <w:highlight w:val="none"/>
        </w:rPr>
        <w:t>投标人代表签字：</w:t>
      </w:r>
      <w:r>
        <w:rPr>
          <w:rFonts w:hint="eastAsia" w:ascii="宋体" w:hAnsi="宋体" w:eastAsia="宋体" w:cs="宋体"/>
          <w:color w:val="auto"/>
          <w:sz w:val="21"/>
          <w:szCs w:val="21"/>
          <w:highlight w:val="none"/>
          <w:u w:val="single"/>
        </w:rPr>
        <w:t>                   </w:t>
      </w:r>
    </w:p>
    <w:p>
      <w:pPr>
        <w:pStyle w:val="12"/>
        <w:widowControl/>
        <w:rPr>
          <w:color w:val="auto"/>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jc w:val="center"/>
        <w:rPr>
          <w:rFonts w:ascii="Calibri" w:hAnsi="Calibri" w:cs="Calibri"/>
          <w:color w:val="auto"/>
          <w:sz w:val="21"/>
          <w:szCs w:val="21"/>
          <w:highlight w:val="none"/>
        </w:rPr>
      </w:pPr>
      <w:r>
        <w:rPr>
          <w:rFonts w:ascii="Calibri" w:hAnsi="Calibri" w:cs="Calibri"/>
          <w:color w:val="auto"/>
          <w:sz w:val="21"/>
          <w:szCs w:val="21"/>
          <w:highlight w:val="none"/>
        </w:rPr>
        <w:br w:type="textWrapping"/>
      </w:r>
    </w:p>
    <w:p>
      <w:pPr>
        <w:rPr>
          <w:rFonts w:ascii="Calibri" w:hAnsi="Calibri" w:cs="Calibri"/>
          <w:color w:val="auto"/>
          <w:szCs w:val="21"/>
          <w:highlight w:val="none"/>
        </w:rPr>
      </w:pPr>
      <w:r>
        <w:rPr>
          <w:rFonts w:ascii="Calibri" w:hAnsi="Calibri" w:cs="Calibri"/>
          <w:color w:val="auto"/>
          <w:szCs w:val="21"/>
          <w:highlight w:val="none"/>
        </w:rPr>
        <w:br w:type="page"/>
      </w:r>
    </w:p>
    <w:p>
      <w:pPr>
        <w:pStyle w:val="12"/>
        <w:widowControl/>
        <w:jc w:val="center"/>
        <w:outlineLvl w:val="4"/>
        <w:rPr>
          <w:color w:val="auto"/>
          <w:highlight w:val="none"/>
        </w:rPr>
      </w:pPr>
      <w:r>
        <w:rPr>
          <w:rStyle w:val="16"/>
          <w:rFonts w:hint="eastAsia" w:ascii="宋体" w:hAnsi="宋体" w:eastAsia="宋体" w:cs="宋体"/>
          <w:color w:val="auto"/>
          <w:sz w:val="21"/>
          <w:szCs w:val="21"/>
          <w:highlight w:val="none"/>
        </w:rPr>
        <w:t>二-1</w:t>
      </w:r>
      <w:r>
        <w:rPr>
          <w:rStyle w:val="16"/>
          <w:rFonts w:hint="eastAsia" w:ascii="宋体" w:hAnsi="宋体" w:eastAsia="宋体" w:cs="宋体"/>
          <w:color w:val="auto"/>
          <w:sz w:val="21"/>
          <w:szCs w:val="21"/>
          <w:highlight w:val="none"/>
          <w:lang w:val="en-US" w:eastAsia="zh-CN"/>
        </w:rPr>
        <w:t>1</w:t>
      </w:r>
      <w:r>
        <w:rPr>
          <w:rStyle w:val="16"/>
          <w:rFonts w:hint="eastAsia" w:ascii="宋体" w:hAnsi="宋体" w:eastAsia="宋体" w:cs="宋体"/>
          <w:color w:val="auto"/>
          <w:sz w:val="21"/>
          <w:szCs w:val="21"/>
          <w:highlight w:val="none"/>
        </w:rPr>
        <w:t>-②招标文件规定的其他资格证明文件（若有）</w:t>
      </w:r>
    </w:p>
    <w:p>
      <w:pPr>
        <w:pStyle w:val="12"/>
        <w:widowControl/>
        <w:rPr>
          <w:color w:val="auto"/>
          <w:highlight w:val="none"/>
        </w:rPr>
      </w:pPr>
      <w:r>
        <w:rPr>
          <w:rStyle w:val="16"/>
          <w:rFonts w:hint="eastAsia" w:ascii="宋体" w:hAnsi="宋体" w:eastAsia="宋体" w:cs="宋体"/>
          <w:color w:val="auto"/>
          <w:sz w:val="21"/>
          <w:szCs w:val="21"/>
          <w:highlight w:val="none"/>
        </w:rPr>
        <w:t> </w:t>
      </w:r>
    </w:p>
    <w:p>
      <w:pPr>
        <w:pStyle w:val="12"/>
        <w:widowControl/>
        <w:rPr>
          <w:color w:val="auto"/>
          <w:highlight w:val="none"/>
        </w:rPr>
      </w:pPr>
      <w:r>
        <w:rPr>
          <w:rStyle w:val="16"/>
          <w:rFonts w:hint="eastAsia" w:ascii="宋体" w:hAnsi="宋体" w:eastAsia="宋体" w:cs="宋体"/>
          <w:color w:val="auto"/>
          <w:sz w:val="21"/>
          <w:szCs w:val="21"/>
          <w:highlight w:val="none"/>
        </w:rPr>
        <w:t> </w:t>
      </w:r>
    </w:p>
    <w:p>
      <w:pPr>
        <w:pStyle w:val="12"/>
        <w:widowControl/>
        <w:jc w:val="center"/>
        <w:rPr>
          <w:color w:val="auto"/>
          <w:highlight w:val="none"/>
        </w:rPr>
      </w:pPr>
      <w:r>
        <w:rPr>
          <w:rFonts w:hint="eastAsia" w:ascii="宋体" w:hAnsi="宋体" w:eastAsia="宋体" w:cs="宋体"/>
          <w:color w:val="auto"/>
          <w:sz w:val="21"/>
          <w:szCs w:val="21"/>
          <w:highlight w:val="none"/>
        </w:rPr>
        <w:t>编制说明</w:t>
      </w:r>
    </w:p>
    <w:p>
      <w:pPr>
        <w:pStyle w:val="12"/>
        <w:widowControl/>
        <w:jc w:val="center"/>
        <w:rPr>
          <w:color w:val="auto"/>
          <w:highlight w:val="none"/>
        </w:rPr>
      </w:pPr>
      <w:r>
        <w:rPr>
          <w:rFonts w:hint="eastAsia" w:ascii="宋体" w:hAnsi="宋体" w:eastAsia="宋体" w:cs="宋体"/>
          <w:color w:val="auto"/>
          <w:sz w:val="21"/>
          <w:szCs w:val="21"/>
          <w:highlight w:val="none"/>
        </w:rPr>
        <w:t> </w:t>
      </w:r>
    </w:p>
    <w:p>
      <w:pPr>
        <w:pStyle w:val="12"/>
        <w:widowControl/>
        <w:ind w:firstLine="420"/>
        <w:rPr>
          <w:color w:val="auto"/>
          <w:highlight w:val="none"/>
        </w:rPr>
      </w:pPr>
      <w:r>
        <w:rPr>
          <w:rFonts w:hint="eastAsia" w:ascii="宋体" w:hAnsi="宋体" w:eastAsia="宋体" w:cs="宋体"/>
          <w:color w:val="auto"/>
          <w:sz w:val="21"/>
          <w:szCs w:val="21"/>
          <w:highlight w:val="none"/>
        </w:rPr>
        <w:t>除招标文件另有规定外，招标文件要求提交的除前述资格证明文件外的其他资格证明文件（若有）加盖投标人的单位公章后应在此项下提交。</w:t>
      </w:r>
    </w:p>
    <w:p>
      <w:pPr>
        <w:pStyle w:val="12"/>
        <w:widowControl/>
        <w:rPr>
          <w:color w:val="auto"/>
          <w:highlight w:val="none"/>
        </w:rPr>
      </w:pPr>
      <w:r>
        <w:rPr>
          <w:rStyle w:val="16"/>
          <w:rFonts w:hint="eastAsia" w:ascii="宋体" w:hAnsi="宋体" w:eastAsia="宋体" w:cs="宋体"/>
          <w:color w:val="auto"/>
          <w:sz w:val="21"/>
          <w:szCs w:val="21"/>
          <w:highlight w:val="none"/>
        </w:rPr>
        <w:t> </w:t>
      </w:r>
    </w:p>
    <w:p>
      <w:pPr>
        <w:pStyle w:val="12"/>
        <w:widowControl/>
        <w:rPr>
          <w:color w:val="auto"/>
          <w:highlight w:val="none"/>
        </w:rPr>
      </w:pPr>
      <w:r>
        <w:rPr>
          <w:rStyle w:val="16"/>
          <w:rFonts w:hint="eastAsia" w:ascii="宋体" w:hAnsi="宋体" w:eastAsia="宋体" w:cs="宋体"/>
          <w:color w:val="auto"/>
          <w:sz w:val="21"/>
          <w:szCs w:val="21"/>
          <w:highlight w:val="none"/>
        </w:rPr>
        <w:t> </w:t>
      </w:r>
    </w:p>
    <w:p>
      <w:pPr>
        <w:pStyle w:val="12"/>
        <w:widowControl/>
        <w:jc w:val="center"/>
        <w:rPr>
          <w:rFonts w:ascii="Calibri" w:hAnsi="Calibri" w:cs="Calibri"/>
          <w:color w:val="auto"/>
          <w:sz w:val="21"/>
          <w:szCs w:val="21"/>
          <w:highlight w:val="none"/>
        </w:rPr>
      </w:pPr>
      <w:r>
        <w:rPr>
          <w:rFonts w:ascii="Calibri" w:hAnsi="Calibri" w:cs="Calibri"/>
          <w:color w:val="auto"/>
          <w:sz w:val="21"/>
          <w:szCs w:val="21"/>
          <w:highlight w:val="none"/>
        </w:rPr>
        <w:br w:type="textWrapping"/>
      </w:r>
    </w:p>
    <w:p>
      <w:pPr>
        <w:rPr>
          <w:rFonts w:ascii="Calibri" w:hAnsi="Calibri" w:cs="Calibri"/>
          <w:color w:val="auto"/>
          <w:szCs w:val="21"/>
          <w:highlight w:val="none"/>
        </w:rPr>
      </w:pPr>
      <w:r>
        <w:rPr>
          <w:rFonts w:ascii="Calibri" w:hAnsi="Calibri" w:cs="Calibri"/>
          <w:color w:val="auto"/>
          <w:szCs w:val="21"/>
          <w:highlight w:val="none"/>
        </w:rPr>
        <w:br w:type="page"/>
      </w:r>
    </w:p>
    <w:p>
      <w:pPr>
        <w:pStyle w:val="12"/>
        <w:widowControl/>
        <w:jc w:val="center"/>
        <w:outlineLvl w:val="2"/>
        <w:rPr>
          <w:color w:val="auto"/>
          <w:highlight w:val="none"/>
        </w:rPr>
      </w:pPr>
      <w:r>
        <w:rPr>
          <w:rFonts w:hint="eastAsia" w:ascii="宋体" w:hAnsi="宋体" w:eastAsia="宋体" w:cs="宋体"/>
          <w:color w:val="auto"/>
          <w:sz w:val="21"/>
          <w:szCs w:val="21"/>
          <w:highlight w:val="none"/>
        </w:rPr>
        <w:t>三</w:t>
      </w:r>
      <w:r>
        <w:rPr>
          <w:rStyle w:val="16"/>
          <w:rFonts w:hint="eastAsia" w:ascii="宋体" w:hAnsi="宋体" w:eastAsia="宋体" w:cs="宋体"/>
          <w:color w:val="auto"/>
          <w:sz w:val="21"/>
          <w:szCs w:val="21"/>
          <w:highlight w:val="none"/>
        </w:rPr>
        <w:t>、投标保证金</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jc w:val="center"/>
        <w:rPr>
          <w:color w:val="auto"/>
          <w:highlight w:val="none"/>
        </w:rPr>
      </w:pPr>
      <w:r>
        <w:rPr>
          <w:rFonts w:hint="eastAsia" w:ascii="宋体" w:hAnsi="宋体" w:eastAsia="宋体" w:cs="宋体"/>
          <w:color w:val="auto"/>
          <w:sz w:val="21"/>
          <w:szCs w:val="21"/>
          <w:highlight w:val="none"/>
        </w:rPr>
        <w:t>编制说明</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1、在此项下提交的</w:t>
      </w:r>
      <w:r>
        <w:rPr>
          <w:rStyle w:val="16"/>
          <w:rFonts w:hint="eastAsia" w:ascii="宋体" w:hAnsi="宋体" w:eastAsia="宋体" w:cs="宋体"/>
          <w:color w:val="auto"/>
          <w:sz w:val="21"/>
          <w:szCs w:val="21"/>
          <w:highlight w:val="none"/>
        </w:rPr>
        <w:t>“投标保证金”</w:t>
      </w:r>
      <w:r>
        <w:rPr>
          <w:rFonts w:hint="eastAsia" w:ascii="宋体" w:hAnsi="宋体" w:eastAsia="宋体" w:cs="宋体"/>
          <w:color w:val="auto"/>
          <w:sz w:val="21"/>
          <w:szCs w:val="21"/>
          <w:highlight w:val="none"/>
        </w:rPr>
        <w:t>材料可使用转账凭证复印件。</w:t>
      </w:r>
    </w:p>
    <w:p>
      <w:pPr>
        <w:pStyle w:val="12"/>
        <w:widowControl/>
        <w:rPr>
          <w:color w:val="auto"/>
          <w:highlight w:val="none"/>
        </w:rPr>
      </w:pPr>
      <w:r>
        <w:rPr>
          <w:rFonts w:hint="eastAsia" w:ascii="宋体" w:hAnsi="宋体" w:eastAsia="宋体" w:cs="宋体"/>
          <w:color w:val="auto"/>
          <w:sz w:val="21"/>
          <w:szCs w:val="21"/>
          <w:highlight w:val="none"/>
        </w:rPr>
        <w:t>2、投标保证金是否已提交的认定按照招标文件第三章规定执行。</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rPr>
          <w:color w:val="auto"/>
          <w:highlight w:val="none"/>
        </w:rPr>
      </w:pP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 </w:t>
      </w:r>
    </w:p>
    <w:p>
      <w:pPr>
        <w:rPr>
          <w:rStyle w:val="16"/>
          <w:rFonts w:ascii="宋体" w:hAnsi="宋体" w:eastAsia="宋体" w:cs="宋体"/>
          <w:color w:val="auto"/>
          <w:sz w:val="28"/>
          <w:szCs w:val="28"/>
          <w:highlight w:val="none"/>
        </w:rPr>
      </w:pPr>
      <w:r>
        <w:rPr>
          <w:rStyle w:val="16"/>
          <w:rFonts w:hint="eastAsia" w:ascii="宋体" w:hAnsi="宋体" w:eastAsia="宋体" w:cs="宋体"/>
          <w:color w:val="auto"/>
          <w:sz w:val="28"/>
          <w:szCs w:val="28"/>
          <w:highlight w:val="none"/>
        </w:rPr>
        <w:br w:type="page"/>
      </w:r>
    </w:p>
    <w:p>
      <w:pPr>
        <w:pStyle w:val="12"/>
        <w:widowControl/>
        <w:jc w:val="center"/>
        <w:rPr>
          <w:color w:val="auto"/>
          <w:highlight w:val="none"/>
        </w:rPr>
      </w:pPr>
      <w:r>
        <w:rPr>
          <w:rStyle w:val="16"/>
          <w:rFonts w:hint="eastAsia" w:ascii="宋体" w:hAnsi="宋体" w:eastAsia="宋体" w:cs="宋体"/>
          <w:color w:val="auto"/>
          <w:sz w:val="28"/>
          <w:szCs w:val="28"/>
          <w:highlight w:val="none"/>
        </w:rPr>
        <w:t>封面格式</w:t>
      </w:r>
    </w:p>
    <w:p>
      <w:pPr>
        <w:pStyle w:val="12"/>
        <w:widowControl/>
        <w:rPr>
          <w:color w:val="auto"/>
          <w:highlight w:val="none"/>
        </w:rPr>
      </w:pPr>
      <w:r>
        <w:rPr>
          <w:rFonts w:hint="eastAsia" w:ascii="宋体" w:hAnsi="宋体" w:eastAsia="宋体" w:cs="宋体"/>
          <w:color w:val="auto"/>
          <w:sz w:val="36"/>
          <w:szCs w:val="36"/>
          <w:highlight w:val="none"/>
        </w:rPr>
        <w:t> </w:t>
      </w:r>
    </w:p>
    <w:p>
      <w:pPr>
        <w:pStyle w:val="12"/>
        <w:widowControl/>
        <w:jc w:val="center"/>
        <w:rPr>
          <w:color w:val="auto"/>
          <w:highlight w:val="none"/>
        </w:rPr>
      </w:pPr>
      <w:r>
        <w:rPr>
          <w:rStyle w:val="16"/>
          <w:rFonts w:hint="eastAsia" w:ascii="宋体" w:hAnsi="宋体" w:eastAsia="宋体" w:cs="宋体"/>
          <w:color w:val="auto"/>
          <w:sz w:val="48"/>
          <w:szCs w:val="48"/>
          <w:highlight w:val="none"/>
        </w:rPr>
        <w:t>投标文件</w:t>
      </w:r>
    </w:p>
    <w:p>
      <w:pPr>
        <w:pStyle w:val="12"/>
        <w:widowControl/>
        <w:jc w:val="center"/>
        <w:outlineLvl w:val="1"/>
        <w:rPr>
          <w:color w:val="auto"/>
          <w:highlight w:val="none"/>
        </w:rPr>
      </w:pPr>
      <w:r>
        <w:rPr>
          <w:rStyle w:val="16"/>
          <w:rFonts w:hint="eastAsia" w:ascii="宋体" w:hAnsi="宋体" w:eastAsia="宋体" w:cs="宋体"/>
          <w:color w:val="auto"/>
          <w:sz w:val="48"/>
          <w:szCs w:val="48"/>
          <w:highlight w:val="none"/>
        </w:rPr>
        <w:t>（报价部分）</w:t>
      </w:r>
    </w:p>
    <w:p>
      <w:pPr>
        <w:pStyle w:val="12"/>
        <w:widowControl/>
        <w:rPr>
          <w:color w:val="auto"/>
          <w:highlight w:val="none"/>
        </w:rPr>
      </w:pPr>
      <w:r>
        <w:rPr>
          <w:rFonts w:hint="eastAsia" w:ascii="宋体" w:hAnsi="宋体" w:eastAsia="宋体" w:cs="宋体"/>
          <w:color w:val="auto"/>
          <w:sz w:val="36"/>
          <w:szCs w:val="36"/>
          <w:highlight w:val="none"/>
        </w:rPr>
        <w:t> </w:t>
      </w:r>
    </w:p>
    <w:p>
      <w:pPr>
        <w:pStyle w:val="12"/>
        <w:widowControl/>
        <w:jc w:val="center"/>
        <w:rPr>
          <w:color w:val="auto"/>
          <w:highlight w:val="none"/>
        </w:rPr>
      </w:pPr>
      <w:r>
        <w:rPr>
          <w:rStyle w:val="16"/>
          <w:rFonts w:hint="eastAsia" w:ascii="宋体" w:hAnsi="宋体" w:eastAsia="宋体" w:cs="宋体"/>
          <w:color w:val="auto"/>
          <w:sz w:val="36"/>
          <w:szCs w:val="36"/>
          <w:highlight w:val="none"/>
          <w:u w:val="single"/>
        </w:rPr>
        <w:t>（填写正本或副本）</w:t>
      </w:r>
    </w:p>
    <w:p>
      <w:pPr>
        <w:pStyle w:val="12"/>
        <w:widowControl/>
        <w:rPr>
          <w:color w:val="auto"/>
          <w:highlight w:val="none"/>
        </w:rPr>
      </w:pPr>
      <w:r>
        <w:rPr>
          <w:rFonts w:hint="eastAsia" w:ascii="宋体" w:hAnsi="宋体" w:eastAsia="宋体" w:cs="宋体"/>
          <w:color w:val="auto"/>
          <w:sz w:val="36"/>
          <w:szCs w:val="36"/>
          <w:highlight w:val="none"/>
        </w:rPr>
        <w:t> </w:t>
      </w:r>
    </w:p>
    <w:p>
      <w:pPr>
        <w:pStyle w:val="12"/>
        <w:widowControl/>
        <w:ind w:firstLine="1920"/>
        <w:rPr>
          <w:color w:val="auto"/>
          <w:highlight w:val="none"/>
        </w:rPr>
      </w:pPr>
      <w:r>
        <w:rPr>
          <w:rStyle w:val="16"/>
          <w:rFonts w:hint="eastAsia" w:ascii="宋体" w:hAnsi="宋体" w:eastAsia="宋体" w:cs="宋体"/>
          <w:color w:val="auto"/>
          <w:sz w:val="31"/>
          <w:szCs w:val="31"/>
          <w:highlight w:val="none"/>
        </w:rPr>
        <w:t>项目名称：</w:t>
      </w:r>
      <w:r>
        <w:rPr>
          <w:rStyle w:val="16"/>
          <w:rFonts w:hint="eastAsia" w:ascii="宋体" w:hAnsi="宋体" w:eastAsia="宋体" w:cs="宋体"/>
          <w:color w:val="auto"/>
          <w:sz w:val="31"/>
          <w:szCs w:val="31"/>
          <w:highlight w:val="none"/>
          <w:u w:val="single"/>
        </w:rPr>
        <w:t>（由投标人填写）</w:t>
      </w:r>
    </w:p>
    <w:p>
      <w:pPr>
        <w:pStyle w:val="12"/>
        <w:widowControl/>
        <w:ind w:firstLine="1920"/>
        <w:rPr>
          <w:color w:val="auto"/>
          <w:highlight w:val="none"/>
        </w:rPr>
      </w:pPr>
      <w:r>
        <w:rPr>
          <w:rStyle w:val="16"/>
          <w:rFonts w:hint="eastAsia" w:ascii="宋体" w:hAnsi="宋体" w:eastAsia="宋体" w:cs="宋体"/>
          <w:color w:val="auto"/>
          <w:sz w:val="31"/>
          <w:szCs w:val="31"/>
          <w:highlight w:val="none"/>
        </w:rPr>
        <w:t>招标编号：</w:t>
      </w:r>
      <w:r>
        <w:rPr>
          <w:rStyle w:val="16"/>
          <w:rFonts w:hint="eastAsia" w:ascii="宋体" w:hAnsi="宋体" w:eastAsia="宋体" w:cs="宋体"/>
          <w:color w:val="auto"/>
          <w:sz w:val="31"/>
          <w:szCs w:val="31"/>
          <w:highlight w:val="none"/>
          <w:u w:val="single"/>
        </w:rPr>
        <w:t>（由投标人填写）</w:t>
      </w:r>
    </w:p>
    <w:p>
      <w:pPr>
        <w:pStyle w:val="12"/>
        <w:widowControl/>
        <w:ind w:firstLine="1920"/>
        <w:rPr>
          <w:color w:val="auto"/>
          <w:highlight w:val="none"/>
        </w:rPr>
      </w:pPr>
      <w:r>
        <w:rPr>
          <w:rStyle w:val="16"/>
          <w:rFonts w:hint="eastAsia" w:ascii="宋体" w:hAnsi="宋体" w:eastAsia="宋体" w:cs="宋体"/>
          <w:color w:val="auto"/>
          <w:sz w:val="31"/>
          <w:szCs w:val="31"/>
          <w:highlight w:val="none"/>
        </w:rPr>
        <w:t>所投合同包：</w:t>
      </w:r>
      <w:r>
        <w:rPr>
          <w:rStyle w:val="16"/>
          <w:rFonts w:hint="eastAsia" w:ascii="宋体" w:hAnsi="宋体" w:eastAsia="宋体" w:cs="宋体"/>
          <w:color w:val="auto"/>
          <w:sz w:val="31"/>
          <w:szCs w:val="31"/>
          <w:highlight w:val="none"/>
          <w:u w:val="single"/>
        </w:rPr>
        <w:t>（由投标人填写）</w:t>
      </w:r>
    </w:p>
    <w:p>
      <w:pPr>
        <w:pStyle w:val="12"/>
        <w:widowControl/>
        <w:rPr>
          <w:color w:val="auto"/>
          <w:highlight w:val="none"/>
        </w:rPr>
      </w:pPr>
    </w:p>
    <w:p>
      <w:pPr>
        <w:pStyle w:val="12"/>
        <w:widowControl/>
        <w:rPr>
          <w:color w:val="auto"/>
          <w:highlight w:val="none"/>
        </w:rPr>
      </w:pPr>
    </w:p>
    <w:p>
      <w:pPr>
        <w:pStyle w:val="12"/>
        <w:widowControl/>
        <w:rPr>
          <w:color w:val="auto"/>
          <w:highlight w:val="none"/>
        </w:rPr>
      </w:pPr>
    </w:p>
    <w:p>
      <w:pPr>
        <w:pStyle w:val="12"/>
        <w:widowControl/>
        <w:jc w:val="center"/>
        <w:rPr>
          <w:color w:val="auto"/>
          <w:highlight w:val="none"/>
        </w:rPr>
      </w:pPr>
      <w:r>
        <w:rPr>
          <w:rStyle w:val="16"/>
          <w:rFonts w:hint="eastAsia" w:ascii="宋体" w:hAnsi="宋体" w:eastAsia="宋体" w:cs="宋体"/>
          <w:color w:val="auto"/>
          <w:sz w:val="31"/>
          <w:szCs w:val="31"/>
          <w:highlight w:val="none"/>
        </w:rPr>
        <w:t>投标人：</w:t>
      </w:r>
      <w:r>
        <w:rPr>
          <w:rStyle w:val="16"/>
          <w:rFonts w:hint="eastAsia" w:ascii="宋体" w:hAnsi="宋体" w:eastAsia="宋体" w:cs="宋体"/>
          <w:color w:val="auto"/>
          <w:sz w:val="31"/>
          <w:szCs w:val="31"/>
          <w:highlight w:val="none"/>
          <w:u w:val="single"/>
        </w:rPr>
        <w:t>（填写“全称”）</w:t>
      </w:r>
    </w:p>
    <w:p>
      <w:pPr>
        <w:pStyle w:val="12"/>
        <w:widowControl/>
        <w:jc w:val="center"/>
        <w:rPr>
          <w:color w:val="auto"/>
          <w:highlight w:val="none"/>
        </w:rPr>
      </w:pPr>
      <w:r>
        <w:rPr>
          <w:rStyle w:val="16"/>
          <w:rFonts w:hint="eastAsia" w:ascii="宋体" w:hAnsi="宋体" w:eastAsia="宋体" w:cs="宋体"/>
          <w:color w:val="auto"/>
          <w:sz w:val="31"/>
          <w:szCs w:val="31"/>
          <w:highlight w:val="none"/>
          <w:u w:val="single"/>
        </w:rPr>
        <w:t>（由投标人填写）</w:t>
      </w:r>
      <w:r>
        <w:rPr>
          <w:rStyle w:val="16"/>
          <w:rFonts w:hint="eastAsia" w:ascii="宋体" w:hAnsi="宋体" w:eastAsia="宋体" w:cs="宋体"/>
          <w:color w:val="auto"/>
          <w:sz w:val="31"/>
          <w:szCs w:val="31"/>
          <w:highlight w:val="none"/>
        </w:rPr>
        <w:t>年</w:t>
      </w:r>
      <w:r>
        <w:rPr>
          <w:rStyle w:val="16"/>
          <w:rFonts w:hint="eastAsia" w:ascii="宋体" w:hAnsi="宋体" w:eastAsia="宋体" w:cs="宋体"/>
          <w:color w:val="auto"/>
          <w:sz w:val="31"/>
          <w:szCs w:val="31"/>
          <w:highlight w:val="none"/>
          <w:u w:val="single"/>
        </w:rPr>
        <w:t>（由投标人填写）</w:t>
      </w:r>
      <w:r>
        <w:rPr>
          <w:rStyle w:val="16"/>
          <w:rFonts w:hint="eastAsia" w:ascii="宋体" w:hAnsi="宋体" w:eastAsia="宋体" w:cs="宋体"/>
          <w:color w:val="auto"/>
          <w:sz w:val="31"/>
          <w:szCs w:val="31"/>
          <w:highlight w:val="none"/>
        </w:rPr>
        <w:t>月</w:t>
      </w:r>
    </w:p>
    <w:p>
      <w:pPr>
        <w:pStyle w:val="12"/>
        <w:widowControl/>
        <w:rPr>
          <w:color w:val="auto"/>
          <w:highlight w:val="none"/>
        </w:rPr>
      </w:pPr>
      <w:r>
        <w:rPr>
          <w:rFonts w:hint="eastAsia" w:ascii="宋体" w:hAnsi="宋体" w:eastAsia="宋体" w:cs="宋体"/>
          <w:color w:val="auto"/>
          <w:sz w:val="21"/>
          <w:szCs w:val="21"/>
          <w:highlight w:val="none"/>
        </w:rPr>
        <w:t> </w:t>
      </w:r>
    </w:p>
    <w:p>
      <w:pPr>
        <w:rPr>
          <w:rStyle w:val="16"/>
          <w:rFonts w:ascii="宋体" w:hAnsi="宋体" w:eastAsia="宋体" w:cs="宋体"/>
          <w:color w:val="auto"/>
          <w:sz w:val="28"/>
          <w:szCs w:val="28"/>
          <w:highlight w:val="none"/>
        </w:rPr>
      </w:pPr>
      <w:r>
        <w:rPr>
          <w:rStyle w:val="16"/>
          <w:rFonts w:hint="eastAsia" w:ascii="宋体" w:hAnsi="宋体" w:eastAsia="宋体" w:cs="宋体"/>
          <w:color w:val="auto"/>
          <w:sz w:val="28"/>
          <w:szCs w:val="28"/>
          <w:highlight w:val="none"/>
        </w:rPr>
        <w:br w:type="page"/>
      </w:r>
    </w:p>
    <w:p>
      <w:pPr>
        <w:pStyle w:val="12"/>
        <w:widowControl/>
        <w:jc w:val="center"/>
        <w:outlineLvl w:val="2"/>
        <w:rPr>
          <w:color w:val="auto"/>
          <w:highlight w:val="none"/>
        </w:rPr>
      </w:pPr>
      <w:r>
        <w:rPr>
          <w:rStyle w:val="16"/>
          <w:rFonts w:hint="eastAsia" w:ascii="宋体" w:hAnsi="宋体" w:eastAsia="宋体" w:cs="宋体"/>
          <w:color w:val="auto"/>
          <w:sz w:val="28"/>
          <w:szCs w:val="28"/>
          <w:highlight w:val="none"/>
        </w:rPr>
        <w:t>索引</w:t>
      </w:r>
    </w:p>
    <w:p>
      <w:pPr>
        <w:pStyle w:val="12"/>
        <w:widowControl/>
        <w:rPr>
          <w:color w:val="auto"/>
          <w:highlight w:val="none"/>
        </w:rPr>
      </w:pPr>
      <w:r>
        <w:rPr>
          <w:rFonts w:hint="eastAsia" w:ascii="宋体" w:hAnsi="宋体" w:eastAsia="宋体" w:cs="宋体"/>
          <w:color w:val="auto"/>
          <w:sz w:val="28"/>
          <w:szCs w:val="28"/>
          <w:highlight w:val="none"/>
        </w:rPr>
        <w:t>一、开标一览表</w:t>
      </w:r>
    </w:p>
    <w:p>
      <w:pPr>
        <w:pStyle w:val="12"/>
        <w:widowControl/>
        <w:rPr>
          <w:color w:val="auto"/>
          <w:highlight w:val="none"/>
        </w:rPr>
      </w:pPr>
      <w:r>
        <w:rPr>
          <w:rFonts w:hint="eastAsia" w:ascii="宋体" w:hAnsi="宋体" w:eastAsia="宋体" w:cs="宋体"/>
          <w:color w:val="auto"/>
          <w:sz w:val="28"/>
          <w:szCs w:val="28"/>
          <w:highlight w:val="none"/>
        </w:rPr>
        <w:t>二、投标分项报价表</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jc w:val="center"/>
        <w:rPr>
          <w:rFonts w:ascii="Calibri" w:hAnsi="Calibri" w:cs="Calibri"/>
          <w:color w:val="auto"/>
          <w:sz w:val="21"/>
          <w:szCs w:val="21"/>
          <w:highlight w:val="none"/>
        </w:rPr>
      </w:pPr>
      <w:r>
        <w:rPr>
          <w:rFonts w:ascii="Calibri" w:hAnsi="Calibri" w:cs="Calibri"/>
          <w:color w:val="auto"/>
          <w:sz w:val="21"/>
          <w:szCs w:val="21"/>
          <w:highlight w:val="none"/>
        </w:rPr>
        <w:br w:type="textWrapping"/>
      </w:r>
    </w:p>
    <w:p>
      <w:pPr>
        <w:rPr>
          <w:rFonts w:ascii="Calibri" w:hAnsi="Calibri" w:cs="Calibri"/>
          <w:color w:val="auto"/>
          <w:szCs w:val="21"/>
          <w:highlight w:val="none"/>
        </w:rPr>
      </w:pPr>
      <w:r>
        <w:rPr>
          <w:rFonts w:ascii="Calibri" w:hAnsi="Calibri" w:cs="Calibri"/>
          <w:color w:val="auto"/>
          <w:szCs w:val="21"/>
          <w:highlight w:val="none"/>
        </w:rPr>
        <w:br w:type="page"/>
      </w:r>
    </w:p>
    <w:p>
      <w:pPr>
        <w:pStyle w:val="12"/>
        <w:widowControl/>
        <w:jc w:val="center"/>
        <w:outlineLvl w:val="2"/>
        <w:rPr>
          <w:color w:val="auto"/>
          <w:highlight w:val="none"/>
        </w:rPr>
      </w:pPr>
      <w:r>
        <w:rPr>
          <w:rStyle w:val="16"/>
          <w:rFonts w:hint="eastAsia" w:ascii="宋体" w:hAnsi="宋体" w:eastAsia="宋体" w:cs="宋体"/>
          <w:color w:val="auto"/>
          <w:sz w:val="21"/>
          <w:szCs w:val="21"/>
          <w:highlight w:val="none"/>
        </w:rPr>
        <w:t>一、开标一览表</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keepNext w:val="0"/>
        <w:keepLines w:val="0"/>
        <w:widowControl/>
        <w:suppressLineNumbers w:val="0"/>
        <w:spacing w:before="0" w:after="0"/>
        <w:ind w:left="0" w:right="0"/>
        <w:rPr>
          <w:rFonts w:cstheme="minorBidi"/>
          <w:color w:val="auto"/>
          <w:highlight w:val="none"/>
          <w:lang w:bidi="ar"/>
        </w:rPr>
      </w:pP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bidi="ar"/>
        </w:rPr>
        <w:t>招标编号：</w:t>
      </w:r>
      <w:r>
        <w:rPr>
          <w:rFonts w:hint="eastAsia" w:ascii="宋体" w:hAnsi="宋体" w:eastAsia="宋体" w:cs="宋体"/>
          <w:color w:val="auto"/>
          <w:sz w:val="21"/>
          <w:szCs w:val="21"/>
          <w:highlight w:val="none"/>
          <w:u w:val="single"/>
          <w:lang w:bidi="ar"/>
        </w:rPr>
        <w:t>                   </w:t>
      </w:r>
    </w:p>
    <w:p>
      <w:pPr>
        <w:keepNext w:val="0"/>
        <w:keepLines w:val="0"/>
        <w:widowControl/>
        <w:suppressLineNumbers w:val="0"/>
        <w:spacing w:before="0" w:beforeAutospacing="1" w:after="0" w:afterAutospacing="1"/>
        <w:ind w:left="0" w:right="0"/>
        <w:jc w:val="right"/>
        <w:rPr>
          <w:rFonts w:asciiTheme="minorHAnsi" w:hAnsiTheme="minorHAnsi" w:eastAsiaTheme="minorEastAsia" w:cstheme="minorBidi"/>
          <w:color w:val="auto"/>
          <w:kern w:val="0"/>
          <w:sz w:val="24"/>
          <w:szCs w:val="24"/>
          <w:highlight w:val="none"/>
          <w:lang w:val="en-US" w:eastAsia="zh-CN" w:bidi="ar"/>
        </w:rPr>
      </w:pPr>
      <w:r>
        <w:rPr>
          <w:rFonts w:hint="eastAsia" w:ascii="宋体" w:hAnsi="宋体" w:eastAsia="宋体" w:cs="宋体"/>
          <w:color w:val="auto"/>
          <w:kern w:val="0"/>
          <w:sz w:val="21"/>
          <w:szCs w:val="21"/>
          <w:highlight w:val="none"/>
          <w:lang w:val="en-US" w:eastAsia="zh-CN" w:bidi="ar"/>
        </w:rPr>
        <w:t>货币及单位：人民币元</w:t>
      </w:r>
    </w:p>
    <w:tbl>
      <w:tblPr>
        <w:tblStyle w:val="13"/>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011"/>
        <w:gridCol w:w="5720"/>
        <w:gridCol w:w="702"/>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15" w:type="dxa"/>
        </w:trPr>
        <w:tc>
          <w:tcPr>
            <w:tcW w:w="966"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1" w:after="0" w:afterAutospacing="1"/>
              <w:ind w:left="0" w:right="0"/>
              <w:jc w:val="center"/>
              <w:rPr>
                <w:rFonts w:asciiTheme="minorHAnsi" w:hAnsiTheme="minorHAnsi" w:eastAsiaTheme="minorEastAsia" w:cstheme="minorBidi"/>
                <w:color w:val="auto"/>
                <w:kern w:val="0"/>
                <w:sz w:val="24"/>
                <w:szCs w:val="24"/>
                <w:highlight w:val="none"/>
                <w:lang w:val="en-US" w:eastAsia="zh-CN" w:bidi="ar"/>
              </w:rPr>
            </w:pPr>
            <w:r>
              <w:rPr>
                <w:rFonts w:hint="eastAsia" w:ascii="宋体" w:hAnsi="宋体" w:eastAsia="宋体" w:cs="宋体"/>
                <w:color w:val="auto"/>
                <w:kern w:val="0"/>
                <w:sz w:val="21"/>
                <w:szCs w:val="21"/>
                <w:highlight w:val="none"/>
                <w:lang w:val="en-US" w:eastAsia="zh-CN" w:bidi="ar"/>
              </w:rPr>
              <w:t>合同包</w:t>
            </w:r>
          </w:p>
        </w:tc>
        <w:tc>
          <w:tcPr>
            <w:tcW w:w="5690"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1" w:after="0" w:afterAutospacing="1"/>
              <w:ind w:left="0" w:right="0"/>
              <w:jc w:val="center"/>
              <w:rPr>
                <w:rFonts w:asciiTheme="minorHAnsi" w:hAnsiTheme="minorHAnsi" w:eastAsiaTheme="minorEastAsia" w:cstheme="minorBidi"/>
                <w:color w:val="auto"/>
                <w:kern w:val="0"/>
                <w:sz w:val="24"/>
                <w:szCs w:val="24"/>
                <w:highlight w:val="none"/>
                <w:lang w:val="en-US" w:eastAsia="zh-CN" w:bidi="ar"/>
              </w:rPr>
            </w:pPr>
            <w:r>
              <w:rPr>
                <w:rFonts w:hint="eastAsia" w:ascii="宋体" w:hAnsi="宋体" w:eastAsia="宋体" w:cs="宋体"/>
                <w:color w:val="auto"/>
                <w:kern w:val="0"/>
                <w:sz w:val="21"/>
                <w:szCs w:val="21"/>
                <w:highlight w:val="none"/>
                <w:lang w:val="en-US" w:eastAsia="zh-CN" w:bidi="ar"/>
              </w:rPr>
              <w:t>投标报价</w:t>
            </w:r>
          </w:p>
        </w:tc>
        <w:tc>
          <w:tcPr>
            <w:tcW w:w="672"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1" w:after="0" w:afterAutospacing="1"/>
              <w:ind w:left="0" w:right="0"/>
              <w:jc w:val="center"/>
              <w:rPr>
                <w:rFonts w:asciiTheme="minorHAnsi" w:hAnsiTheme="minorHAnsi" w:eastAsiaTheme="minorEastAsia" w:cstheme="minorBidi"/>
                <w:color w:val="auto"/>
                <w:kern w:val="0"/>
                <w:sz w:val="24"/>
                <w:szCs w:val="24"/>
                <w:highlight w:val="none"/>
                <w:lang w:val="en-US" w:eastAsia="zh-CN" w:bidi="ar"/>
              </w:rPr>
            </w:pPr>
            <w:r>
              <w:rPr>
                <w:rFonts w:hint="eastAsia" w:ascii="宋体" w:hAnsi="宋体" w:eastAsia="宋体" w:cs="宋体"/>
                <w:color w:val="auto"/>
                <w:kern w:val="0"/>
                <w:sz w:val="21"/>
                <w:szCs w:val="21"/>
                <w:highlight w:val="none"/>
                <w:lang w:val="en-US" w:eastAsia="zh-CN" w:bidi="ar"/>
              </w:rPr>
              <w:t>投标</w:t>
            </w:r>
          </w:p>
          <w:p>
            <w:pPr>
              <w:keepNext w:val="0"/>
              <w:keepLines w:val="0"/>
              <w:widowControl/>
              <w:suppressLineNumbers w:val="0"/>
              <w:spacing w:before="0" w:beforeAutospacing="1" w:after="0" w:afterAutospacing="1"/>
              <w:ind w:left="0" w:right="0"/>
              <w:jc w:val="center"/>
              <w:rPr>
                <w:rFonts w:asciiTheme="minorHAnsi" w:hAnsiTheme="minorHAnsi" w:eastAsiaTheme="minorEastAsia" w:cstheme="minorBidi"/>
                <w:color w:val="auto"/>
                <w:kern w:val="0"/>
                <w:sz w:val="24"/>
                <w:szCs w:val="24"/>
                <w:highlight w:val="none"/>
                <w:lang w:val="en-US" w:eastAsia="zh-CN" w:bidi="ar"/>
              </w:rPr>
            </w:pPr>
            <w:r>
              <w:rPr>
                <w:rFonts w:hint="eastAsia" w:ascii="宋体" w:hAnsi="宋体" w:eastAsia="宋体" w:cs="宋体"/>
                <w:color w:val="auto"/>
                <w:kern w:val="0"/>
                <w:sz w:val="21"/>
                <w:szCs w:val="21"/>
                <w:highlight w:val="none"/>
                <w:lang w:val="en-US" w:eastAsia="zh-CN" w:bidi="ar"/>
              </w:rPr>
              <w:t>保证金</w:t>
            </w:r>
          </w:p>
        </w:tc>
        <w:tc>
          <w:tcPr>
            <w:tcW w:w="1042"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1" w:after="0" w:afterAutospacing="1"/>
              <w:ind w:left="0" w:right="0"/>
              <w:jc w:val="center"/>
              <w:rPr>
                <w:rFonts w:asciiTheme="minorHAnsi" w:hAnsiTheme="minorHAnsi" w:eastAsiaTheme="minorEastAsia" w:cstheme="minorBidi"/>
                <w:color w:val="auto"/>
                <w:kern w:val="0"/>
                <w:sz w:val="24"/>
                <w:szCs w:val="24"/>
                <w:highlight w:val="none"/>
                <w:lang w:val="en-US" w:eastAsia="zh-CN" w:bidi="ar"/>
              </w:rPr>
            </w:pPr>
            <w:r>
              <w:rPr>
                <w:rFonts w:hint="eastAsia" w:ascii="宋体" w:hAnsi="宋体" w:eastAsia="宋体" w:cs="宋体"/>
                <w:color w:val="auto"/>
                <w:kern w:val="0"/>
                <w:sz w:val="21"/>
                <w:szCs w:val="21"/>
                <w:highlight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9" w:hRule="atLeast"/>
          <w:tblCellSpacing w:w="15" w:type="dxa"/>
        </w:trPr>
        <w:tc>
          <w:tcPr>
            <w:tcW w:w="966"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1" w:after="0" w:afterAutospacing="1"/>
              <w:ind w:left="0" w:right="0"/>
              <w:jc w:val="center"/>
              <w:rPr>
                <w:rFonts w:asciiTheme="minorHAnsi" w:hAnsiTheme="minorHAnsi" w:eastAsiaTheme="minorEastAsia" w:cstheme="minorBidi"/>
                <w:color w:val="auto"/>
                <w:kern w:val="0"/>
                <w:sz w:val="24"/>
                <w:szCs w:val="24"/>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5690"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1" w:after="0" w:afterAutospacing="1"/>
              <w:ind w:left="0" w:right="0"/>
              <w:jc w:val="left"/>
              <w:rPr>
                <w:rFonts w:asciiTheme="minorHAnsi" w:hAnsiTheme="minorHAnsi" w:eastAsiaTheme="minorEastAsia" w:cstheme="minorBidi"/>
                <w:color w:val="auto"/>
                <w:kern w:val="0"/>
                <w:sz w:val="24"/>
                <w:szCs w:val="24"/>
                <w:highlight w:val="none"/>
                <w:lang w:val="en-US" w:eastAsia="zh-CN" w:bidi="ar"/>
              </w:rPr>
            </w:pPr>
            <w:r>
              <w:rPr>
                <w:rFonts w:hint="eastAsia" w:ascii="宋体" w:hAnsi="宋体" w:eastAsia="宋体" w:cs="宋体"/>
                <w:color w:val="auto"/>
                <w:kern w:val="0"/>
                <w:sz w:val="21"/>
                <w:szCs w:val="21"/>
                <w:highlight w:val="none"/>
                <w:lang w:val="en-US" w:eastAsia="zh-CN" w:bidi="ar"/>
              </w:rPr>
              <w:t>投标总价（大写金额）：</w:t>
            </w:r>
            <w:r>
              <w:rPr>
                <w:rFonts w:hint="eastAsia" w:ascii="宋体" w:hAnsi="宋体" w:eastAsia="宋体" w:cs="宋体"/>
                <w:color w:val="auto"/>
                <w:kern w:val="0"/>
                <w:sz w:val="21"/>
                <w:szCs w:val="21"/>
                <w:highlight w:val="none"/>
                <w:u w:val="single"/>
                <w:lang w:val="en-US" w:eastAsia="zh-CN" w:bidi="ar"/>
              </w:rPr>
              <w:t>                      </w:t>
            </w:r>
            <w:r>
              <w:rPr>
                <w:rFonts w:hint="eastAsia" w:ascii="宋体" w:hAnsi="宋体" w:eastAsia="宋体" w:cs="宋体"/>
                <w:color w:val="auto"/>
                <w:kern w:val="0"/>
                <w:sz w:val="21"/>
                <w:szCs w:val="21"/>
                <w:highlight w:val="none"/>
                <w:lang w:val="en-US" w:eastAsia="zh-CN" w:bidi="ar"/>
              </w:rPr>
              <w:t>。</w:t>
            </w:r>
          </w:p>
        </w:tc>
        <w:tc>
          <w:tcPr>
            <w:tcW w:w="672" w:type="dxa"/>
            <w:shd w:val="clear" w:color="auto" w:fill="auto"/>
            <w:tcMar>
              <w:top w:w="0" w:type="dxa"/>
              <w:left w:w="105" w:type="dxa"/>
              <w:bottom w:w="0" w:type="dxa"/>
              <w:right w:w="105" w:type="dxa"/>
            </w:tcMar>
            <w:vAlign w:val="center"/>
          </w:tcPr>
          <w:p>
            <w:pPr>
              <w:keepNext w:val="0"/>
              <w:keepLines w:val="0"/>
              <w:widowControl/>
              <w:suppressLineNumbers w:val="0"/>
              <w:jc w:val="left"/>
              <w:rPr>
                <w:color w:val="auto"/>
                <w:highlight w:val="none"/>
              </w:rPr>
            </w:pPr>
          </w:p>
        </w:tc>
        <w:tc>
          <w:tcPr>
            <w:tcW w:w="1042"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1" w:after="0" w:afterAutospacing="1"/>
              <w:ind w:left="0" w:right="0"/>
              <w:jc w:val="left"/>
              <w:rPr>
                <w:rFonts w:asciiTheme="minorHAnsi" w:hAnsiTheme="minorHAnsi" w:eastAsiaTheme="minorEastAsia" w:cstheme="minorBidi"/>
                <w:color w:val="auto"/>
                <w:kern w:val="0"/>
                <w:sz w:val="24"/>
                <w:szCs w:val="24"/>
                <w:highlight w:val="none"/>
                <w:lang w:val="en-US" w:eastAsia="zh-CN" w:bidi="ar"/>
              </w:rPr>
            </w:pPr>
            <w:r>
              <w:rPr>
                <w:rFonts w:hint="eastAsia" w:ascii="宋体" w:hAnsi="宋体" w:eastAsia="宋体" w:cs="宋体"/>
                <w:color w:val="auto"/>
                <w:kern w:val="0"/>
                <w:sz w:val="21"/>
                <w:szCs w:val="21"/>
                <w:highlight w:val="none"/>
                <w:lang w:val="en-US" w:eastAsia="zh-CN" w:bidi="ar"/>
              </w:rPr>
              <w:t>投标报价的明细：详见《投标分项报价表》。</w:t>
            </w:r>
          </w:p>
          <w:p>
            <w:pPr>
              <w:keepNext w:val="0"/>
              <w:keepLines w:val="0"/>
              <w:widowControl/>
              <w:suppressLineNumbers w:val="0"/>
              <w:spacing w:before="0" w:beforeAutospacing="1" w:after="0" w:afterAutospacing="1"/>
              <w:ind w:left="0" w:right="0"/>
              <w:jc w:val="left"/>
              <w:rPr>
                <w:rFonts w:asciiTheme="minorHAnsi" w:hAnsiTheme="minorHAnsi" w:eastAsiaTheme="minorEastAsia" w:cstheme="minorBidi"/>
                <w:color w:val="auto"/>
                <w:kern w:val="0"/>
                <w:sz w:val="24"/>
                <w:szCs w:val="24"/>
                <w:highlight w:val="none"/>
                <w:lang w:val="en-US" w:eastAsia="zh-CN" w:bidi="ar"/>
              </w:rPr>
            </w:pPr>
          </w:p>
        </w:tc>
      </w:tr>
    </w:tbl>
    <w:p>
      <w:pPr>
        <w:keepNext w:val="0"/>
        <w:keepLines w:val="0"/>
        <w:widowControl/>
        <w:suppressLineNumbers w:val="0"/>
        <w:spacing w:before="0" w:beforeAutospacing="1" w:after="0" w:afterAutospacing="1"/>
        <w:ind w:left="0" w:right="0"/>
        <w:jc w:val="left"/>
        <w:rPr>
          <w:rFonts w:asciiTheme="minorHAnsi" w:hAnsiTheme="minorHAnsi" w:eastAsiaTheme="minorEastAsia" w:cstheme="minorBidi"/>
          <w:color w:val="auto"/>
          <w:kern w:val="0"/>
          <w:sz w:val="24"/>
          <w:szCs w:val="24"/>
          <w:highlight w:val="none"/>
          <w:lang w:val="en-US" w:eastAsia="zh-CN" w:bidi="ar"/>
        </w:rPr>
      </w:pPr>
      <w:r>
        <w:rPr>
          <w:rFonts w:hint="eastAsia" w:ascii="宋体" w:hAnsi="宋体" w:eastAsia="宋体" w:cs="宋体"/>
          <w:color w:val="auto"/>
          <w:kern w:val="0"/>
          <w:sz w:val="21"/>
          <w:szCs w:val="21"/>
          <w:highlight w:val="none"/>
          <w:lang w:val="en-US" w:eastAsia="zh-CN" w:bidi="ar"/>
        </w:rPr>
        <w:t>★注意：</w:t>
      </w:r>
    </w:p>
    <w:p>
      <w:pPr>
        <w:keepNext w:val="0"/>
        <w:keepLines w:val="0"/>
        <w:widowControl/>
        <w:suppressLineNumbers w:val="0"/>
        <w:spacing w:before="0" w:beforeAutospacing="1" w:after="0" w:afterAutospacing="1"/>
        <w:ind w:left="0" w:right="0"/>
        <w:jc w:val="left"/>
        <w:rPr>
          <w:rFonts w:asciiTheme="minorHAnsi" w:hAnsiTheme="minorHAnsi" w:eastAsiaTheme="minorEastAsia" w:cstheme="minorBidi"/>
          <w:color w:val="auto"/>
          <w:kern w:val="0"/>
          <w:sz w:val="24"/>
          <w:szCs w:val="24"/>
          <w:highlight w:val="none"/>
          <w:lang w:val="en-US" w:eastAsia="zh-CN" w:bidi="ar"/>
        </w:rPr>
      </w:pPr>
      <w:r>
        <w:rPr>
          <w:rFonts w:hint="eastAsia" w:ascii="宋体" w:hAnsi="宋体" w:eastAsia="宋体" w:cs="宋体"/>
          <w:color w:val="auto"/>
          <w:kern w:val="0"/>
          <w:sz w:val="21"/>
          <w:szCs w:val="21"/>
          <w:highlight w:val="none"/>
          <w:lang w:val="en-US" w:eastAsia="zh-CN" w:bidi="ar"/>
        </w:rPr>
        <w:t>1、本表应按照下列规定填写：</w:t>
      </w:r>
    </w:p>
    <w:p>
      <w:pPr>
        <w:keepNext w:val="0"/>
        <w:keepLines w:val="0"/>
        <w:widowControl/>
        <w:suppressLineNumbers w:val="0"/>
        <w:spacing w:before="0" w:beforeAutospacing="1" w:after="0" w:afterAutospacing="1"/>
        <w:ind w:left="0" w:right="0"/>
        <w:jc w:val="left"/>
        <w:rPr>
          <w:rFonts w:asciiTheme="minorHAnsi" w:hAnsiTheme="minorHAnsi" w:eastAsiaTheme="minorEastAsia" w:cstheme="minorBidi"/>
          <w:color w:val="auto"/>
          <w:kern w:val="0"/>
          <w:sz w:val="24"/>
          <w:szCs w:val="24"/>
          <w:highlight w:val="none"/>
          <w:lang w:val="en-US" w:eastAsia="zh-CN" w:bidi="ar"/>
        </w:rPr>
      </w:pPr>
      <w:r>
        <w:rPr>
          <w:rFonts w:hint="eastAsia" w:ascii="宋体" w:hAnsi="宋体" w:eastAsia="宋体" w:cs="宋体"/>
          <w:color w:val="auto"/>
          <w:kern w:val="0"/>
          <w:sz w:val="21"/>
          <w:szCs w:val="21"/>
          <w:highlight w:val="none"/>
          <w:lang w:val="en-US" w:eastAsia="zh-CN" w:bidi="ar"/>
        </w:rPr>
        <w:t>1.1投标人应按照本表格式填写所投的合同包的“投标报价”。</w:t>
      </w:r>
    </w:p>
    <w:p>
      <w:pPr>
        <w:keepNext w:val="0"/>
        <w:keepLines w:val="0"/>
        <w:widowControl/>
        <w:suppressLineNumbers w:val="0"/>
        <w:spacing w:before="0" w:beforeAutospacing="1" w:after="0" w:afterAutospacing="1"/>
        <w:ind w:left="0" w:right="0"/>
        <w:jc w:val="left"/>
        <w:rPr>
          <w:rFonts w:asciiTheme="minorHAnsi" w:hAnsiTheme="minorHAnsi" w:eastAsiaTheme="minorEastAsia" w:cstheme="minorBidi"/>
          <w:color w:val="auto"/>
          <w:kern w:val="0"/>
          <w:sz w:val="24"/>
          <w:szCs w:val="24"/>
          <w:highlight w:val="none"/>
          <w:lang w:val="en-US" w:eastAsia="zh-CN" w:bidi="ar"/>
        </w:rPr>
      </w:pPr>
      <w:r>
        <w:rPr>
          <w:rFonts w:hint="eastAsia" w:ascii="宋体" w:hAnsi="宋体" w:eastAsia="宋体" w:cs="宋体"/>
          <w:color w:val="auto"/>
          <w:kern w:val="0"/>
          <w:sz w:val="21"/>
          <w:szCs w:val="21"/>
          <w:highlight w:val="none"/>
          <w:lang w:val="en-US" w:eastAsia="zh-CN" w:bidi="ar"/>
        </w:rPr>
        <w:t>1.2本表中列示的“合同包”应与《投标分项报价表》中列示的“合同包”保持一致，即：若本表中列示的“合同包”为“</w:t>
      </w:r>
      <w:r>
        <w:rPr>
          <w:rFonts w:hint="default" w:ascii="Calibri" w:hAnsi="Calibri" w:eastAsia="宋体" w:cs="Calibri"/>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”时，《投标分项报价表》中列示的“合同包”亦应为“</w:t>
      </w:r>
      <w:r>
        <w:rPr>
          <w:rFonts w:hint="default" w:ascii="Calibri" w:hAnsi="Calibri" w:eastAsia="宋体" w:cs="Calibri"/>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”，以此类推。</w:t>
      </w:r>
    </w:p>
    <w:p>
      <w:pPr>
        <w:keepNext w:val="0"/>
        <w:keepLines w:val="0"/>
        <w:widowControl/>
        <w:suppressLineNumbers w:val="0"/>
        <w:spacing w:before="0" w:beforeAutospacing="1" w:after="0" w:afterAutospacing="1"/>
        <w:ind w:left="0" w:right="0"/>
        <w:jc w:val="left"/>
        <w:rPr>
          <w:rFonts w:asciiTheme="minorHAnsi" w:hAnsiTheme="minorHAnsi" w:eastAsiaTheme="minorEastAsia" w:cstheme="minorBidi"/>
          <w:color w:val="auto"/>
          <w:kern w:val="0"/>
          <w:sz w:val="24"/>
          <w:szCs w:val="24"/>
          <w:highlight w:val="none"/>
          <w:lang w:val="en-US" w:eastAsia="zh-CN" w:bidi="ar"/>
        </w:rPr>
      </w:pPr>
      <w:r>
        <w:rPr>
          <w:rFonts w:hint="eastAsia" w:ascii="宋体" w:hAnsi="宋体" w:eastAsia="宋体" w:cs="宋体"/>
          <w:color w:val="auto"/>
          <w:kern w:val="0"/>
          <w:sz w:val="21"/>
          <w:szCs w:val="21"/>
          <w:highlight w:val="none"/>
          <w:lang w:val="en-US" w:eastAsia="zh-CN" w:bidi="ar"/>
        </w:rPr>
        <w:t>1.3“大写金额”指“投标报价”应用“壹、贰、叁、肆、伍、陆、柒、捌、玖、拾、佰、仟、万、亿、元、角、分、零”等进行填写。</w:t>
      </w:r>
    </w:p>
    <w:p>
      <w:pPr>
        <w:keepNext w:val="0"/>
        <w:keepLines w:val="0"/>
        <w:widowControl/>
        <w:suppressLineNumbers w:val="0"/>
        <w:spacing w:before="0" w:beforeAutospacing="1" w:after="0" w:afterAutospacing="1"/>
        <w:ind w:left="0" w:right="0"/>
        <w:jc w:val="left"/>
        <w:rPr>
          <w:rFonts w:asciiTheme="minorHAnsi" w:hAnsiTheme="minorHAnsi" w:eastAsiaTheme="minorEastAsia" w:cstheme="minorBidi"/>
          <w:color w:val="auto"/>
          <w:kern w:val="0"/>
          <w:sz w:val="24"/>
          <w:szCs w:val="24"/>
          <w:highlight w:val="none"/>
          <w:lang w:val="en-US" w:eastAsia="zh-CN" w:bidi="ar"/>
        </w:rPr>
      </w:pPr>
      <w:r>
        <w:rPr>
          <w:rFonts w:hint="eastAsia" w:ascii="宋体" w:hAnsi="宋体" w:eastAsia="宋体" w:cs="宋体"/>
          <w:color w:val="auto"/>
          <w:kern w:val="0"/>
          <w:sz w:val="21"/>
          <w:szCs w:val="21"/>
          <w:highlight w:val="none"/>
          <w:lang w:val="en-US" w:eastAsia="zh-CN" w:bidi="ar"/>
        </w:rPr>
        <w:t>2、纸质投标文件正本中的本表应为原件。</w:t>
      </w:r>
    </w:p>
    <w:p>
      <w:pPr>
        <w:keepNext w:val="0"/>
        <w:keepLines w:val="0"/>
        <w:widowControl/>
        <w:suppressLineNumbers w:val="0"/>
        <w:spacing w:before="0" w:beforeAutospacing="1" w:after="0" w:afterAutospacing="1"/>
        <w:ind w:left="0" w:right="0"/>
        <w:jc w:val="left"/>
        <w:rPr>
          <w:rFonts w:asciiTheme="minorHAnsi" w:hAnsiTheme="minorHAnsi" w:eastAsiaTheme="minorEastAsia" w:cstheme="minorBidi"/>
          <w:color w:val="auto"/>
          <w:kern w:val="0"/>
          <w:sz w:val="24"/>
          <w:szCs w:val="24"/>
          <w:highlight w:val="none"/>
          <w:lang w:val="en-US" w:eastAsia="zh-CN" w:bidi="ar"/>
        </w:rPr>
      </w:pPr>
      <w:r>
        <w:rPr>
          <w:rFonts w:hint="eastAsia" w:ascii="宋体" w:hAnsi="宋体" w:eastAsia="宋体" w:cs="宋体"/>
          <w:color w:val="auto"/>
          <w:kern w:val="0"/>
          <w:sz w:val="21"/>
          <w:szCs w:val="21"/>
          <w:highlight w:val="none"/>
          <w:lang w:val="en-US" w:eastAsia="zh-CN" w:bidi="ar"/>
        </w:rPr>
        <w:t>  </w:t>
      </w:r>
    </w:p>
    <w:p>
      <w:pPr>
        <w:keepNext w:val="0"/>
        <w:keepLines w:val="0"/>
        <w:widowControl/>
        <w:suppressLineNumbers w:val="0"/>
        <w:spacing w:before="0" w:beforeAutospacing="1" w:after="0" w:afterAutospacing="1"/>
        <w:ind w:left="0" w:right="0"/>
        <w:jc w:val="left"/>
        <w:rPr>
          <w:rFonts w:asciiTheme="minorHAnsi" w:hAnsiTheme="minorHAnsi" w:eastAsiaTheme="minorEastAsia" w:cstheme="minorBidi"/>
          <w:color w:val="auto"/>
          <w:kern w:val="0"/>
          <w:sz w:val="24"/>
          <w:szCs w:val="24"/>
          <w:highlight w:val="none"/>
          <w:lang w:val="en-US" w:eastAsia="zh-CN" w:bidi="ar"/>
        </w:rPr>
      </w:pPr>
      <w:r>
        <w:rPr>
          <w:rFonts w:hint="eastAsia" w:ascii="宋体" w:hAnsi="宋体" w:eastAsia="宋体" w:cs="宋体"/>
          <w:color w:val="auto"/>
          <w:kern w:val="0"/>
          <w:sz w:val="21"/>
          <w:szCs w:val="21"/>
          <w:highlight w:val="none"/>
          <w:lang w:val="en-US" w:eastAsia="zh-CN" w:bidi="ar"/>
        </w:rPr>
        <w:t>投标人：</w:t>
      </w:r>
      <w:r>
        <w:rPr>
          <w:rFonts w:hint="eastAsia" w:ascii="宋体" w:hAnsi="宋体" w:eastAsia="宋体" w:cs="宋体"/>
          <w:color w:val="auto"/>
          <w:kern w:val="0"/>
          <w:sz w:val="21"/>
          <w:szCs w:val="21"/>
          <w:highlight w:val="none"/>
          <w:u w:val="single"/>
          <w:lang w:val="en-US" w:eastAsia="zh-CN" w:bidi="ar"/>
        </w:rPr>
        <w:t>（全称并加盖单位公章）</w:t>
      </w:r>
    </w:p>
    <w:p>
      <w:pPr>
        <w:keepNext w:val="0"/>
        <w:keepLines w:val="0"/>
        <w:widowControl/>
        <w:suppressLineNumbers w:val="0"/>
        <w:spacing w:before="0" w:beforeAutospacing="1" w:after="0" w:afterAutospacing="1"/>
        <w:ind w:left="0" w:right="0"/>
        <w:jc w:val="left"/>
        <w:rPr>
          <w:rFonts w:asciiTheme="minorHAnsi" w:hAnsiTheme="minorHAnsi" w:eastAsiaTheme="minorEastAsia" w:cstheme="minorBidi"/>
          <w:color w:val="auto"/>
          <w:kern w:val="0"/>
          <w:sz w:val="24"/>
          <w:szCs w:val="24"/>
          <w:highlight w:val="none"/>
          <w:lang w:val="en-US" w:eastAsia="zh-CN" w:bidi="ar"/>
        </w:rPr>
      </w:pPr>
      <w:r>
        <w:rPr>
          <w:rFonts w:hint="eastAsia" w:ascii="宋体" w:hAnsi="宋体" w:eastAsia="宋体" w:cs="宋体"/>
          <w:color w:val="auto"/>
          <w:kern w:val="0"/>
          <w:sz w:val="21"/>
          <w:szCs w:val="21"/>
          <w:highlight w:val="none"/>
          <w:lang w:val="en-US" w:eastAsia="zh-CN" w:bidi="ar"/>
        </w:rPr>
        <w:t>投标人代表签字：</w:t>
      </w:r>
      <w:r>
        <w:rPr>
          <w:rFonts w:hint="eastAsia" w:ascii="宋体" w:hAnsi="宋体" w:eastAsia="宋体" w:cs="宋体"/>
          <w:color w:val="auto"/>
          <w:kern w:val="0"/>
          <w:sz w:val="21"/>
          <w:szCs w:val="21"/>
          <w:highlight w:val="none"/>
          <w:u w:val="single"/>
          <w:lang w:val="en-US" w:eastAsia="zh-CN" w:bidi="ar"/>
        </w:rPr>
        <w:t>                   </w:t>
      </w:r>
    </w:p>
    <w:p>
      <w:pPr>
        <w:keepNext w:val="0"/>
        <w:keepLines w:val="0"/>
        <w:widowControl/>
        <w:suppressLineNumbers w:val="0"/>
        <w:spacing w:before="0" w:beforeAutospacing="1" w:after="0" w:afterAutospacing="1"/>
        <w:ind w:left="0" w:right="0"/>
        <w:jc w:val="left"/>
        <w:rPr>
          <w:rFonts w:asciiTheme="minorHAnsi" w:hAnsiTheme="minorHAnsi" w:eastAsiaTheme="minorEastAsia" w:cstheme="minorBidi"/>
          <w:color w:val="auto"/>
          <w:kern w:val="0"/>
          <w:sz w:val="24"/>
          <w:szCs w:val="24"/>
          <w:highlight w:val="none"/>
          <w:lang w:val="en-US" w:eastAsia="zh-CN" w:bidi="ar"/>
        </w:rPr>
      </w:pPr>
      <w:r>
        <w:rPr>
          <w:rFonts w:hint="eastAsia" w:ascii="宋体" w:hAnsi="宋体" w:eastAsia="宋体" w:cs="宋体"/>
          <w:color w:val="auto"/>
          <w:kern w:val="0"/>
          <w:sz w:val="21"/>
          <w:szCs w:val="21"/>
          <w:highlight w:val="none"/>
          <w:lang w:val="en-US" w:eastAsia="zh-CN" w:bidi="ar"/>
        </w:rPr>
        <w:t>日期：</w:t>
      </w:r>
      <w:r>
        <w:rPr>
          <w:rFonts w:hint="eastAsia" w:ascii="宋体" w:hAnsi="宋体" w:eastAsia="宋体" w:cs="宋体"/>
          <w:color w:val="auto"/>
          <w:kern w:val="0"/>
          <w:sz w:val="21"/>
          <w:szCs w:val="21"/>
          <w:highlight w:val="none"/>
          <w:u w:val="single"/>
          <w:lang w:val="en-US" w:eastAsia="zh-CN" w:bidi="ar"/>
        </w:rPr>
        <w:t>    </w:t>
      </w:r>
      <w:r>
        <w:rPr>
          <w:rFonts w:hint="eastAsia" w:ascii="宋体" w:hAnsi="宋体" w:eastAsia="宋体" w:cs="宋体"/>
          <w:color w:val="auto"/>
          <w:kern w:val="0"/>
          <w:sz w:val="21"/>
          <w:szCs w:val="21"/>
          <w:highlight w:val="none"/>
          <w:lang w:val="en-US" w:eastAsia="zh-CN" w:bidi="ar"/>
        </w:rPr>
        <w:t>年</w:t>
      </w:r>
      <w:r>
        <w:rPr>
          <w:rFonts w:hint="eastAsia" w:ascii="宋体" w:hAnsi="宋体" w:eastAsia="宋体" w:cs="宋体"/>
          <w:color w:val="auto"/>
          <w:kern w:val="0"/>
          <w:sz w:val="21"/>
          <w:szCs w:val="21"/>
          <w:highlight w:val="none"/>
          <w:u w:val="single"/>
          <w:lang w:val="en-US" w:eastAsia="zh-CN" w:bidi="ar"/>
        </w:rPr>
        <w:t>   </w:t>
      </w:r>
      <w:r>
        <w:rPr>
          <w:rFonts w:hint="eastAsia" w:ascii="宋体" w:hAnsi="宋体" w:eastAsia="宋体" w:cs="宋体"/>
          <w:color w:val="auto"/>
          <w:kern w:val="0"/>
          <w:sz w:val="21"/>
          <w:szCs w:val="21"/>
          <w:highlight w:val="none"/>
          <w:lang w:val="en-US" w:eastAsia="zh-CN" w:bidi="ar"/>
        </w:rPr>
        <w:t>月</w:t>
      </w:r>
      <w:r>
        <w:rPr>
          <w:rFonts w:hint="eastAsia" w:ascii="宋体" w:hAnsi="宋体" w:eastAsia="宋体" w:cs="宋体"/>
          <w:color w:val="auto"/>
          <w:kern w:val="0"/>
          <w:sz w:val="21"/>
          <w:szCs w:val="21"/>
          <w:highlight w:val="none"/>
          <w:u w:val="single"/>
          <w:lang w:val="en-US" w:eastAsia="zh-CN" w:bidi="ar"/>
        </w:rPr>
        <w:t>   </w:t>
      </w:r>
      <w:r>
        <w:rPr>
          <w:rFonts w:hint="eastAsia" w:ascii="宋体" w:hAnsi="宋体" w:eastAsia="宋体" w:cs="宋体"/>
          <w:color w:val="auto"/>
          <w:kern w:val="0"/>
          <w:sz w:val="21"/>
          <w:szCs w:val="21"/>
          <w:highlight w:val="none"/>
          <w:lang w:val="en-US" w:eastAsia="zh-CN" w:bidi="ar"/>
        </w:rPr>
        <w:t>日</w:t>
      </w:r>
    </w:p>
    <w:p>
      <w:pPr>
        <w:rPr>
          <w:rStyle w:val="16"/>
          <w:rFonts w:hint="eastAsia" w:ascii="宋体" w:hAnsi="宋体" w:eastAsia="宋体" w:cs="宋体"/>
          <w:color w:val="auto"/>
          <w:sz w:val="21"/>
          <w:szCs w:val="21"/>
          <w:highlight w:val="none"/>
        </w:rPr>
      </w:pPr>
      <w:r>
        <w:rPr>
          <w:rStyle w:val="16"/>
          <w:rFonts w:hint="eastAsia" w:ascii="宋体" w:hAnsi="宋体" w:eastAsia="宋体" w:cs="宋体"/>
          <w:color w:val="auto"/>
          <w:sz w:val="21"/>
          <w:szCs w:val="21"/>
          <w:highlight w:val="none"/>
        </w:rPr>
        <w:br w:type="page"/>
      </w:r>
    </w:p>
    <w:p>
      <w:pPr>
        <w:pStyle w:val="12"/>
        <w:widowControl/>
        <w:jc w:val="center"/>
        <w:outlineLvl w:val="2"/>
        <w:rPr>
          <w:color w:val="auto"/>
          <w:highlight w:val="none"/>
        </w:rPr>
      </w:pPr>
      <w:r>
        <w:rPr>
          <w:rStyle w:val="16"/>
          <w:rFonts w:hint="eastAsia" w:ascii="宋体" w:hAnsi="宋体" w:eastAsia="宋体" w:cs="宋体"/>
          <w:color w:val="auto"/>
          <w:sz w:val="21"/>
          <w:szCs w:val="21"/>
          <w:highlight w:val="none"/>
        </w:rPr>
        <w:t>二、投标分项报价表</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招</w:t>
      </w:r>
      <w:r>
        <w:rPr>
          <w:rFonts w:ascii="宋体" w:hAnsi="宋体" w:eastAsia="宋体" w:cs="宋体"/>
          <w:color w:val="auto"/>
          <w:sz w:val="21"/>
          <w:szCs w:val="21"/>
          <w:highlight w:val="none"/>
        </w:rPr>
        <w:t>标编号：</w:t>
      </w:r>
      <w:r>
        <w:rPr>
          <w:rFonts w:hint="eastAsia" w:ascii="宋体" w:hAnsi="宋体" w:eastAsia="宋体" w:cs="宋体"/>
          <w:color w:val="auto"/>
          <w:sz w:val="21"/>
          <w:szCs w:val="21"/>
          <w:highlight w:val="none"/>
          <w:u w:val="single"/>
        </w:rPr>
        <w:t>                   </w:t>
      </w:r>
    </w:p>
    <w:p>
      <w:pPr>
        <w:pStyle w:val="12"/>
        <w:widowControl/>
        <w:jc w:val="right"/>
        <w:rPr>
          <w:color w:val="auto"/>
          <w:highlight w:val="none"/>
        </w:rPr>
      </w:pPr>
      <w:r>
        <w:rPr>
          <w:rFonts w:hint="eastAsia" w:ascii="宋体" w:hAnsi="宋体" w:eastAsia="宋体" w:cs="宋体"/>
          <w:color w:val="auto"/>
          <w:sz w:val="21"/>
          <w:szCs w:val="21"/>
          <w:highlight w:val="none"/>
        </w:rPr>
        <w:t>货币及单位：人民币元</w:t>
      </w:r>
    </w:p>
    <w:tbl>
      <w:tblPr>
        <w:tblStyle w:val="13"/>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85"/>
        <w:gridCol w:w="956"/>
        <w:gridCol w:w="1498"/>
        <w:gridCol w:w="1236"/>
        <w:gridCol w:w="851"/>
        <w:gridCol w:w="992"/>
        <w:gridCol w:w="589"/>
        <w:gridCol w:w="1088"/>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trPr>
        <w:tc>
          <w:tcPr>
            <w:tcW w:w="420" w:type="dxa"/>
            <w:shd w:val="clear" w:color="auto" w:fill="auto"/>
            <w:tcMar>
              <w:top w:w="0" w:type="dxa"/>
              <w:left w:w="105" w:type="dxa"/>
              <w:bottom w:w="0" w:type="dxa"/>
              <w:right w:w="105" w:type="dxa"/>
            </w:tcMar>
            <w:vAlign w:val="center"/>
          </w:tcPr>
          <w:p>
            <w:pPr>
              <w:pStyle w:val="12"/>
              <w:widowControl/>
              <w:jc w:val="center"/>
              <w:rPr>
                <w:color w:val="auto"/>
                <w:highlight w:val="none"/>
              </w:rPr>
            </w:pPr>
            <w:r>
              <w:rPr>
                <w:rFonts w:hint="eastAsia" w:ascii="宋体" w:hAnsi="宋体" w:eastAsia="宋体" w:cs="宋体"/>
                <w:color w:val="auto"/>
                <w:sz w:val="21"/>
                <w:szCs w:val="21"/>
                <w:highlight w:val="none"/>
              </w:rPr>
              <w:t>合同包</w:t>
            </w:r>
          </w:p>
        </w:tc>
        <w:tc>
          <w:tcPr>
            <w:tcW w:w="960" w:type="dxa"/>
            <w:shd w:val="clear" w:color="auto" w:fill="auto"/>
            <w:tcMar>
              <w:top w:w="0" w:type="dxa"/>
              <w:left w:w="105" w:type="dxa"/>
              <w:bottom w:w="0" w:type="dxa"/>
              <w:right w:w="105" w:type="dxa"/>
            </w:tcMar>
            <w:vAlign w:val="center"/>
          </w:tcPr>
          <w:p>
            <w:pPr>
              <w:pStyle w:val="12"/>
              <w:widowControl/>
              <w:jc w:val="center"/>
              <w:rPr>
                <w:color w:val="auto"/>
                <w:highlight w:val="none"/>
              </w:rPr>
            </w:pPr>
            <w:r>
              <w:rPr>
                <w:rFonts w:hint="eastAsia" w:ascii="宋体" w:hAnsi="宋体" w:eastAsia="宋体" w:cs="宋体"/>
                <w:color w:val="auto"/>
                <w:sz w:val="21"/>
                <w:szCs w:val="21"/>
                <w:highlight w:val="none"/>
              </w:rPr>
              <w:t>品目号</w:t>
            </w:r>
          </w:p>
        </w:tc>
        <w:tc>
          <w:tcPr>
            <w:tcW w:w="1560" w:type="dxa"/>
            <w:shd w:val="clear" w:color="auto" w:fill="auto"/>
            <w:tcMar>
              <w:top w:w="0" w:type="dxa"/>
              <w:left w:w="105" w:type="dxa"/>
              <w:bottom w:w="0" w:type="dxa"/>
              <w:right w:w="105" w:type="dxa"/>
            </w:tcMar>
            <w:vAlign w:val="center"/>
          </w:tcPr>
          <w:p>
            <w:pPr>
              <w:pStyle w:val="12"/>
              <w:widowControl/>
              <w:jc w:val="center"/>
              <w:rPr>
                <w:color w:val="auto"/>
                <w:highlight w:val="none"/>
              </w:rPr>
            </w:pPr>
            <w:r>
              <w:rPr>
                <w:rFonts w:hint="eastAsia" w:ascii="宋体" w:hAnsi="宋体" w:eastAsia="宋体" w:cs="宋体"/>
                <w:color w:val="auto"/>
                <w:sz w:val="21"/>
                <w:szCs w:val="21"/>
                <w:highlight w:val="none"/>
              </w:rPr>
              <w:t>投标标的</w:t>
            </w:r>
          </w:p>
        </w:tc>
        <w:tc>
          <w:tcPr>
            <w:tcW w:w="1275" w:type="dxa"/>
            <w:shd w:val="clear" w:color="auto" w:fill="auto"/>
            <w:tcMar>
              <w:top w:w="0" w:type="dxa"/>
              <w:left w:w="105" w:type="dxa"/>
              <w:bottom w:w="0" w:type="dxa"/>
              <w:right w:w="105" w:type="dxa"/>
            </w:tcMar>
            <w:vAlign w:val="center"/>
          </w:tcPr>
          <w:p>
            <w:pPr>
              <w:pStyle w:val="12"/>
              <w:widowControl/>
              <w:jc w:val="center"/>
              <w:rPr>
                <w:color w:val="auto"/>
                <w:highlight w:val="none"/>
              </w:rPr>
            </w:pPr>
            <w:r>
              <w:rPr>
                <w:rFonts w:hint="eastAsia" w:ascii="宋体" w:hAnsi="宋体" w:eastAsia="宋体" w:cs="宋体"/>
                <w:color w:val="auto"/>
                <w:sz w:val="21"/>
                <w:szCs w:val="21"/>
                <w:highlight w:val="none"/>
              </w:rPr>
              <w:t>规格</w:t>
            </w:r>
          </w:p>
        </w:tc>
        <w:tc>
          <w:tcPr>
            <w:tcW w:w="855" w:type="dxa"/>
            <w:shd w:val="clear" w:color="auto" w:fill="auto"/>
            <w:tcMar>
              <w:top w:w="0" w:type="dxa"/>
              <w:left w:w="105" w:type="dxa"/>
              <w:bottom w:w="0" w:type="dxa"/>
              <w:right w:w="105" w:type="dxa"/>
            </w:tcMar>
            <w:vAlign w:val="center"/>
          </w:tcPr>
          <w:p>
            <w:pPr>
              <w:pStyle w:val="12"/>
              <w:widowControl/>
              <w:jc w:val="center"/>
              <w:rPr>
                <w:color w:val="auto"/>
                <w:highlight w:val="none"/>
              </w:rPr>
            </w:pPr>
            <w:r>
              <w:rPr>
                <w:rFonts w:hint="eastAsia" w:ascii="宋体" w:hAnsi="宋体" w:eastAsia="宋体" w:cs="宋体"/>
                <w:color w:val="auto"/>
                <w:sz w:val="21"/>
                <w:szCs w:val="21"/>
                <w:highlight w:val="none"/>
              </w:rPr>
              <w:t>来源地</w:t>
            </w:r>
          </w:p>
        </w:tc>
        <w:tc>
          <w:tcPr>
            <w:tcW w:w="990" w:type="dxa"/>
            <w:shd w:val="clear" w:color="auto" w:fill="auto"/>
            <w:tcMar>
              <w:top w:w="0" w:type="dxa"/>
              <w:left w:w="105" w:type="dxa"/>
              <w:bottom w:w="0" w:type="dxa"/>
              <w:right w:w="105" w:type="dxa"/>
            </w:tcMar>
            <w:vAlign w:val="center"/>
          </w:tcPr>
          <w:p>
            <w:pPr>
              <w:pStyle w:val="12"/>
              <w:widowControl/>
              <w:jc w:val="center"/>
              <w:rPr>
                <w:color w:val="auto"/>
                <w:highlight w:val="none"/>
              </w:rPr>
            </w:pPr>
            <w:r>
              <w:rPr>
                <w:rFonts w:hint="eastAsia" w:ascii="宋体" w:hAnsi="宋体" w:eastAsia="宋体" w:cs="宋体"/>
                <w:color w:val="auto"/>
                <w:sz w:val="21"/>
                <w:szCs w:val="21"/>
                <w:highlight w:val="none"/>
              </w:rPr>
              <w:t>单价</w:t>
            </w:r>
          </w:p>
          <w:p>
            <w:pPr>
              <w:pStyle w:val="12"/>
              <w:widowControl/>
              <w:jc w:val="center"/>
              <w:rPr>
                <w:color w:val="auto"/>
                <w:highlight w:val="none"/>
              </w:rPr>
            </w:pPr>
            <w:r>
              <w:rPr>
                <w:rFonts w:hint="eastAsia" w:ascii="宋体" w:hAnsi="宋体" w:eastAsia="宋体" w:cs="宋体"/>
                <w:color w:val="auto"/>
                <w:sz w:val="21"/>
                <w:szCs w:val="21"/>
                <w:highlight w:val="none"/>
              </w:rPr>
              <w:t>（现场）</w:t>
            </w:r>
          </w:p>
        </w:tc>
        <w:tc>
          <w:tcPr>
            <w:tcW w:w="570" w:type="dxa"/>
            <w:shd w:val="clear" w:color="auto" w:fill="auto"/>
            <w:tcMar>
              <w:top w:w="0" w:type="dxa"/>
              <w:left w:w="105" w:type="dxa"/>
              <w:bottom w:w="0" w:type="dxa"/>
              <w:right w:w="105" w:type="dxa"/>
            </w:tcMar>
            <w:vAlign w:val="center"/>
          </w:tcPr>
          <w:p>
            <w:pPr>
              <w:pStyle w:val="12"/>
              <w:widowControl/>
              <w:jc w:val="center"/>
              <w:rPr>
                <w:color w:val="auto"/>
                <w:highlight w:val="none"/>
              </w:rPr>
            </w:pPr>
            <w:r>
              <w:rPr>
                <w:rFonts w:hint="eastAsia" w:ascii="宋体" w:hAnsi="宋体" w:eastAsia="宋体" w:cs="宋体"/>
                <w:color w:val="auto"/>
                <w:sz w:val="21"/>
                <w:szCs w:val="21"/>
                <w:highlight w:val="none"/>
              </w:rPr>
              <w:t>数量</w:t>
            </w:r>
          </w:p>
        </w:tc>
        <w:tc>
          <w:tcPr>
            <w:tcW w:w="1095" w:type="dxa"/>
            <w:shd w:val="clear" w:color="auto" w:fill="auto"/>
            <w:tcMar>
              <w:top w:w="0" w:type="dxa"/>
              <w:left w:w="105" w:type="dxa"/>
              <w:bottom w:w="0" w:type="dxa"/>
              <w:right w:w="105" w:type="dxa"/>
            </w:tcMar>
            <w:vAlign w:val="center"/>
          </w:tcPr>
          <w:p>
            <w:pPr>
              <w:pStyle w:val="12"/>
              <w:widowControl/>
              <w:jc w:val="center"/>
              <w:rPr>
                <w:color w:val="auto"/>
                <w:highlight w:val="none"/>
              </w:rPr>
            </w:pPr>
            <w:r>
              <w:rPr>
                <w:rFonts w:hint="eastAsia" w:ascii="宋体" w:hAnsi="宋体" w:eastAsia="宋体" w:cs="宋体"/>
                <w:color w:val="auto"/>
                <w:sz w:val="21"/>
                <w:szCs w:val="21"/>
                <w:highlight w:val="none"/>
              </w:rPr>
              <w:t>总价</w:t>
            </w:r>
          </w:p>
          <w:p>
            <w:pPr>
              <w:pStyle w:val="12"/>
              <w:widowControl/>
              <w:jc w:val="center"/>
              <w:rPr>
                <w:color w:val="auto"/>
                <w:highlight w:val="none"/>
              </w:rPr>
            </w:pPr>
            <w:r>
              <w:rPr>
                <w:rFonts w:hint="eastAsia" w:ascii="宋体" w:hAnsi="宋体" w:eastAsia="宋体" w:cs="宋体"/>
                <w:color w:val="auto"/>
                <w:sz w:val="21"/>
                <w:szCs w:val="21"/>
                <w:highlight w:val="none"/>
              </w:rPr>
              <w:t>（现场）</w:t>
            </w:r>
          </w:p>
        </w:tc>
        <w:tc>
          <w:tcPr>
            <w:tcW w:w="810" w:type="dxa"/>
            <w:shd w:val="clear" w:color="auto" w:fill="auto"/>
            <w:tcMar>
              <w:top w:w="0" w:type="dxa"/>
              <w:left w:w="105" w:type="dxa"/>
              <w:bottom w:w="0" w:type="dxa"/>
              <w:right w:w="105" w:type="dxa"/>
            </w:tcMar>
            <w:vAlign w:val="center"/>
          </w:tcPr>
          <w:p>
            <w:pPr>
              <w:pStyle w:val="12"/>
              <w:widowControl/>
              <w:jc w:val="center"/>
              <w:rPr>
                <w:color w:val="auto"/>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20" w:type="dxa"/>
            <w:vMerge w:val="restart"/>
            <w:shd w:val="clear" w:color="auto" w:fill="auto"/>
            <w:tcMar>
              <w:top w:w="0" w:type="dxa"/>
              <w:left w:w="105" w:type="dxa"/>
              <w:bottom w:w="0" w:type="dxa"/>
              <w:right w:w="105" w:type="dxa"/>
            </w:tcMar>
            <w:vAlign w:val="center"/>
          </w:tcPr>
          <w:p>
            <w:pPr>
              <w:pStyle w:val="12"/>
              <w:widowControl/>
              <w:jc w:val="center"/>
              <w:rPr>
                <w:color w:val="auto"/>
                <w:highlight w:val="none"/>
              </w:rPr>
            </w:pPr>
            <w:r>
              <w:rPr>
                <w:rFonts w:hint="eastAsia" w:ascii="宋体" w:hAnsi="宋体" w:eastAsia="宋体" w:cs="宋体"/>
                <w:color w:val="auto"/>
                <w:sz w:val="21"/>
                <w:szCs w:val="21"/>
                <w:highlight w:val="none"/>
              </w:rPr>
              <w:t>*</w:t>
            </w:r>
          </w:p>
        </w:tc>
        <w:tc>
          <w:tcPr>
            <w:tcW w:w="960" w:type="dxa"/>
            <w:shd w:val="clear" w:color="auto" w:fill="auto"/>
            <w:tcMar>
              <w:top w:w="0" w:type="dxa"/>
              <w:left w:w="105" w:type="dxa"/>
              <w:bottom w:w="0" w:type="dxa"/>
              <w:right w:w="105" w:type="dxa"/>
            </w:tcMar>
            <w:vAlign w:val="center"/>
          </w:tcPr>
          <w:p>
            <w:pPr>
              <w:pStyle w:val="12"/>
              <w:widowControl/>
              <w:jc w:val="center"/>
              <w:rPr>
                <w:color w:val="auto"/>
                <w:highlight w:val="none"/>
              </w:rPr>
            </w:pPr>
            <w:r>
              <w:rPr>
                <w:rFonts w:hint="eastAsia" w:ascii="宋体" w:hAnsi="宋体" w:eastAsia="宋体" w:cs="宋体"/>
                <w:color w:val="auto"/>
                <w:sz w:val="21"/>
                <w:szCs w:val="21"/>
                <w:highlight w:val="none"/>
              </w:rPr>
              <w:t>*-1</w:t>
            </w:r>
          </w:p>
        </w:tc>
        <w:tc>
          <w:tcPr>
            <w:tcW w:w="1560" w:type="dxa"/>
            <w:shd w:val="clear" w:color="auto" w:fill="auto"/>
            <w:tcMar>
              <w:top w:w="0" w:type="dxa"/>
              <w:left w:w="105" w:type="dxa"/>
              <w:bottom w:w="0" w:type="dxa"/>
              <w:right w:w="105" w:type="dxa"/>
            </w:tcMar>
          </w:tcPr>
          <w:p>
            <w:pPr>
              <w:widowControl/>
              <w:jc w:val="left"/>
              <w:rPr>
                <w:color w:val="auto"/>
                <w:highlight w:val="none"/>
              </w:rPr>
            </w:pPr>
          </w:p>
        </w:tc>
        <w:tc>
          <w:tcPr>
            <w:tcW w:w="1275" w:type="dxa"/>
            <w:shd w:val="clear" w:color="auto" w:fill="auto"/>
            <w:tcMar>
              <w:top w:w="0" w:type="dxa"/>
              <w:left w:w="105" w:type="dxa"/>
              <w:bottom w:w="0" w:type="dxa"/>
              <w:right w:w="105" w:type="dxa"/>
            </w:tcMar>
            <w:vAlign w:val="center"/>
          </w:tcPr>
          <w:p>
            <w:pPr>
              <w:widowControl/>
              <w:jc w:val="left"/>
              <w:rPr>
                <w:color w:val="auto"/>
                <w:highlight w:val="none"/>
              </w:rPr>
            </w:pPr>
          </w:p>
        </w:tc>
        <w:tc>
          <w:tcPr>
            <w:tcW w:w="855" w:type="dxa"/>
            <w:shd w:val="clear" w:color="auto" w:fill="auto"/>
            <w:tcMar>
              <w:top w:w="0" w:type="dxa"/>
              <w:left w:w="105" w:type="dxa"/>
              <w:bottom w:w="0" w:type="dxa"/>
              <w:right w:w="105" w:type="dxa"/>
            </w:tcMar>
          </w:tcPr>
          <w:p>
            <w:pPr>
              <w:widowControl/>
              <w:jc w:val="left"/>
              <w:rPr>
                <w:color w:val="auto"/>
                <w:highlight w:val="none"/>
              </w:rPr>
            </w:pPr>
          </w:p>
        </w:tc>
        <w:tc>
          <w:tcPr>
            <w:tcW w:w="990" w:type="dxa"/>
            <w:shd w:val="clear" w:color="auto" w:fill="auto"/>
            <w:tcMar>
              <w:top w:w="0" w:type="dxa"/>
              <w:left w:w="105" w:type="dxa"/>
              <w:bottom w:w="0" w:type="dxa"/>
              <w:right w:w="105" w:type="dxa"/>
            </w:tcMar>
          </w:tcPr>
          <w:p>
            <w:pPr>
              <w:widowControl/>
              <w:jc w:val="left"/>
              <w:rPr>
                <w:color w:val="auto"/>
                <w:highlight w:val="none"/>
              </w:rPr>
            </w:pPr>
          </w:p>
        </w:tc>
        <w:tc>
          <w:tcPr>
            <w:tcW w:w="570" w:type="dxa"/>
            <w:shd w:val="clear" w:color="auto" w:fill="auto"/>
            <w:tcMar>
              <w:top w:w="0" w:type="dxa"/>
              <w:left w:w="105" w:type="dxa"/>
              <w:bottom w:w="0" w:type="dxa"/>
              <w:right w:w="105" w:type="dxa"/>
            </w:tcMar>
          </w:tcPr>
          <w:p>
            <w:pPr>
              <w:widowControl/>
              <w:jc w:val="left"/>
              <w:rPr>
                <w:color w:val="auto"/>
                <w:highlight w:val="none"/>
              </w:rPr>
            </w:pPr>
          </w:p>
        </w:tc>
        <w:tc>
          <w:tcPr>
            <w:tcW w:w="1095" w:type="dxa"/>
            <w:shd w:val="clear" w:color="auto" w:fill="auto"/>
            <w:tcMar>
              <w:top w:w="0" w:type="dxa"/>
              <w:left w:w="105" w:type="dxa"/>
              <w:bottom w:w="0" w:type="dxa"/>
              <w:right w:w="105" w:type="dxa"/>
            </w:tcMar>
          </w:tcPr>
          <w:p>
            <w:pPr>
              <w:widowControl/>
              <w:jc w:val="left"/>
              <w:rPr>
                <w:color w:val="auto"/>
                <w:highlight w:val="none"/>
              </w:rPr>
            </w:pPr>
          </w:p>
        </w:tc>
        <w:tc>
          <w:tcPr>
            <w:tcW w:w="810" w:type="dxa"/>
            <w:shd w:val="clear" w:color="auto" w:fill="auto"/>
            <w:tcMar>
              <w:top w:w="0" w:type="dxa"/>
              <w:left w:w="105" w:type="dxa"/>
              <w:bottom w:w="0" w:type="dxa"/>
              <w:right w:w="105" w:type="dxa"/>
            </w:tcMa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20" w:type="dxa"/>
            <w:vMerge w:val="continue"/>
            <w:shd w:val="clear" w:color="auto" w:fill="auto"/>
            <w:tcMar>
              <w:top w:w="0" w:type="dxa"/>
              <w:left w:w="105" w:type="dxa"/>
              <w:bottom w:w="0" w:type="dxa"/>
              <w:right w:w="105" w:type="dxa"/>
            </w:tcMar>
            <w:vAlign w:val="center"/>
          </w:tcPr>
          <w:p>
            <w:pPr>
              <w:rPr>
                <w:rFonts w:ascii="宋体"/>
                <w:color w:val="auto"/>
                <w:sz w:val="24"/>
                <w:highlight w:val="none"/>
              </w:rPr>
            </w:pPr>
          </w:p>
        </w:tc>
        <w:tc>
          <w:tcPr>
            <w:tcW w:w="960" w:type="dxa"/>
            <w:shd w:val="clear" w:color="auto" w:fill="auto"/>
            <w:tcMar>
              <w:top w:w="0" w:type="dxa"/>
              <w:left w:w="105" w:type="dxa"/>
              <w:bottom w:w="0" w:type="dxa"/>
              <w:right w:w="105" w:type="dxa"/>
            </w:tcMar>
            <w:vAlign w:val="center"/>
          </w:tcPr>
          <w:p>
            <w:pPr>
              <w:widowControl/>
              <w:jc w:val="left"/>
              <w:rPr>
                <w:color w:val="auto"/>
                <w:highlight w:val="none"/>
              </w:rPr>
            </w:pPr>
          </w:p>
        </w:tc>
        <w:tc>
          <w:tcPr>
            <w:tcW w:w="1560" w:type="dxa"/>
            <w:shd w:val="clear" w:color="auto" w:fill="auto"/>
            <w:tcMar>
              <w:top w:w="0" w:type="dxa"/>
              <w:left w:w="105" w:type="dxa"/>
              <w:bottom w:w="0" w:type="dxa"/>
              <w:right w:w="105" w:type="dxa"/>
            </w:tcMar>
          </w:tcPr>
          <w:p>
            <w:pPr>
              <w:widowControl/>
              <w:jc w:val="left"/>
              <w:rPr>
                <w:color w:val="auto"/>
                <w:highlight w:val="none"/>
              </w:rPr>
            </w:pPr>
          </w:p>
        </w:tc>
        <w:tc>
          <w:tcPr>
            <w:tcW w:w="1275" w:type="dxa"/>
            <w:shd w:val="clear" w:color="auto" w:fill="auto"/>
            <w:tcMar>
              <w:top w:w="0" w:type="dxa"/>
              <w:left w:w="105" w:type="dxa"/>
              <w:bottom w:w="0" w:type="dxa"/>
              <w:right w:w="105" w:type="dxa"/>
            </w:tcMar>
            <w:vAlign w:val="center"/>
          </w:tcPr>
          <w:p>
            <w:pPr>
              <w:widowControl/>
              <w:jc w:val="left"/>
              <w:rPr>
                <w:color w:val="auto"/>
                <w:highlight w:val="none"/>
              </w:rPr>
            </w:pPr>
          </w:p>
        </w:tc>
        <w:tc>
          <w:tcPr>
            <w:tcW w:w="855" w:type="dxa"/>
            <w:shd w:val="clear" w:color="auto" w:fill="auto"/>
            <w:tcMar>
              <w:top w:w="0" w:type="dxa"/>
              <w:left w:w="105" w:type="dxa"/>
              <w:bottom w:w="0" w:type="dxa"/>
              <w:right w:w="105" w:type="dxa"/>
            </w:tcMar>
          </w:tcPr>
          <w:p>
            <w:pPr>
              <w:widowControl/>
              <w:jc w:val="left"/>
              <w:rPr>
                <w:color w:val="auto"/>
                <w:highlight w:val="none"/>
              </w:rPr>
            </w:pPr>
          </w:p>
        </w:tc>
        <w:tc>
          <w:tcPr>
            <w:tcW w:w="990" w:type="dxa"/>
            <w:shd w:val="clear" w:color="auto" w:fill="auto"/>
            <w:tcMar>
              <w:top w:w="0" w:type="dxa"/>
              <w:left w:w="105" w:type="dxa"/>
              <w:bottom w:w="0" w:type="dxa"/>
              <w:right w:w="105" w:type="dxa"/>
            </w:tcMar>
          </w:tcPr>
          <w:p>
            <w:pPr>
              <w:widowControl/>
              <w:jc w:val="left"/>
              <w:rPr>
                <w:color w:val="auto"/>
                <w:highlight w:val="none"/>
              </w:rPr>
            </w:pPr>
          </w:p>
        </w:tc>
        <w:tc>
          <w:tcPr>
            <w:tcW w:w="570" w:type="dxa"/>
            <w:shd w:val="clear" w:color="auto" w:fill="auto"/>
            <w:tcMar>
              <w:top w:w="0" w:type="dxa"/>
              <w:left w:w="105" w:type="dxa"/>
              <w:bottom w:w="0" w:type="dxa"/>
              <w:right w:w="105" w:type="dxa"/>
            </w:tcMar>
          </w:tcPr>
          <w:p>
            <w:pPr>
              <w:widowControl/>
              <w:jc w:val="left"/>
              <w:rPr>
                <w:color w:val="auto"/>
                <w:highlight w:val="none"/>
              </w:rPr>
            </w:pPr>
          </w:p>
        </w:tc>
        <w:tc>
          <w:tcPr>
            <w:tcW w:w="1095" w:type="dxa"/>
            <w:shd w:val="clear" w:color="auto" w:fill="auto"/>
            <w:tcMar>
              <w:top w:w="0" w:type="dxa"/>
              <w:left w:w="105" w:type="dxa"/>
              <w:bottom w:w="0" w:type="dxa"/>
              <w:right w:w="105" w:type="dxa"/>
            </w:tcMar>
          </w:tcPr>
          <w:p>
            <w:pPr>
              <w:widowControl/>
              <w:jc w:val="left"/>
              <w:rPr>
                <w:color w:val="auto"/>
                <w:highlight w:val="none"/>
              </w:rPr>
            </w:pPr>
          </w:p>
        </w:tc>
        <w:tc>
          <w:tcPr>
            <w:tcW w:w="810" w:type="dxa"/>
            <w:shd w:val="clear" w:color="auto" w:fill="auto"/>
            <w:tcMar>
              <w:top w:w="0" w:type="dxa"/>
              <w:left w:w="105" w:type="dxa"/>
              <w:bottom w:w="0" w:type="dxa"/>
              <w:right w:w="105" w:type="dxa"/>
            </w:tcMa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20" w:type="dxa"/>
            <w:shd w:val="clear" w:color="auto" w:fill="auto"/>
            <w:tcMar>
              <w:top w:w="0" w:type="dxa"/>
              <w:left w:w="105" w:type="dxa"/>
              <w:bottom w:w="0" w:type="dxa"/>
              <w:right w:w="105" w:type="dxa"/>
            </w:tcMar>
            <w:vAlign w:val="center"/>
          </w:tcPr>
          <w:p>
            <w:pPr>
              <w:pStyle w:val="12"/>
              <w:widowControl/>
              <w:jc w:val="center"/>
              <w:rPr>
                <w:color w:val="auto"/>
                <w:highlight w:val="none"/>
              </w:rPr>
            </w:pPr>
            <w:r>
              <w:rPr>
                <w:rFonts w:ascii="Calibri" w:hAnsi="Calibri" w:cs="Calibri"/>
                <w:color w:val="auto"/>
                <w:sz w:val="21"/>
                <w:szCs w:val="21"/>
                <w:highlight w:val="none"/>
              </w:rPr>
              <w:t>…</w:t>
            </w:r>
          </w:p>
        </w:tc>
        <w:tc>
          <w:tcPr>
            <w:tcW w:w="960" w:type="dxa"/>
            <w:shd w:val="clear" w:color="auto" w:fill="auto"/>
            <w:tcMar>
              <w:top w:w="0" w:type="dxa"/>
              <w:left w:w="105" w:type="dxa"/>
              <w:bottom w:w="0" w:type="dxa"/>
              <w:right w:w="105" w:type="dxa"/>
            </w:tcMar>
            <w:vAlign w:val="center"/>
          </w:tcPr>
          <w:p>
            <w:pPr>
              <w:widowControl/>
              <w:jc w:val="left"/>
              <w:rPr>
                <w:color w:val="auto"/>
                <w:highlight w:val="none"/>
              </w:rPr>
            </w:pPr>
          </w:p>
        </w:tc>
        <w:tc>
          <w:tcPr>
            <w:tcW w:w="1560" w:type="dxa"/>
            <w:shd w:val="clear" w:color="auto" w:fill="auto"/>
            <w:tcMar>
              <w:top w:w="0" w:type="dxa"/>
              <w:left w:w="105" w:type="dxa"/>
              <w:bottom w:w="0" w:type="dxa"/>
              <w:right w:w="105" w:type="dxa"/>
            </w:tcMar>
          </w:tcPr>
          <w:p>
            <w:pPr>
              <w:widowControl/>
              <w:jc w:val="left"/>
              <w:rPr>
                <w:color w:val="auto"/>
                <w:highlight w:val="none"/>
              </w:rPr>
            </w:pPr>
          </w:p>
        </w:tc>
        <w:tc>
          <w:tcPr>
            <w:tcW w:w="1275" w:type="dxa"/>
            <w:shd w:val="clear" w:color="auto" w:fill="auto"/>
            <w:tcMar>
              <w:top w:w="0" w:type="dxa"/>
              <w:left w:w="105" w:type="dxa"/>
              <w:bottom w:w="0" w:type="dxa"/>
              <w:right w:w="105" w:type="dxa"/>
            </w:tcMar>
            <w:vAlign w:val="center"/>
          </w:tcPr>
          <w:p>
            <w:pPr>
              <w:widowControl/>
              <w:jc w:val="left"/>
              <w:rPr>
                <w:color w:val="auto"/>
                <w:highlight w:val="none"/>
              </w:rPr>
            </w:pPr>
          </w:p>
        </w:tc>
        <w:tc>
          <w:tcPr>
            <w:tcW w:w="855" w:type="dxa"/>
            <w:shd w:val="clear" w:color="auto" w:fill="auto"/>
            <w:tcMar>
              <w:top w:w="0" w:type="dxa"/>
              <w:left w:w="105" w:type="dxa"/>
              <w:bottom w:w="0" w:type="dxa"/>
              <w:right w:w="105" w:type="dxa"/>
            </w:tcMar>
          </w:tcPr>
          <w:p>
            <w:pPr>
              <w:widowControl/>
              <w:jc w:val="left"/>
              <w:rPr>
                <w:color w:val="auto"/>
                <w:highlight w:val="none"/>
              </w:rPr>
            </w:pPr>
          </w:p>
        </w:tc>
        <w:tc>
          <w:tcPr>
            <w:tcW w:w="990" w:type="dxa"/>
            <w:shd w:val="clear" w:color="auto" w:fill="auto"/>
            <w:tcMar>
              <w:top w:w="0" w:type="dxa"/>
              <w:left w:w="105" w:type="dxa"/>
              <w:bottom w:w="0" w:type="dxa"/>
              <w:right w:w="105" w:type="dxa"/>
            </w:tcMar>
          </w:tcPr>
          <w:p>
            <w:pPr>
              <w:widowControl/>
              <w:jc w:val="left"/>
              <w:rPr>
                <w:color w:val="auto"/>
                <w:highlight w:val="none"/>
              </w:rPr>
            </w:pPr>
          </w:p>
        </w:tc>
        <w:tc>
          <w:tcPr>
            <w:tcW w:w="570" w:type="dxa"/>
            <w:shd w:val="clear" w:color="auto" w:fill="auto"/>
            <w:tcMar>
              <w:top w:w="0" w:type="dxa"/>
              <w:left w:w="105" w:type="dxa"/>
              <w:bottom w:w="0" w:type="dxa"/>
              <w:right w:w="105" w:type="dxa"/>
            </w:tcMar>
          </w:tcPr>
          <w:p>
            <w:pPr>
              <w:widowControl/>
              <w:jc w:val="left"/>
              <w:rPr>
                <w:color w:val="auto"/>
                <w:highlight w:val="none"/>
              </w:rPr>
            </w:pPr>
          </w:p>
        </w:tc>
        <w:tc>
          <w:tcPr>
            <w:tcW w:w="1095" w:type="dxa"/>
            <w:shd w:val="clear" w:color="auto" w:fill="auto"/>
            <w:tcMar>
              <w:top w:w="0" w:type="dxa"/>
              <w:left w:w="105" w:type="dxa"/>
              <w:bottom w:w="0" w:type="dxa"/>
              <w:right w:w="105" w:type="dxa"/>
            </w:tcMar>
          </w:tcPr>
          <w:p>
            <w:pPr>
              <w:widowControl/>
              <w:jc w:val="left"/>
              <w:rPr>
                <w:color w:val="auto"/>
                <w:highlight w:val="none"/>
              </w:rPr>
            </w:pPr>
          </w:p>
        </w:tc>
        <w:tc>
          <w:tcPr>
            <w:tcW w:w="810" w:type="dxa"/>
            <w:shd w:val="clear" w:color="auto" w:fill="auto"/>
            <w:tcMar>
              <w:top w:w="0" w:type="dxa"/>
              <w:left w:w="105" w:type="dxa"/>
              <w:bottom w:w="0" w:type="dxa"/>
              <w:right w:w="105" w:type="dxa"/>
            </w:tcMar>
          </w:tcPr>
          <w:p>
            <w:pPr>
              <w:widowControl/>
              <w:jc w:val="left"/>
              <w:rPr>
                <w:color w:val="auto"/>
                <w:highlight w:val="none"/>
              </w:rPr>
            </w:pPr>
          </w:p>
        </w:tc>
      </w:tr>
    </w:tbl>
    <w:p>
      <w:pPr>
        <w:pStyle w:val="12"/>
        <w:widowControl/>
        <w:rPr>
          <w:color w:val="auto"/>
          <w:highlight w:val="none"/>
        </w:rPr>
      </w:pPr>
      <w:r>
        <w:rPr>
          <w:rFonts w:hint="eastAsia" w:ascii="宋体" w:hAnsi="宋体" w:eastAsia="宋体" w:cs="宋体"/>
          <w:color w:val="auto"/>
          <w:sz w:val="21"/>
          <w:szCs w:val="21"/>
          <w:highlight w:val="none"/>
        </w:rPr>
        <w:t>★注意：</w:t>
      </w:r>
    </w:p>
    <w:p>
      <w:pPr>
        <w:pStyle w:val="12"/>
        <w:widowControl/>
        <w:rPr>
          <w:color w:val="auto"/>
          <w:highlight w:val="none"/>
        </w:rPr>
      </w:pPr>
      <w:r>
        <w:rPr>
          <w:rFonts w:hint="eastAsia" w:ascii="宋体" w:hAnsi="宋体" w:eastAsia="宋体" w:cs="宋体"/>
          <w:color w:val="auto"/>
          <w:sz w:val="21"/>
          <w:szCs w:val="21"/>
          <w:highlight w:val="none"/>
        </w:rPr>
        <w:t>1、本表应按照下列规定填写：</w:t>
      </w:r>
    </w:p>
    <w:p>
      <w:pPr>
        <w:pStyle w:val="12"/>
        <w:widowControl/>
        <w:rPr>
          <w:color w:val="auto"/>
          <w:highlight w:val="none"/>
        </w:rPr>
      </w:pPr>
      <w:r>
        <w:rPr>
          <w:rFonts w:hint="eastAsia" w:ascii="宋体" w:hAnsi="宋体" w:eastAsia="宋体" w:cs="宋体"/>
          <w:color w:val="auto"/>
          <w:sz w:val="21"/>
          <w:szCs w:val="21"/>
          <w:highlight w:val="none"/>
        </w:rPr>
        <w:t>1.1投标人应按照本表格式填写所投合同包的分项报价，其中：“合同包”、“品目号”、“投标标的”及“数量”应与招标文件《</w:t>
      </w:r>
      <w:r>
        <w:rPr>
          <w:rFonts w:hint="eastAsia" w:ascii="宋体" w:hAnsi="宋体" w:eastAsia="宋体" w:cs="宋体"/>
          <w:color w:val="auto"/>
          <w:sz w:val="21"/>
          <w:szCs w:val="21"/>
          <w:highlight w:val="none"/>
          <w:lang w:eastAsia="zh-CN"/>
        </w:rPr>
        <w:t>招标标的一览表</w:t>
      </w:r>
      <w:r>
        <w:rPr>
          <w:rFonts w:hint="eastAsia" w:ascii="宋体" w:hAnsi="宋体" w:eastAsia="宋体" w:cs="宋体"/>
          <w:color w:val="auto"/>
          <w:sz w:val="21"/>
          <w:szCs w:val="21"/>
          <w:highlight w:val="none"/>
        </w:rPr>
        <w:t>》中的有关内容（“合同包”、“品目号”、“</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rPr>
        <w:t>标的”及“数量”）保持一致，“合同包”还应与《开标一览表》中列示的“合同包”保持一致，即：若《开标一览表》中列示的“合同包”为“</w:t>
      </w:r>
      <w:r>
        <w:rPr>
          <w:rFonts w:ascii="Calibri" w:hAnsi="Calibri" w:eastAsia="宋体" w:cs="Calibri"/>
          <w:color w:val="auto"/>
          <w:sz w:val="21"/>
          <w:szCs w:val="21"/>
          <w:highlight w:val="none"/>
        </w:rPr>
        <w:t>1</w:t>
      </w:r>
      <w:r>
        <w:rPr>
          <w:rFonts w:hint="eastAsia" w:ascii="宋体" w:hAnsi="宋体" w:eastAsia="宋体" w:cs="宋体"/>
          <w:color w:val="auto"/>
          <w:sz w:val="21"/>
          <w:szCs w:val="21"/>
          <w:highlight w:val="none"/>
        </w:rPr>
        <w:t>”时，本表中列示的“合同包”亦应为“</w:t>
      </w:r>
      <w:r>
        <w:rPr>
          <w:rFonts w:ascii="Calibri" w:hAnsi="Calibri" w:eastAsia="宋体" w:cs="Calibri"/>
          <w:color w:val="auto"/>
          <w:sz w:val="21"/>
          <w:szCs w:val="21"/>
          <w:highlight w:val="none"/>
        </w:rPr>
        <w:t>1</w:t>
      </w:r>
      <w:r>
        <w:rPr>
          <w:rFonts w:hint="eastAsia" w:ascii="宋体" w:hAnsi="宋体" w:eastAsia="宋体" w:cs="宋体"/>
          <w:color w:val="auto"/>
          <w:sz w:val="21"/>
          <w:szCs w:val="21"/>
          <w:highlight w:val="none"/>
        </w:rPr>
        <w:t>”，以此类推。</w:t>
      </w:r>
    </w:p>
    <w:p>
      <w:pPr>
        <w:pStyle w:val="12"/>
        <w:widowControl/>
        <w:rPr>
          <w:color w:val="auto"/>
          <w:highlight w:val="none"/>
        </w:rPr>
      </w:pPr>
      <w:r>
        <w:rPr>
          <w:rFonts w:hint="eastAsia" w:ascii="宋体" w:hAnsi="宋体" w:eastAsia="宋体" w:cs="宋体"/>
          <w:color w:val="auto"/>
          <w:sz w:val="21"/>
          <w:szCs w:val="21"/>
          <w:highlight w:val="none"/>
        </w:rPr>
        <w:t>1.2“投标标的”为货物的：</w:t>
      </w:r>
      <w:r>
        <w:rPr>
          <w:rStyle w:val="16"/>
          <w:rFonts w:hint="eastAsia" w:ascii="宋体" w:hAnsi="宋体" w:eastAsia="宋体" w:cs="宋体"/>
          <w:color w:val="auto"/>
          <w:sz w:val="21"/>
          <w:szCs w:val="21"/>
          <w:highlight w:val="none"/>
        </w:rPr>
        <w:t>“规格”</w:t>
      </w:r>
      <w:r>
        <w:rPr>
          <w:rFonts w:hint="eastAsia" w:ascii="宋体" w:hAnsi="宋体" w:eastAsia="宋体" w:cs="宋体"/>
          <w:color w:val="auto"/>
          <w:sz w:val="21"/>
          <w:szCs w:val="21"/>
          <w:highlight w:val="none"/>
        </w:rPr>
        <w:t>项下应填写货物制造厂商赋予的品牌（属于节能、环保清单产品的货物，填写的品牌名称应与清单载明的品牌名称保持一致）及具体型号。</w:t>
      </w:r>
      <w:r>
        <w:rPr>
          <w:rStyle w:val="16"/>
          <w:rFonts w:hint="eastAsia" w:ascii="宋体" w:hAnsi="宋体" w:eastAsia="宋体" w:cs="宋体"/>
          <w:color w:val="auto"/>
          <w:sz w:val="21"/>
          <w:szCs w:val="21"/>
          <w:highlight w:val="none"/>
        </w:rPr>
        <w:t>“来源地”</w:t>
      </w:r>
      <w:r>
        <w:rPr>
          <w:rFonts w:hint="eastAsia" w:ascii="宋体" w:hAnsi="宋体" w:eastAsia="宋体" w:cs="宋体"/>
          <w:color w:val="auto"/>
          <w:sz w:val="21"/>
          <w:szCs w:val="21"/>
          <w:highlight w:val="none"/>
        </w:rPr>
        <w:t>应填写货物的原产地。</w:t>
      </w:r>
    </w:p>
    <w:p>
      <w:pPr>
        <w:pStyle w:val="12"/>
        <w:widowControl/>
        <w:rPr>
          <w:color w:val="auto"/>
          <w:highlight w:val="none"/>
        </w:rPr>
      </w:pPr>
      <w:r>
        <w:rPr>
          <w:rFonts w:hint="eastAsia" w:ascii="宋体" w:hAnsi="宋体" w:eastAsia="宋体" w:cs="宋体"/>
          <w:color w:val="auto"/>
          <w:sz w:val="21"/>
          <w:szCs w:val="21"/>
          <w:highlight w:val="none"/>
        </w:rPr>
        <w:t>1.3“投标标的”为服务的：</w:t>
      </w:r>
      <w:r>
        <w:rPr>
          <w:rStyle w:val="16"/>
          <w:rFonts w:hint="eastAsia" w:ascii="宋体" w:hAnsi="宋体" w:eastAsia="宋体" w:cs="宋体"/>
          <w:color w:val="auto"/>
          <w:sz w:val="21"/>
          <w:szCs w:val="21"/>
          <w:highlight w:val="none"/>
        </w:rPr>
        <w:t>“规格”</w:t>
      </w:r>
      <w:r>
        <w:rPr>
          <w:rFonts w:hint="eastAsia" w:ascii="宋体" w:hAnsi="宋体" w:eastAsia="宋体" w:cs="宋体"/>
          <w:color w:val="auto"/>
          <w:sz w:val="21"/>
          <w:szCs w:val="21"/>
          <w:highlight w:val="none"/>
        </w:rPr>
        <w:t>项下应填写服务提供者提供的服务标准及品牌（若有）。</w:t>
      </w:r>
      <w:r>
        <w:rPr>
          <w:rStyle w:val="16"/>
          <w:rFonts w:hint="eastAsia" w:ascii="宋体" w:hAnsi="宋体" w:eastAsia="宋体" w:cs="宋体"/>
          <w:color w:val="auto"/>
          <w:sz w:val="21"/>
          <w:szCs w:val="21"/>
          <w:highlight w:val="none"/>
        </w:rPr>
        <w:t>“来源地”</w:t>
      </w:r>
      <w:r>
        <w:rPr>
          <w:rFonts w:hint="eastAsia" w:ascii="宋体" w:hAnsi="宋体" w:eastAsia="宋体" w:cs="宋体"/>
          <w:color w:val="auto"/>
          <w:sz w:val="21"/>
          <w:szCs w:val="21"/>
          <w:highlight w:val="none"/>
        </w:rPr>
        <w:t>应填写服务提供者的所在地。</w:t>
      </w:r>
    </w:p>
    <w:p>
      <w:pPr>
        <w:pStyle w:val="12"/>
        <w:widowControl/>
        <w:rPr>
          <w:color w:val="auto"/>
          <w:highlight w:val="none"/>
        </w:rPr>
      </w:pPr>
      <w:r>
        <w:rPr>
          <w:rFonts w:hint="eastAsia" w:ascii="宋体" w:hAnsi="宋体" w:eastAsia="宋体" w:cs="宋体"/>
          <w:color w:val="auto"/>
          <w:sz w:val="21"/>
          <w:szCs w:val="21"/>
          <w:highlight w:val="none"/>
        </w:rPr>
        <w:t>1.4同一合同包中，</w:t>
      </w:r>
      <w:r>
        <w:rPr>
          <w:rStyle w:val="16"/>
          <w:rFonts w:hint="eastAsia" w:ascii="宋体" w:hAnsi="宋体" w:eastAsia="宋体" w:cs="宋体"/>
          <w:color w:val="auto"/>
          <w:sz w:val="21"/>
          <w:szCs w:val="21"/>
          <w:highlight w:val="none"/>
        </w:rPr>
        <w:t>“单价（现场）”</w:t>
      </w:r>
      <w:r>
        <w:rPr>
          <w:rFonts w:hint="eastAsia" w:ascii="宋体" w:hAnsi="宋体" w:eastAsia="宋体" w:cs="宋体"/>
          <w:color w:val="auto"/>
          <w:sz w:val="21"/>
          <w:szCs w:val="21"/>
          <w:highlight w:val="none"/>
        </w:rPr>
        <w:t>×</w:t>
      </w:r>
      <w:r>
        <w:rPr>
          <w:rStyle w:val="16"/>
          <w:rFonts w:hint="eastAsia" w:ascii="宋体" w:hAnsi="宋体" w:eastAsia="宋体" w:cs="宋体"/>
          <w:color w:val="auto"/>
          <w:sz w:val="21"/>
          <w:szCs w:val="21"/>
          <w:highlight w:val="none"/>
        </w:rPr>
        <w:t>“数量”</w:t>
      </w:r>
      <w:r>
        <w:rPr>
          <w:rFonts w:hint="eastAsia" w:ascii="宋体" w:hAnsi="宋体" w:eastAsia="宋体" w:cs="宋体"/>
          <w:color w:val="auto"/>
          <w:sz w:val="21"/>
          <w:szCs w:val="21"/>
          <w:highlight w:val="none"/>
        </w:rPr>
        <w:t>=</w:t>
      </w:r>
      <w:r>
        <w:rPr>
          <w:rStyle w:val="16"/>
          <w:rFonts w:hint="eastAsia" w:ascii="宋体" w:hAnsi="宋体" w:eastAsia="宋体" w:cs="宋体"/>
          <w:color w:val="auto"/>
          <w:sz w:val="21"/>
          <w:szCs w:val="21"/>
          <w:highlight w:val="none"/>
        </w:rPr>
        <w:t>“总价（现场）”</w:t>
      </w:r>
      <w:r>
        <w:rPr>
          <w:rFonts w:hint="eastAsia" w:ascii="宋体" w:hAnsi="宋体" w:eastAsia="宋体" w:cs="宋体"/>
          <w:color w:val="auto"/>
          <w:sz w:val="21"/>
          <w:szCs w:val="21"/>
          <w:highlight w:val="none"/>
        </w:rPr>
        <w:t>，全部品目号</w:t>
      </w:r>
      <w:r>
        <w:rPr>
          <w:rStyle w:val="16"/>
          <w:rFonts w:hint="eastAsia" w:ascii="宋体" w:hAnsi="宋体" w:eastAsia="宋体" w:cs="宋体"/>
          <w:color w:val="auto"/>
          <w:sz w:val="21"/>
          <w:szCs w:val="21"/>
          <w:highlight w:val="none"/>
        </w:rPr>
        <w:t>“总价（现场）”</w:t>
      </w:r>
      <w:r>
        <w:rPr>
          <w:rFonts w:hint="eastAsia" w:ascii="宋体" w:hAnsi="宋体" w:eastAsia="宋体" w:cs="宋体"/>
          <w:color w:val="auto"/>
          <w:sz w:val="21"/>
          <w:szCs w:val="21"/>
          <w:highlight w:val="none"/>
        </w:rPr>
        <w:t>的合计金额应与《开标一览表》中相应合同包列示的</w:t>
      </w:r>
      <w:r>
        <w:rPr>
          <w:rStyle w:val="16"/>
          <w:rFonts w:hint="eastAsia" w:ascii="宋体" w:hAnsi="宋体" w:eastAsia="宋体" w:cs="宋体"/>
          <w:color w:val="auto"/>
          <w:sz w:val="21"/>
          <w:szCs w:val="21"/>
          <w:highlight w:val="none"/>
        </w:rPr>
        <w:t>“投标总价”</w:t>
      </w:r>
      <w:r>
        <w:rPr>
          <w:rFonts w:hint="eastAsia" w:ascii="宋体" w:hAnsi="宋体" w:eastAsia="宋体" w:cs="宋体"/>
          <w:color w:val="auto"/>
          <w:sz w:val="21"/>
          <w:szCs w:val="21"/>
          <w:highlight w:val="none"/>
        </w:rPr>
        <w:t>保持一致。</w:t>
      </w:r>
    </w:p>
    <w:p>
      <w:pPr>
        <w:pStyle w:val="12"/>
        <w:widowControl/>
        <w:rPr>
          <w:color w:val="auto"/>
          <w:highlight w:val="none"/>
        </w:rPr>
      </w:pPr>
      <w:r>
        <w:rPr>
          <w:rFonts w:hint="eastAsia" w:ascii="宋体" w:hAnsi="宋体" w:eastAsia="宋体" w:cs="宋体"/>
          <w:color w:val="auto"/>
          <w:sz w:val="21"/>
          <w:szCs w:val="21"/>
          <w:highlight w:val="none"/>
        </w:rPr>
        <w:t>1.5若招标文件要求投标人对“备品备件价格、专用工具价格、技术服务费、安装调试费、检验培训费、运输费、保险费、税收”等进行报价的，请在本表的</w:t>
      </w:r>
      <w:r>
        <w:rPr>
          <w:rStyle w:val="16"/>
          <w:rFonts w:hint="eastAsia" w:ascii="宋体" w:hAnsi="宋体" w:eastAsia="宋体" w:cs="宋体"/>
          <w:color w:val="auto"/>
          <w:sz w:val="21"/>
          <w:szCs w:val="21"/>
          <w:highlight w:val="none"/>
        </w:rPr>
        <w:t>“备注”</w:t>
      </w:r>
      <w:r>
        <w:rPr>
          <w:rFonts w:hint="eastAsia" w:ascii="宋体" w:hAnsi="宋体" w:eastAsia="宋体" w:cs="宋体"/>
          <w:color w:val="auto"/>
          <w:sz w:val="21"/>
          <w:szCs w:val="21"/>
          <w:highlight w:val="none"/>
        </w:rPr>
        <w:t>项下填写。</w:t>
      </w:r>
    </w:p>
    <w:p>
      <w:pPr>
        <w:pStyle w:val="12"/>
        <w:widowControl/>
        <w:rPr>
          <w:color w:val="auto"/>
          <w:highlight w:val="none"/>
        </w:rPr>
      </w:pPr>
      <w:r>
        <w:rPr>
          <w:rFonts w:hint="eastAsia" w:ascii="宋体" w:hAnsi="宋体" w:eastAsia="宋体" w:cs="宋体"/>
          <w:color w:val="auto"/>
          <w:sz w:val="21"/>
          <w:szCs w:val="21"/>
          <w:highlight w:val="none"/>
        </w:rPr>
        <w:t>2、纸质投标文件正本中的本表应为原件。</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（全称并加盖单位公章）</w:t>
      </w:r>
    </w:p>
    <w:p>
      <w:pPr>
        <w:pStyle w:val="12"/>
        <w:widowControl/>
        <w:rPr>
          <w:color w:val="auto"/>
          <w:highlight w:val="none"/>
        </w:rPr>
      </w:pPr>
      <w:r>
        <w:rPr>
          <w:rFonts w:hint="eastAsia" w:ascii="宋体" w:hAnsi="宋体" w:eastAsia="宋体" w:cs="宋体"/>
          <w:color w:val="auto"/>
          <w:sz w:val="21"/>
          <w:szCs w:val="21"/>
          <w:highlight w:val="none"/>
        </w:rPr>
        <w:t>投标人代表签字：</w:t>
      </w:r>
      <w:r>
        <w:rPr>
          <w:rFonts w:hint="eastAsia" w:ascii="宋体" w:hAnsi="宋体" w:eastAsia="宋体" w:cs="宋体"/>
          <w:color w:val="auto"/>
          <w:sz w:val="21"/>
          <w:szCs w:val="21"/>
          <w:highlight w:val="none"/>
          <w:u w:val="single"/>
        </w:rPr>
        <w:t>                   </w:t>
      </w:r>
    </w:p>
    <w:p>
      <w:pPr>
        <w:pStyle w:val="12"/>
        <w:widowControl/>
        <w:rPr>
          <w:color w:val="auto"/>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 </w:t>
      </w:r>
    </w:p>
    <w:p>
      <w:pPr>
        <w:rPr>
          <w:rStyle w:val="16"/>
          <w:rFonts w:hint="eastAsia" w:ascii="宋体" w:hAnsi="宋体" w:eastAsia="宋体" w:cs="宋体"/>
          <w:color w:val="auto"/>
          <w:sz w:val="28"/>
          <w:szCs w:val="28"/>
          <w:highlight w:val="none"/>
          <w:lang w:eastAsia="zh-CN"/>
        </w:rPr>
      </w:pPr>
      <w:r>
        <w:rPr>
          <w:rStyle w:val="16"/>
          <w:rFonts w:hint="eastAsia" w:ascii="宋体" w:hAnsi="宋体" w:eastAsia="宋体" w:cs="宋体"/>
          <w:color w:val="auto"/>
          <w:sz w:val="28"/>
          <w:szCs w:val="28"/>
          <w:highlight w:val="none"/>
          <w:lang w:eastAsia="zh-CN"/>
        </w:rPr>
        <w:br w:type="page"/>
      </w:r>
    </w:p>
    <w:p>
      <w:pPr>
        <w:pStyle w:val="12"/>
        <w:widowControl/>
        <w:numPr>
          <w:ilvl w:val="0"/>
          <w:numId w:val="0"/>
        </w:numPr>
        <w:ind w:leftChars="0"/>
        <w:jc w:val="center"/>
        <w:outlineLvl w:val="2"/>
        <w:rPr>
          <w:rStyle w:val="16"/>
          <w:rFonts w:ascii="宋体" w:hAnsi="宋体" w:eastAsia="宋体" w:cs="宋体"/>
          <w:color w:val="auto"/>
          <w:sz w:val="28"/>
          <w:szCs w:val="28"/>
          <w:highlight w:val="none"/>
        </w:rPr>
      </w:pPr>
      <w:r>
        <w:rPr>
          <w:rStyle w:val="16"/>
          <w:rFonts w:hint="eastAsia" w:ascii="宋体" w:hAnsi="宋体" w:eastAsia="宋体" w:cs="宋体"/>
          <w:color w:val="auto"/>
          <w:sz w:val="28"/>
          <w:szCs w:val="28"/>
          <w:highlight w:val="none"/>
          <w:lang w:eastAsia="zh-CN"/>
        </w:rPr>
        <w:t>三、</w:t>
      </w:r>
      <w:r>
        <w:rPr>
          <w:rStyle w:val="16"/>
          <w:rFonts w:ascii="宋体" w:hAnsi="宋体" w:eastAsia="宋体" w:cs="宋体"/>
          <w:color w:val="auto"/>
          <w:sz w:val="28"/>
          <w:szCs w:val="28"/>
          <w:highlight w:val="none"/>
        </w:rPr>
        <w:t>泉州师范学院第五餐厅经营权承包项目招标费用承诺书</w:t>
      </w:r>
    </w:p>
    <w:p>
      <w:pPr>
        <w:pStyle w:val="12"/>
        <w:widowControl/>
        <w:numPr>
          <w:ilvl w:val="0"/>
          <w:numId w:val="0"/>
        </w:numPr>
        <w:ind w:leftChars="0"/>
        <w:jc w:val="both"/>
        <w:outlineLvl w:val="9"/>
        <w:rPr>
          <w:rStyle w:val="16"/>
          <w:rFonts w:ascii="宋体" w:hAnsi="宋体" w:eastAsia="宋体" w:cs="宋体"/>
          <w:color w:val="auto"/>
          <w:sz w:val="28"/>
          <w:szCs w:val="28"/>
          <w:highlight w:val="none"/>
        </w:rPr>
      </w:pPr>
    </w:p>
    <w:p>
      <w:pPr>
        <w:pStyle w:val="12"/>
        <w:widowControl/>
        <w:rPr>
          <w:color w:val="auto"/>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                     </w:t>
      </w:r>
    </w:p>
    <w:p>
      <w:pPr>
        <w:pStyle w:val="8"/>
        <w:tabs>
          <w:tab w:val="left" w:pos="900"/>
        </w:tabs>
        <w:spacing w:line="460" w:lineRule="exact"/>
        <w:ind w:left="0" w:leftChars="0" w:firstLine="480" w:firstLineChars="200"/>
        <w:rPr>
          <w:rFonts w:hint="eastAsia" w:ascii="宋体" w:hAnsi="宋体"/>
          <w:color w:val="auto"/>
          <w:sz w:val="24"/>
          <w:highlight w:val="none"/>
        </w:rPr>
      </w:pPr>
      <w:r>
        <w:rPr>
          <w:rFonts w:hint="eastAsia" w:ascii="宋体" w:hAnsi="宋体"/>
          <w:color w:val="auto"/>
          <w:sz w:val="24"/>
          <w:highlight w:val="none"/>
        </w:rPr>
        <w:t>根据贵方</w:t>
      </w:r>
      <w:r>
        <w:rPr>
          <w:rFonts w:hint="eastAsia" w:ascii="宋体" w:hAnsi="宋体"/>
          <w:color w:val="auto"/>
          <w:sz w:val="24"/>
          <w:highlight w:val="none"/>
          <w:u w:val="single"/>
        </w:rPr>
        <w:t>（填写“项目名称”）</w:t>
      </w:r>
      <w:r>
        <w:rPr>
          <w:rFonts w:hint="eastAsia" w:ascii="宋体" w:hAnsi="宋体"/>
          <w:color w:val="auto"/>
          <w:sz w:val="24"/>
          <w:highlight w:val="none"/>
        </w:rPr>
        <w:t xml:space="preserve"> 项目（招标编号：</w:t>
      </w:r>
      <w:r>
        <w:rPr>
          <w:rFonts w:hint="eastAsia" w:ascii="宋体" w:hAnsi="宋体"/>
          <w:color w:val="auto"/>
          <w:sz w:val="24"/>
          <w:highlight w:val="none"/>
          <w:u w:val="single"/>
        </w:rPr>
        <w:t>         </w:t>
      </w:r>
      <w:r>
        <w:rPr>
          <w:rFonts w:hint="eastAsia" w:ascii="宋体" w:hAnsi="宋体"/>
          <w:color w:val="auto"/>
          <w:sz w:val="24"/>
          <w:highlight w:val="none"/>
        </w:rPr>
        <w:t>）的投标邀请，我司对该项目做出如下承诺：</w:t>
      </w:r>
    </w:p>
    <w:p>
      <w:pPr>
        <w:pStyle w:val="8"/>
        <w:tabs>
          <w:tab w:val="left" w:pos="900"/>
        </w:tabs>
        <w:spacing w:line="460" w:lineRule="exact"/>
        <w:ind w:left="73" w:leftChars="35" w:firstLine="482" w:firstLineChars="200"/>
        <w:rPr>
          <w:rFonts w:hint="eastAsia" w:ascii="宋体" w:hAnsi="宋体"/>
          <w:b/>
          <w:bCs/>
          <w:color w:val="auto"/>
          <w:sz w:val="24"/>
          <w:highlight w:val="none"/>
        </w:rPr>
      </w:pPr>
      <w:r>
        <w:rPr>
          <w:rFonts w:hint="eastAsia" w:ascii="宋体" w:hAnsi="宋体"/>
          <w:b/>
          <w:bCs/>
          <w:color w:val="auto"/>
          <w:sz w:val="24"/>
          <w:highlight w:val="none"/>
        </w:rPr>
        <w:t>若我司中标，</w:t>
      </w:r>
      <w:r>
        <w:rPr>
          <w:rFonts w:hint="eastAsia" w:ascii="宋体" w:hAnsi="宋体"/>
          <w:b/>
          <w:bCs/>
          <w:color w:val="auto"/>
          <w:sz w:val="24"/>
          <w:highlight w:val="none"/>
          <w:lang w:val="en-US" w:eastAsia="zh-CN"/>
        </w:rPr>
        <w:t>承诺</w:t>
      </w:r>
      <w:r>
        <w:rPr>
          <w:rFonts w:hint="eastAsia" w:ascii="宋体" w:hAnsi="宋体"/>
          <w:b/>
          <w:bCs/>
          <w:color w:val="auto"/>
          <w:sz w:val="24"/>
          <w:highlight w:val="none"/>
        </w:rPr>
        <w:t>首年需一次性投入至少</w:t>
      </w:r>
      <w:r>
        <w:rPr>
          <w:rFonts w:hint="eastAsia" w:ascii="宋体" w:hAnsi="宋体"/>
          <w:b/>
          <w:bCs/>
          <w:color w:val="auto"/>
          <w:sz w:val="24"/>
          <w:highlight w:val="none"/>
          <w:u w:val="single"/>
          <w:lang w:val="en-US" w:eastAsia="zh-CN"/>
        </w:rPr>
        <w:t xml:space="preserve">       </w:t>
      </w:r>
      <w:r>
        <w:rPr>
          <w:rFonts w:hint="eastAsia" w:ascii="宋体" w:hAnsi="宋体"/>
          <w:b/>
          <w:bCs/>
          <w:color w:val="auto"/>
          <w:sz w:val="24"/>
          <w:highlight w:val="none"/>
          <w:lang w:val="en-US" w:eastAsia="zh-CN"/>
        </w:rPr>
        <w:t>（万元）</w:t>
      </w:r>
      <w:r>
        <w:rPr>
          <w:rFonts w:hint="eastAsia" w:ascii="宋体" w:hAnsi="宋体"/>
          <w:b/>
          <w:bCs/>
          <w:color w:val="auto"/>
          <w:sz w:val="24"/>
          <w:highlight w:val="none"/>
        </w:rPr>
        <w:t>对食堂进行设施设备投入及装修改造，以满足食堂安全、正常运行。</w:t>
      </w:r>
      <w:r>
        <w:rPr>
          <w:rFonts w:hint="eastAsia" w:ascii="宋体" w:hAnsi="宋体"/>
          <w:b/>
          <w:bCs/>
          <w:color w:val="auto"/>
          <w:sz w:val="24"/>
          <w:highlight w:val="none"/>
          <w:lang w:val="en-US" w:eastAsia="zh-CN"/>
        </w:rPr>
        <w:t>并</w:t>
      </w:r>
      <w:r>
        <w:rPr>
          <w:rFonts w:hint="eastAsia" w:ascii="宋体" w:hAnsi="宋体"/>
          <w:b/>
          <w:bCs/>
          <w:color w:val="auto"/>
          <w:sz w:val="24"/>
          <w:highlight w:val="none"/>
        </w:rPr>
        <w:t>按实际经营期限，每年</w:t>
      </w:r>
      <w:r>
        <w:rPr>
          <w:rFonts w:hint="eastAsia" w:ascii="宋体" w:hAnsi="宋体"/>
          <w:b/>
          <w:bCs/>
          <w:color w:val="auto"/>
          <w:sz w:val="24"/>
          <w:highlight w:val="none"/>
          <w:lang w:val="en-US" w:eastAsia="zh-CN"/>
        </w:rPr>
        <w:t>另</w:t>
      </w:r>
      <w:r>
        <w:rPr>
          <w:rFonts w:hint="eastAsia" w:ascii="宋体" w:hAnsi="宋体"/>
          <w:b/>
          <w:bCs/>
          <w:color w:val="auto"/>
          <w:sz w:val="24"/>
          <w:highlight w:val="none"/>
        </w:rPr>
        <w:t>向</w:t>
      </w:r>
      <w:r>
        <w:rPr>
          <w:rFonts w:hint="eastAsia" w:ascii="宋体" w:hAnsi="宋体"/>
          <w:b/>
          <w:bCs/>
          <w:color w:val="auto"/>
          <w:sz w:val="24"/>
          <w:highlight w:val="none"/>
          <w:lang w:val="en-US" w:eastAsia="zh-CN"/>
        </w:rPr>
        <w:t>招标</w:t>
      </w:r>
      <w:r>
        <w:rPr>
          <w:rFonts w:hint="eastAsia" w:ascii="宋体" w:hAnsi="宋体"/>
          <w:b/>
          <w:bCs/>
          <w:color w:val="auto"/>
          <w:sz w:val="24"/>
          <w:highlight w:val="none"/>
        </w:rPr>
        <w:t>单位缴纳5万元的食堂资产</w:t>
      </w:r>
      <w:r>
        <w:rPr>
          <w:rFonts w:hint="eastAsia" w:ascii="宋体" w:hAnsi="宋体"/>
          <w:b/>
          <w:bCs/>
          <w:color w:val="auto"/>
          <w:sz w:val="24"/>
          <w:highlight w:val="none"/>
          <w:lang w:val="en-US" w:eastAsia="zh-CN"/>
        </w:rPr>
        <w:t>折旧</w:t>
      </w:r>
      <w:r>
        <w:rPr>
          <w:rFonts w:hint="eastAsia" w:ascii="宋体" w:hAnsi="宋体"/>
          <w:b/>
          <w:bCs/>
          <w:color w:val="auto"/>
          <w:sz w:val="24"/>
          <w:highlight w:val="none"/>
        </w:rPr>
        <w:t>维修费用。</w:t>
      </w:r>
    </w:p>
    <w:p>
      <w:pPr>
        <w:pStyle w:val="12"/>
        <w:widowControl/>
        <w:rPr>
          <w:color w:val="auto"/>
          <w:highlight w:val="none"/>
        </w:rPr>
      </w:pPr>
      <w:r>
        <w:rPr>
          <w:rFonts w:hint="eastAsia" w:ascii="宋体" w:hAnsi="宋体" w:cs="宋体"/>
          <w:color w:val="auto"/>
          <w:sz w:val="21"/>
          <w:szCs w:val="21"/>
          <w:highlight w:val="none"/>
        </w:rPr>
        <w:t> </w:t>
      </w:r>
    </w:p>
    <w:p>
      <w:pPr>
        <w:pStyle w:val="12"/>
        <w:widowControl/>
        <w:rPr>
          <w:color w:val="auto"/>
          <w:highlight w:val="none"/>
        </w:rPr>
      </w:pPr>
      <w:r>
        <w:rPr>
          <w:rFonts w:hint="eastAsia" w:ascii="宋体" w:hAnsi="宋体" w:cs="宋体"/>
          <w:color w:val="auto"/>
          <w:sz w:val="21"/>
          <w:szCs w:val="21"/>
          <w:highlight w:val="none"/>
        </w:rPr>
        <w:t>★注意：</w:t>
      </w:r>
    </w:p>
    <w:p>
      <w:pPr>
        <w:pStyle w:val="12"/>
        <w:widowControl/>
        <w:rPr>
          <w:color w:val="auto"/>
          <w:highlight w:val="none"/>
        </w:rPr>
      </w:pPr>
      <w:r>
        <w:rPr>
          <w:rFonts w:hint="eastAsia" w:ascii="宋体" w:hAnsi="宋体" w:cs="宋体"/>
          <w:color w:val="auto"/>
          <w:sz w:val="21"/>
          <w:szCs w:val="21"/>
          <w:highlight w:val="none"/>
        </w:rPr>
        <w:t>1、纸质投标文件正本中的本承诺函应为原件。</w:t>
      </w:r>
    </w:p>
    <w:p>
      <w:pPr>
        <w:pStyle w:val="12"/>
        <w:widowControl/>
        <w:rPr>
          <w:color w:val="auto"/>
          <w:highlight w:val="none"/>
        </w:rPr>
      </w:pPr>
      <w:r>
        <w:rPr>
          <w:rFonts w:cs="Calibri"/>
          <w:color w:val="auto"/>
          <w:sz w:val="21"/>
          <w:szCs w:val="21"/>
          <w:highlight w:val="none"/>
        </w:rPr>
        <w:t> </w:t>
      </w:r>
    </w:p>
    <w:p>
      <w:pPr>
        <w:pStyle w:val="12"/>
        <w:widowControl/>
        <w:rPr>
          <w:color w:val="auto"/>
          <w:highlight w:val="none"/>
        </w:rPr>
      </w:pPr>
      <w:r>
        <w:rPr>
          <w:rFonts w:cs="Calibri"/>
          <w:color w:val="auto"/>
          <w:sz w:val="21"/>
          <w:szCs w:val="21"/>
          <w:highlight w:val="none"/>
        </w:rPr>
        <w:t> </w:t>
      </w:r>
    </w:p>
    <w:p>
      <w:pPr>
        <w:pStyle w:val="12"/>
        <w:widowControl/>
        <w:rPr>
          <w:color w:val="auto"/>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pPr>
        <w:pStyle w:val="12"/>
        <w:widowControl/>
        <w:rPr>
          <w:color w:val="auto"/>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pPr>
        <w:pStyle w:val="12"/>
        <w:widowControl/>
        <w:rPr>
          <w:color w:val="auto"/>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pPr>
        <w:pStyle w:val="12"/>
        <w:widowControl/>
        <w:jc w:val="center"/>
        <w:rPr>
          <w:rFonts w:ascii="Calibri" w:hAnsi="Calibri" w:cs="Calibri"/>
          <w:color w:val="auto"/>
          <w:sz w:val="21"/>
          <w:szCs w:val="21"/>
          <w:highlight w:val="none"/>
        </w:rPr>
      </w:pPr>
      <w:r>
        <w:rPr>
          <w:rFonts w:ascii="Calibri" w:hAnsi="Calibri" w:cs="Calibri"/>
          <w:color w:val="auto"/>
          <w:sz w:val="21"/>
          <w:szCs w:val="21"/>
          <w:highlight w:val="none"/>
        </w:rPr>
        <w:br w:type="textWrapping"/>
      </w:r>
    </w:p>
    <w:p>
      <w:pPr>
        <w:rPr>
          <w:rStyle w:val="16"/>
          <w:rFonts w:hint="eastAsia" w:ascii="宋体" w:hAnsi="宋体" w:eastAsia="宋体" w:cs="宋体"/>
          <w:color w:val="auto"/>
          <w:sz w:val="21"/>
          <w:szCs w:val="21"/>
          <w:highlight w:val="none"/>
        </w:rPr>
      </w:pPr>
      <w:r>
        <w:rPr>
          <w:rStyle w:val="16"/>
          <w:rFonts w:hint="eastAsia" w:ascii="宋体" w:hAnsi="宋体" w:eastAsia="宋体" w:cs="宋体"/>
          <w:color w:val="auto"/>
          <w:sz w:val="21"/>
          <w:szCs w:val="21"/>
          <w:highlight w:val="none"/>
        </w:rPr>
        <w:br w:type="page"/>
      </w:r>
    </w:p>
    <w:p>
      <w:pPr>
        <w:rPr>
          <w:color w:val="auto"/>
          <w:highlight w:val="none"/>
        </w:rPr>
      </w:pPr>
      <w:r>
        <w:rPr>
          <w:rStyle w:val="16"/>
          <w:rFonts w:hint="eastAsia" w:ascii="宋体" w:hAnsi="宋体" w:eastAsia="宋体" w:cs="宋体"/>
          <w:color w:val="auto"/>
          <w:sz w:val="21"/>
          <w:szCs w:val="21"/>
          <w:highlight w:val="none"/>
        </w:rPr>
        <w:t> </w:t>
      </w:r>
    </w:p>
    <w:p>
      <w:pPr>
        <w:pStyle w:val="12"/>
        <w:widowControl/>
        <w:jc w:val="center"/>
        <w:rPr>
          <w:color w:val="auto"/>
          <w:highlight w:val="none"/>
        </w:rPr>
      </w:pPr>
      <w:r>
        <w:rPr>
          <w:rStyle w:val="16"/>
          <w:rFonts w:hint="eastAsia" w:ascii="宋体" w:hAnsi="宋体" w:eastAsia="宋体" w:cs="宋体"/>
          <w:color w:val="auto"/>
          <w:sz w:val="28"/>
          <w:szCs w:val="28"/>
          <w:highlight w:val="none"/>
        </w:rPr>
        <w:t>封面格式</w:t>
      </w:r>
    </w:p>
    <w:p>
      <w:pPr>
        <w:pStyle w:val="12"/>
        <w:widowControl/>
        <w:rPr>
          <w:color w:val="auto"/>
          <w:highlight w:val="none"/>
        </w:rPr>
      </w:pPr>
    </w:p>
    <w:p>
      <w:pPr>
        <w:pStyle w:val="12"/>
        <w:widowControl/>
        <w:jc w:val="center"/>
        <w:rPr>
          <w:color w:val="auto"/>
          <w:highlight w:val="none"/>
        </w:rPr>
      </w:pPr>
      <w:r>
        <w:rPr>
          <w:rStyle w:val="16"/>
          <w:rFonts w:hint="eastAsia" w:ascii="宋体" w:hAnsi="宋体" w:eastAsia="宋体" w:cs="宋体"/>
          <w:color w:val="auto"/>
          <w:sz w:val="48"/>
          <w:szCs w:val="48"/>
          <w:highlight w:val="none"/>
        </w:rPr>
        <w:t>投标文件</w:t>
      </w:r>
    </w:p>
    <w:p>
      <w:pPr>
        <w:pStyle w:val="12"/>
        <w:widowControl/>
        <w:jc w:val="center"/>
        <w:outlineLvl w:val="1"/>
        <w:rPr>
          <w:color w:val="auto"/>
          <w:highlight w:val="none"/>
        </w:rPr>
      </w:pPr>
      <w:r>
        <w:rPr>
          <w:rStyle w:val="16"/>
          <w:rFonts w:hint="eastAsia" w:ascii="宋体" w:hAnsi="宋体" w:eastAsia="宋体" w:cs="宋体"/>
          <w:color w:val="auto"/>
          <w:sz w:val="48"/>
          <w:szCs w:val="48"/>
          <w:highlight w:val="none"/>
        </w:rPr>
        <w:t>（技术商务部分）</w:t>
      </w:r>
    </w:p>
    <w:p>
      <w:pPr>
        <w:pStyle w:val="12"/>
        <w:widowControl/>
        <w:rPr>
          <w:color w:val="auto"/>
          <w:highlight w:val="none"/>
        </w:rPr>
      </w:pPr>
      <w:r>
        <w:rPr>
          <w:rFonts w:hint="eastAsia" w:ascii="宋体" w:hAnsi="宋体" w:eastAsia="宋体" w:cs="宋体"/>
          <w:color w:val="auto"/>
          <w:sz w:val="36"/>
          <w:szCs w:val="36"/>
          <w:highlight w:val="none"/>
        </w:rPr>
        <w:t> </w:t>
      </w:r>
    </w:p>
    <w:p>
      <w:pPr>
        <w:pStyle w:val="12"/>
        <w:widowControl/>
        <w:jc w:val="center"/>
        <w:rPr>
          <w:color w:val="auto"/>
          <w:highlight w:val="none"/>
        </w:rPr>
      </w:pPr>
      <w:r>
        <w:rPr>
          <w:rStyle w:val="16"/>
          <w:rFonts w:hint="eastAsia" w:ascii="宋体" w:hAnsi="宋体" w:eastAsia="宋体" w:cs="宋体"/>
          <w:color w:val="auto"/>
          <w:sz w:val="36"/>
          <w:szCs w:val="36"/>
          <w:highlight w:val="none"/>
          <w:u w:val="single"/>
        </w:rPr>
        <w:t>（填写正本或副本）</w:t>
      </w:r>
    </w:p>
    <w:p>
      <w:pPr>
        <w:pStyle w:val="12"/>
        <w:widowControl/>
        <w:rPr>
          <w:color w:val="auto"/>
          <w:highlight w:val="none"/>
        </w:rPr>
      </w:pPr>
      <w:r>
        <w:rPr>
          <w:rFonts w:hint="eastAsia" w:ascii="宋体" w:hAnsi="宋体" w:eastAsia="宋体" w:cs="宋体"/>
          <w:color w:val="auto"/>
          <w:sz w:val="36"/>
          <w:szCs w:val="36"/>
          <w:highlight w:val="none"/>
        </w:rPr>
        <w:t> </w:t>
      </w:r>
    </w:p>
    <w:p>
      <w:pPr>
        <w:pStyle w:val="12"/>
        <w:widowControl/>
        <w:ind w:firstLine="1920"/>
        <w:rPr>
          <w:color w:val="auto"/>
          <w:highlight w:val="none"/>
        </w:rPr>
      </w:pPr>
      <w:r>
        <w:rPr>
          <w:rStyle w:val="16"/>
          <w:rFonts w:hint="eastAsia" w:ascii="宋体" w:hAnsi="宋体" w:eastAsia="宋体" w:cs="宋体"/>
          <w:color w:val="auto"/>
          <w:sz w:val="31"/>
          <w:szCs w:val="31"/>
          <w:highlight w:val="none"/>
        </w:rPr>
        <w:t>项目名称：</w:t>
      </w:r>
      <w:r>
        <w:rPr>
          <w:rStyle w:val="16"/>
          <w:rFonts w:hint="eastAsia" w:ascii="宋体" w:hAnsi="宋体" w:eastAsia="宋体" w:cs="宋体"/>
          <w:color w:val="auto"/>
          <w:sz w:val="31"/>
          <w:szCs w:val="31"/>
          <w:highlight w:val="none"/>
          <w:u w:val="single"/>
        </w:rPr>
        <w:t>（由投标人填写）</w:t>
      </w:r>
    </w:p>
    <w:p>
      <w:pPr>
        <w:pStyle w:val="12"/>
        <w:widowControl/>
        <w:ind w:firstLine="1920"/>
        <w:rPr>
          <w:color w:val="auto"/>
          <w:highlight w:val="none"/>
        </w:rPr>
      </w:pPr>
      <w:r>
        <w:rPr>
          <w:rStyle w:val="16"/>
          <w:rFonts w:hint="eastAsia" w:ascii="宋体" w:hAnsi="宋体" w:eastAsia="宋体" w:cs="宋体"/>
          <w:color w:val="auto"/>
          <w:sz w:val="31"/>
          <w:szCs w:val="31"/>
          <w:highlight w:val="none"/>
        </w:rPr>
        <w:t>招标编号：</w:t>
      </w:r>
      <w:r>
        <w:rPr>
          <w:rStyle w:val="16"/>
          <w:rFonts w:hint="eastAsia" w:ascii="宋体" w:hAnsi="宋体" w:eastAsia="宋体" w:cs="宋体"/>
          <w:color w:val="auto"/>
          <w:sz w:val="31"/>
          <w:szCs w:val="31"/>
          <w:highlight w:val="none"/>
          <w:u w:val="single"/>
        </w:rPr>
        <w:t>（由投标人填写）</w:t>
      </w:r>
    </w:p>
    <w:p>
      <w:pPr>
        <w:pStyle w:val="12"/>
        <w:widowControl/>
        <w:ind w:firstLine="1920"/>
        <w:rPr>
          <w:color w:val="auto"/>
          <w:highlight w:val="none"/>
        </w:rPr>
      </w:pPr>
      <w:r>
        <w:rPr>
          <w:rStyle w:val="16"/>
          <w:rFonts w:hint="eastAsia" w:ascii="宋体" w:hAnsi="宋体" w:eastAsia="宋体" w:cs="宋体"/>
          <w:color w:val="auto"/>
          <w:sz w:val="31"/>
          <w:szCs w:val="31"/>
          <w:highlight w:val="none"/>
        </w:rPr>
        <w:t>所投合同包：</w:t>
      </w:r>
      <w:r>
        <w:rPr>
          <w:rStyle w:val="16"/>
          <w:rFonts w:hint="eastAsia" w:ascii="宋体" w:hAnsi="宋体" w:eastAsia="宋体" w:cs="宋体"/>
          <w:color w:val="auto"/>
          <w:sz w:val="31"/>
          <w:szCs w:val="31"/>
          <w:highlight w:val="none"/>
          <w:u w:val="single"/>
        </w:rPr>
        <w:t>（由投标人填写）</w:t>
      </w:r>
    </w:p>
    <w:p>
      <w:pPr>
        <w:pStyle w:val="12"/>
        <w:widowControl/>
        <w:rPr>
          <w:rFonts w:ascii="宋体" w:hAnsi="宋体" w:eastAsia="宋体" w:cs="宋体"/>
          <w:color w:val="auto"/>
          <w:sz w:val="36"/>
          <w:szCs w:val="36"/>
          <w:highlight w:val="none"/>
        </w:rPr>
      </w:pPr>
      <w:r>
        <w:rPr>
          <w:rFonts w:hint="eastAsia" w:ascii="宋体" w:hAnsi="宋体" w:eastAsia="宋体" w:cs="宋体"/>
          <w:color w:val="auto"/>
          <w:sz w:val="36"/>
          <w:szCs w:val="36"/>
          <w:highlight w:val="none"/>
        </w:rPr>
        <w:t> </w:t>
      </w:r>
    </w:p>
    <w:p>
      <w:pPr>
        <w:pStyle w:val="12"/>
        <w:widowControl/>
        <w:rPr>
          <w:rFonts w:ascii="宋体" w:hAnsi="宋体" w:eastAsia="宋体" w:cs="宋体"/>
          <w:color w:val="auto"/>
          <w:sz w:val="36"/>
          <w:szCs w:val="36"/>
          <w:highlight w:val="none"/>
        </w:rPr>
      </w:pPr>
    </w:p>
    <w:p>
      <w:pPr>
        <w:pStyle w:val="12"/>
        <w:widowControl/>
        <w:jc w:val="center"/>
        <w:rPr>
          <w:color w:val="auto"/>
          <w:highlight w:val="none"/>
        </w:rPr>
      </w:pPr>
      <w:r>
        <w:rPr>
          <w:rStyle w:val="16"/>
          <w:rFonts w:hint="eastAsia" w:ascii="宋体" w:hAnsi="宋体" w:eastAsia="宋体" w:cs="宋体"/>
          <w:color w:val="auto"/>
          <w:sz w:val="31"/>
          <w:szCs w:val="31"/>
          <w:highlight w:val="none"/>
        </w:rPr>
        <w:t>投标人：</w:t>
      </w:r>
      <w:r>
        <w:rPr>
          <w:rStyle w:val="16"/>
          <w:rFonts w:hint="eastAsia" w:ascii="宋体" w:hAnsi="宋体" w:eastAsia="宋体" w:cs="宋体"/>
          <w:color w:val="auto"/>
          <w:sz w:val="31"/>
          <w:szCs w:val="31"/>
          <w:highlight w:val="none"/>
          <w:u w:val="single"/>
        </w:rPr>
        <w:t>（填写“全称”）</w:t>
      </w:r>
    </w:p>
    <w:p>
      <w:pPr>
        <w:pStyle w:val="12"/>
        <w:widowControl/>
        <w:jc w:val="center"/>
        <w:rPr>
          <w:color w:val="auto"/>
          <w:highlight w:val="none"/>
        </w:rPr>
      </w:pPr>
      <w:r>
        <w:rPr>
          <w:rStyle w:val="16"/>
          <w:rFonts w:hint="eastAsia" w:ascii="宋体" w:hAnsi="宋体" w:eastAsia="宋体" w:cs="宋体"/>
          <w:color w:val="auto"/>
          <w:sz w:val="31"/>
          <w:szCs w:val="31"/>
          <w:highlight w:val="none"/>
          <w:u w:val="single"/>
        </w:rPr>
        <w:t>（由投标人填写）</w:t>
      </w:r>
      <w:r>
        <w:rPr>
          <w:rStyle w:val="16"/>
          <w:rFonts w:hint="eastAsia" w:ascii="宋体" w:hAnsi="宋体" w:eastAsia="宋体" w:cs="宋体"/>
          <w:color w:val="auto"/>
          <w:sz w:val="31"/>
          <w:szCs w:val="31"/>
          <w:highlight w:val="none"/>
        </w:rPr>
        <w:t>年</w:t>
      </w:r>
      <w:r>
        <w:rPr>
          <w:rStyle w:val="16"/>
          <w:rFonts w:hint="eastAsia" w:ascii="宋体" w:hAnsi="宋体" w:eastAsia="宋体" w:cs="宋体"/>
          <w:color w:val="auto"/>
          <w:sz w:val="31"/>
          <w:szCs w:val="31"/>
          <w:highlight w:val="none"/>
          <w:u w:val="single"/>
        </w:rPr>
        <w:t>（由投标人填写）</w:t>
      </w:r>
      <w:r>
        <w:rPr>
          <w:rStyle w:val="16"/>
          <w:rFonts w:hint="eastAsia" w:ascii="宋体" w:hAnsi="宋体" w:eastAsia="宋体" w:cs="宋体"/>
          <w:color w:val="auto"/>
          <w:sz w:val="31"/>
          <w:szCs w:val="31"/>
          <w:highlight w:val="none"/>
        </w:rPr>
        <w:t>月</w:t>
      </w:r>
    </w:p>
    <w:p>
      <w:pPr>
        <w:pStyle w:val="12"/>
        <w:widowControl/>
        <w:rPr>
          <w:color w:val="auto"/>
          <w:highlight w:val="none"/>
        </w:rPr>
      </w:pPr>
      <w:r>
        <w:rPr>
          <w:rFonts w:hint="eastAsia" w:ascii="宋体" w:hAnsi="宋体" w:eastAsia="宋体" w:cs="宋体"/>
          <w:color w:val="auto"/>
          <w:sz w:val="21"/>
          <w:szCs w:val="21"/>
          <w:highlight w:val="none"/>
        </w:rPr>
        <w:t> </w:t>
      </w:r>
    </w:p>
    <w:p>
      <w:pPr>
        <w:rPr>
          <w:rStyle w:val="16"/>
          <w:rFonts w:ascii="宋体" w:hAnsi="宋体" w:eastAsia="宋体" w:cs="宋体"/>
          <w:color w:val="auto"/>
          <w:sz w:val="28"/>
          <w:szCs w:val="28"/>
          <w:highlight w:val="none"/>
        </w:rPr>
      </w:pPr>
      <w:r>
        <w:rPr>
          <w:rStyle w:val="16"/>
          <w:rFonts w:hint="eastAsia" w:ascii="宋体" w:hAnsi="宋体" w:eastAsia="宋体" w:cs="宋体"/>
          <w:color w:val="auto"/>
          <w:sz w:val="28"/>
          <w:szCs w:val="28"/>
          <w:highlight w:val="none"/>
        </w:rPr>
        <w:br w:type="page"/>
      </w:r>
    </w:p>
    <w:p>
      <w:pPr>
        <w:pStyle w:val="12"/>
        <w:widowControl/>
        <w:jc w:val="center"/>
        <w:outlineLvl w:val="2"/>
        <w:rPr>
          <w:color w:val="auto"/>
          <w:highlight w:val="none"/>
        </w:rPr>
      </w:pPr>
      <w:r>
        <w:rPr>
          <w:rStyle w:val="16"/>
          <w:rFonts w:hint="eastAsia" w:ascii="宋体" w:hAnsi="宋体" w:eastAsia="宋体" w:cs="宋体"/>
          <w:color w:val="auto"/>
          <w:sz w:val="28"/>
          <w:szCs w:val="28"/>
          <w:highlight w:val="none"/>
        </w:rPr>
        <w:t>索引</w:t>
      </w:r>
    </w:p>
    <w:p>
      <w:pPr>
        <w:pStyle w:val="12"/>
        <w:widowControl/>
        <w:rPr>
          <w:color w:val="auto"/>
          <w:highlight w:val="none"/>
        </w:rPr>
      </w:pPr>
      <w:r>
        <w:rPr>
          <w:rFonts w:hint="eastAsia" w:ascii="宋体" w:hAnsi="宋体" w:eastAsia="宋体" w:cs="宋体"/>
          <w:color w:val="auto"/>
          <w:sz w:val="28"/>
          <w:szCs w:val="28"/>
          <w:highlight w:val="none"/>
        </w:rPr>
        <w:t>一、标的说明一览表</w:t>
      </w:r>
    </w:p>
    <w:p>
      <w:pPr>
        <w:pStyle w:val="12"/>
        <w:widowControl/>
        <w:rPr>
          <w:color w:val="auto"/>
          <w:highlight w:val="none"/>
        </w:rPr>
      </w:pPr>
      <w:r>
        <w:rPr>
          <w:rFonts w:hint="eastAsia" w:ascii="宋体" w:hAnsi="宋体" w:eastAsia="宋体" w:cs="宋体"/>
          <w:color w:val="auto"/>
          <w:sz w:val="28"/>
          <w:szCs w:val="28"/>
          <w:highlight w:val="none"/>
        </w:rPr>
        <w:t>二、技术和服务要求响应表</w:t>
      </w:r>
    </w:p>
    <w:p>
      <w:pPr>
        <w:pStyle w:val="12"/>
        <w:widowControl/>
        <w:rPr>
          <w:color w:val="auto"/>
          <w:highlight w:val="none"/>
        </w:rPr>
      </w:pPr>
      <w:r>
        <w:rPr>
          <w:rFonts w:hint="eastAsia" w:ascii="宋体" w:hAnsi="宋体" w:eastAsia="宋体" w:cs="宋体"/>
          <w:color w:val="auto"/>
          <w:sz w:val="28"/>
          <w:szCs w:val="28"/>
          <w:highlight w:val="none"/>
        </w:rPr>
        <w:t>三、商务条件响应表</w:t>
      </w:r>
    </w:p>
    <w:p>
      <w:pPr>
        <w:pStyle w:val="12"/>
        <w:widowControl/>
        <w:rPr>
          <w:color w:val="auto"/>
          <w:highlight w:val="none"/>
        </w:rPr>
      </w:pPr>
      <w:r>
        <w:rPr>
          <w:rFonts w:hint="eastAsia" w:ascii="宋体" w:hAnsi="宋体" w:eastAsia="宋体" w:cs="宋体"/>
          <w:color w:val="auto"/>
          <w:sz w:val="28"/>
          <w:szCs w:val="28"/>
          <w:highlight w:val="none"/>
        </w:rPr>
        <w:t>四、投标人提交的其他资料（若有）</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jc w:val="center"/>
        <w:rPr>
          <w:color w:val="auto"/>
          <w:highlight w:val="none"/>
        </w:rPr>
      </w:pPr>
      <w:r>
        <w:rPr>
          <w:rFonts w:hint="eastAsia" w:ascii="宋体" w:hAnsi="宋体" w:eastAsia="宋体" w:cs="宋体"/>
          <w:color w:val="auto"/>
          <w:sz w:val="21"/>
          <w:szCs w:val="21"/>
          <w:highlight w:val="none"/>
        </w:rPr>
        <w:t>★注意</w:t>
      </w:r>
    </w:p>
    <w:p>
      <w:pPr>
        <w:pStyle w:val="12"/>
        <w:widowControl/>
        <w:ind w:firstLine="420"/>
        <w:rPr>
          <w:color w:val="auto"/>
          <w:highlight w:val="none"/>
        </w:rPr>
      </w:pPr>
      <w:r>
        <w:rPr>
          <w:rFonts w:hint="eastAsia" w:ascii="宋体" w:hAnsi="宋体" w:eastAsia="宋体" w:cs="宋体"/>
          <w:color w:val="auto"/>
          <w:sz w:val="21"/>
          <w:szCs w:val="21"/>
          <w:highlight w:val="none"/>
        </w:rPr>
        <w:t>技术商务部分中不得出现报价部分的全部或部分的投标报价信息（或组成资料），否则</w:t>
      </w:r>
      <w:r>
        <w:rPr>
          <w:rStyle w:val="16"/>
          <w:rFonts w:hint="eastAsia" w:ascii="宋体" w:hAnsi="宋体" w:eastAsia="宋体" w:cs="宋体"/>
          <w:color w:val="auto"/>
          <w:sz w:val="21"/>
          <w:szCs w:val="21"/>
          <w:highlight w:val="none"/>
        </w:rPr>
        <w:t>符合性审查不合格</w:t>
      </w:r>
      <w:r>
        <w:rPr>
          <w:rFonts w:hint="eastAsia" w:ascii="宋体" w:hAnsi="宋体" w:eastAsia="宋体" w:cs="宋体"/>
          <w:color w:val="auto"/>
          <w:sz w:val="21"/>
          <w:szCs w:val="21"/>
          <w:highlight w:val="none"/>
        </w:rPr>
        <w:t>。</w:t>
      </w:r>
    </w:p>
    <w:p>
      <w:pPr>
        <w:pStyle w:val="12"/>
        <w:widowControl/>
        <w:ind w:firstLine="420"/>
        <w:rPr>
          <w:color w:val="auto"/>
          <w:highlight w:val="none"/>
        </w:rPr>
      </w:pPr>
      <w:r>
        <w:rPr>
          <w:rFonts w:hint="eastAsia" w:ascii="宋体" w:hAnsi="宋体" w:eastAsia="宋体" w:cs="宋体"/>
          <w:color w:val="auto"/>
          <w:sz w:val="21"/>
          <w:szCs w:val="21"/>
          <w:highlight w:val="none"/>
        </w:rPr>
        <w:t> </w:t>
      </w:r>
    </w:p>
    <w:p>
      <w:pPr>
        <w:pStyle w:val="12"/>
        <w:widowControl/>
        <w:ind w:firstLine="420"/>
        <w:rPr>
          <w:color w:val="auto"/>
          <w:highlight w:val="none"/>
        </w:rPr>
      </w:pPr>
      <w:r>
        <w:rPr>
          <w:rFonts w:hint="eastAsia" w:ascii="宋体" w:hAnsi="宋体" w:eastAsia="宋体" w:cs="宋体"/>
          <w:color w:val="auto"/>
          <w:sz w:val="21"/>
          <w:szCs w:val="21"/>
          <w:highlight w:val="none"/>
        </w:rPr>
        <w:t> </w:t>
      </w:r>
    </w:p>
    <w:p>
      <w:pPr>
        <w:pStyle w:val="12"/>
        <w:widowControl/>
        <w:jc w:val="center"/>
        <w:rPr>
          <w:rFonts w:ascii="Calibri" w:hAnsi="Calibri" w:cs="Calibri"/>
          <w:color w:val="auto"/>
          <w:sz w:val="21"/>
          <w:szCs w:val="21"/>
          <w:highlight w:val="none"/>
        </w:rPr>
      </w:pPr>
      <w:r>
        <w:rPr>
          <w:rFonts w:ascii="Calibri" w:hAnsi="Calibri" w:cs="Calibri"/>
          <w:color w:val="auto"/>
          <w:sz w:val="21"/>
          <w:szCs w:val="21"/>
          <w:highlight w:val="none"/>
        </w:rPr>
        <w:br w:type="textWrapping"/>
      </w:r>
    </w:p>
    <w:p>
      <w:pPr>
        <w:rPr>
          <w:rFonts w:ascii="Calibri" w:hAnsi="Calibri" w:cs="Calibri"/>
          <w:color w:val="auto"/>
          <w:szCs w:val="21"/>
          <w:highlight w:val="none"/>
        </w:rPr>
      </w:pPr>
      <w:r>
        <w:rPr>
          <w:rFonts w:ascii="Calibri" w:hAnsi="Calibri" w:cs="Calibri"/>
          <w:color w:val="auto"/>
          <w:szCs w:val="21"/>
          <w:highlight w:val="none"/>
        </w:rPr>
        <w:br w:type="page"/>
      </w:r>
    </w:p>
    <w:p>
      <w:pPr>
        <w:pStyle w:val="12"/>
        <w:widowControl/>
        <w:jc w:val="center"/>
        <w:outlineLvl w:val="2"/>
        <w:rPr>
          <w:color w:val="auto"/>
          <w:highlight w:val="none"/>
        </w:rPr>
      </w:pPr>
      <w:r>
        <w:rPr>
          <w:rStyle w:val="16"/>
          <w:rFonts w:hint="eastAsia" w:ascii="宋体" w:hAnsi="宋体" w:eastAsia="宋体" w:cs="宋体"/>
          <w:color w:val="auto"/>
          <w:sz w:val="21"/>
          <w:szCs w:val="21"/>
          <w:highlight w:val="none"/>
        </w:rPr>
        <w:t>一、标的说明一览表</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招标编号：</w:t>
      </w:r>
      <w:r>
        <w:rPr>
          <w:rFonts w:hint="eastAsia" w:ascii="宋体" w:hAnsi="宋体" w:eastAsia="宋体" w:cs="宋体"/>
          <w:color w:val="auto"/>
          <w:sz w:val="21"/>
          <w:szCs w:val="21"/>
          <w:highlight w:val="none"/>
          <w:u w:val="single"/>
        </w:rPr>
        <w:t>                   </w:t>
      </w:r>
    </w:p>
    <w:tbl>
      <w:tblPr>
        <w:tblStyle w:val="13"/>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80"/>
        <w:gridCol w:w="870"/>
        <w:gridCol w:w="1665"/>
        <w:gridCol w:w="865"/>
        <w:gridCol w:w="1137"/>
        <w:gridCol w:w="1137"/>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trPr>
        <w:tc>
          <w:tcPr>
            <w:tcW w:w="960" w:type="dxa"/>
            <w:shd w:val="clear" w:color="auto" w:fill="auto"/>
            <w:tcMar>
              <w:top w:w="0" w:type="dxa"/>
              <w:left w:w="105" w:type="dxa"/>
              <w:bottom w:w="0" w:type="dxa"/>
              <w:right w:w="105" w:type="dxa"/>
            </w:tcMar>
            <w:vAlign w:val="center"/>
          </w:tcPr>
          <w:p>
            <w:pPr>
              <w:pStyle w:val="12"/>
              <w:widowControl/>
              <w:jc w:val="center"/>
              <w:rPr>
                <w:color w:val="auto"/>
                <w:highlight w:val="none"/>
              </w:rPr>
            </w:pPr>
            <w:r>
              <w:rPr>
                <w:rFonts w:hint="eastAsia" w:ascii="宋体" w:hAnsi="宋体" w:eastAsia="宋体" w:cs="宋体"/>
                <w:color w:val="auto"/>
                <w:sz w:val="21"/>
                <w:szCs w:val="21"/>
                <w:highlight w:val="none"/>
              </w:rPr>
              <w:t>合同包</w:t>
            </w:r>
          </w:p>
        </w:tc>
        <w:tc>
          <w:tcPr>
            <w:tcW w:w="855" w:type="dxa"/>
            <w:shd w:val="clear" w:color="auto" w:fill="auto"/>
            <w:tcMar>
              <w:top w:w="0" w:type="dxa"/>
              <w:left w:w="105" w:type="dxa"/>
              <w:bottom w:w="0" w:type="dxa"/>
              <w:right w:w="105" w:type="dxa"/>
            </w:tcMar>
            <w:vAlign w:val="center"/>
          </w:tcPr>
          <w:p>
            <w:pPr>
              <w:pStyle w:val="12"/>
              <w:widowControl/>
              <w:jc w:val="center"/>
              <w:rPr>
                <w:color w:val="auto"/>
                <w:highlight w:val="none"/>
              </w:rPr>
            </w:pPr>
            <w:r>
              <w:rPr>
                <w:rFonts w:hint="eastAsia" w:ascii="宋体" w:hAnsi="宋体" w:eastAsia="宋体" w:cs="宋体"/>
                <w:color w:val="auto"/>
                <w:sz w:val="21"/>
                <w:szCs w:val="21"/>
                <w:highlight w:val="none"/>
              </w:rPr>
              <w:t>品目号</w:t>
            </w:r>
          </w:p>
        </w:tc>
        <w:tc>
          <w:tcPr>
            <w:tcW w:w="1695" w:type="dxa"/>
            <w:shd w:val="clear" w:color="auto" w:fill="auto"/>
            <w:tcMar>
              <w:top w:w="0" w:type="dxa"/>
              <w:left w:w="105" w:type="dxa"/>
              <w:bottom w:w="0" w:type="dxa"/>
              <w:right w:w="105" w:type="dxa"/>
            </w:tcMar>
            <w:vAlign w:val="center"/>
          </w:tcPr>
          <w:p>
            <w:pPr>
              <w:pStyle w:val="12"/>
              <w:widowControl/>
              <w:jc w:val="center"/>
              <w:rPr>
                <w:color w:val="auto"/>
                <w:highlight w:val="none"/>
              </w:rPr>
            </w:pPr>
            <w:r>
              <w:rPr>
                <w:rFonts w:hint="eastAsia" w:ascii="宋体" w:hAnsi="宋体" w:eastAsia="宋体" w:cs="宋体"/>
                <w:color w:val="auto"/>
                <w:sz w:val="21"/>
                <w:szCs w:val="21"/>
                <w:highlight w:val="none"/>
              </w:rPr>
              <w:t>投标标的</w:t>
            </w:r>
          </w:p>
        </w:tc>
        <w:tc>
          <w:tcPr>
            <w:tcW w:w="855" w:type="dxa"/>
            <w:shd w:val="clear" w:color="auto" w:fill="auto"/>
            <w:tcMar>
              <w:top w:w="0" w:type="dxa"/>
              <w:left w:w="105" w:type="dxa"/>
              <w:bottom w:w="0" w:type="dxa"/>
              <w:right w:w="105" w:type="dxa"/>
            </w:tcMar>
            <w:vAlign w:val="center"/>
          </w:tcPr>
          <w:p>
            <w:pPr>
              <w:pStyle w:val="12"/>
              <w:widowControl/>
              <w:jc w:val="center"/>
              <w:rPr>
                <w:color w:val="auto"/>
                <w:highlight w:val="none"/>
              </w:rPr>
            </w:pPr>
            <w:r>
              <w:rPr>
                <w:rFonts w:hint="eastAsia" w:ascii="宋体" w:hAnsi="宋体" w:eastAsia="宋体" w:cs="宋体"/>
                <w:color w:val="auto"/>
                <w:sz w:val="21"/>
                <w:szCs w:val="21"/>
                <w:highlight w:val="none"/>
              </w:rPr>
              <w:t>数量</w:t>
            </w:r>
          </w:p>
        </w:tc>
        <w:tc>
          <w:tcPr>
            <w:tcW w:w="1140" w:type="dxa"/>
            <w:shd w:val="clear" w:color="auto" w:fill="auto"/>
            <w:tcMar>
              <w:top w:w="0" w:type="dxa"/>
              <w:left w:w="105" w:type="dxa"/>
              <w:bottom w:w="0" w:type="dxa"/>
              <w:right w:w="105" w:type="dxa"/>
            </w:tcMar>
            <w:vAlign w:val="center"/>
          </w:tcPr>
          <w:p>
            <w:pPr>
              <w:pStyle w:val="12"/>
              <w:widowControl/>
              <w:jc w:val="center"/>
              <w:rPr>
                <w:color w:val="auto"/>
                <w:highlight w:val="none"/>
              </w:rPr>
            </w:pPr>
            <w:r>
              <w:rPr>
                <w:rFonts w:hint="eastAsia" w:ascii="宋体" w:hAnsi="宋体" w:eastAsia="宋体" w:cs="宋体"/>
                <w:color w:val="auto"/>
                <w:sz w:val="21"/>
                <w:szCs w:val="21"/>
                <w:highlight w:val="none"/>
              </w:rPr>
              <w:t>规格</w:t>
            </w:r>
          </w:p>
        </w:tc>
        <w:tc>
          <w:tcPr>
            <w:tcW w:w="1140" w:type="dxa"/>
            <w:shd w:val="clear" w:color="auto" w:fill="auto"/>
            <w:tcMar>
              <w:top w:w="0" w:type="dxa"/>
              <w:left w:w="105" w:type="dxa"/>
              <w:bottom w:w="0" w:type="dxa"/>
              <w:right w:w="105" w:type="dxa"/>
            </w:tcMar>
            <w:vAlign w:val="center"/>
          </w:tcPr>
          <w:p>
            <w:pPr>
              <w:pStyle w:val="12"/>
              <w:widowControl/>
              <w:jc w:val="center"/>
              <w:rPr>
                <w:color w:val="auto"/>
                <w:highlight w:val="none"/>
              </w:rPr>
            </w:pPr>
            <w:r>
              <w:rPr>
                <w:rFonts w:hint="eastAsia" w:ascii="宋体" w:hAnsi="宋体" w:eastAsia="宋体" w:cs="宋体"/>
                <w:color w:val="auto"/>
                <w:sz w:val="21"/>
                <w:szCs w:val="21"/>
                <w:highlight w:val="none"/>
              </w:rPr>
              <w:t>来源地</w:t>
            </w:r>
          </w:p>
        </w:tc>
        <w:tc>
          <w:tcPr>
            <w:tcW w:w="1890" w:type="dxa"/>
            <w:shd w:val="clear" w:color="auto" w:fill="auto"/>
            <w:tcMar>
              <w:top w:w="0" w:type="dxa"/>
              <w:left w:w="105" w:type="dxa"/>
              <w:bottom w:w="0" w:type="dxa"/>
              <w:right w:w="105" w:type="dxa"/>
            </w:tcMar>
            <w:vAlign w:val="center"/>
          </w:tcPr>
          <w:p>
            <w:pPr>
              <w:pStyle w:val="12"/>
              <w:widowControl/>
              <w:jc w:val="center"/>
              <w:rPr>
                <w:color w:val="auto"/>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60" w:type="dxa"/>
            <w:vMerge w:val="restart"/>
            <w:shd w:val="clear" w:color="auto" w:fill="auto"/>
            <w:tcMar>
              <w:top w:w="0" w:type="dxa"/>
              <w:left w:w="105" w:type="dxa"/>
              <w:bottom w:w="0" w:type="dxa"/>
              <w:right w:w="105" w:type="dxa"/>
            </w:tcMar>
            <w:vAlign w:val="center"/>
          </w:tcPr>
          <w:p>
            <w:pPr>
              <w:pStyle w:val="12"/>
              <w:widowControl/>
              <w:jc w:val="center"/>
              <w:rPr>
                <w:color w:val="auto"/>
                <w:highlight w:val="none"/>
              </w:rPr>
            </w:pPr>
            <w:r>
              <w:rPr>
                <w:rFonts w:hint="eastAsia" w:ascii="宋体" w:hAnsi="宋体" w:eastAsia="宋体" w:cs="宋体"/>
                <w:color w:val="auto"/>
                <w:sz w:val="21"/>
                <w:szCs w:val="21"/>
                <w:highlight w:val="none"/>
              </w:rPr>
              <w:t>*</w:t>
            </w:r>
          </w:p>
        </w:tc>
        <w:tc>
          <w:tcPr>
            <w:tcW w:w="855" w:type="dxa"/>
            <w:shd w:val="clear" w:color="auto" w:fill="auto"/>
            <w:tcMar>
              <w:top w:w="0" w:type="dxa"/>
              <w:left w:w="105" w:type="dxa"/>
              <w:bottom w:w="0" w:type="dxa"/>
              <w:right w:w="105" w:type="dxa"/>
            </w:tcMar>
            <w:vAlign w:val="center"/>
          </w:tcPr>
          <w:p>
            <w:pPr>
              <w:pStyle w:val="12"/>
              <w:widowControl/>
              <w:jc w:val="center"/>
              <w:rPr>
                <w:color w:val="auto"/>
                <w:highlight w:val="none"/>
              </w:rPr>
            </w:pPr>
            <w:r>
              <w:rPr>
                <w:rFonts w:hint="eastAsia" w:ascii="宋体" w:hAnsi="宋体" w:eastAsia="宋体" w:cs="宋体"/>
                <w:color w:val="auto"/>
                <w:sz w:val="21"/>
                <w:szCs w:val="21"/>
                <w:highlight w:val="none"/>
              </w:rPr>
              <w:t>*-1</w:t>
            </w:r>
          </w:p>
        </w:tc>
        <w:tc>
          <w:tcPr>
            <w:tcW w:w="1695" w:type="dxa"/>
            <w:shd w:val="clear" w:color="auto" w:fill="auto"/>
            <w:tcMar>
              <w:top w:w="0" w:type="dxa"/>
              <w:left w:w="105" w:type="dxa"/>
              <w:bottom w:w="0" w:type="dxa"/>
              <w:right w:w="105" w:type="dxa"/>
            </w:tcMar>
          </w:tcPr>
          <w:p>
            <w:pPr>
              <w:widowControl/>
              <w:jc w:val="left"/>
              <w:rPr>
                <w:color w:val="auto"/>
                <w:highlight w:val="none"/>
              </w:rPr>
            </w:pPr>
          </w:p>
        </w:tc>
        <w:tc>
          <w:tcPr>
            <w:tcW w:w="855" w:type="dxa"/>
            <w:shd w:val="clear" w:color="auto" w:fill="auto"/>
            <w:tcMar>
              <w:top w:w="0" w:type="dxa"/>
              <w:left w:w="105" w:type="dxa"/>
              <w:bottom w:w="0" w:type="dxa"/>
              <w:right w:w="105" w:type="dxa"/>
            </w:tcMar>
          </w:tcPr>
          <w:p>
            <w:pPr>
              <w:widowControl/>
              <w:jc w:val="left"/>
              <w:rPr>
                <w:color w:val="auto"/>
                <w:highlight w:val="none"/>
              </w:rPr>
            </w:pPr>
          </w:p>
        </w:tc>
        <w:tc>
          <w:tcPr>
            <w:tcW w:w="1140" w:type="dxa"/>
            <w:shd w:val="clear" w:color="auto" w:fill="auto"/>
            <w:tcMar>
              <w:top w:w="0" w:type="dxa"/>
              <w:left w:w="105" w:type="dxa"/>
              <w:bottom w:w="0" w:type="dxa"/>
              <w:right w:w="105" w:type="dxa"/>
            </w:tcMar>
          </w:tcPr>
          <w:p>
            <w:pPr>
              <w:widowControl/>
              <w:jc w:val="left"/>
              <w:rPr>
                <w:color w:val="auto"/>
                <w:highlight w:val="none"/>
              </w:rPr>
            </w:pPr>
          </w:p>
        </w:tc>
        <w:tc>
          <w:tcPr>
            <w:tcW w:w="1140" w:type="dxa"/>
            <w:shd w:val="clear" w:color="auto" w:fill="auto"/>
            <w:tcMar>
              <w:top w:w="0" w:type="dxa"/>
              <w:left w:w="105" w:type="dxa"/>
              <w:bottom w:w="0" w:type="dxa"/>
              <w:right w:w="105" w:type="dxa"/>
            </w:tcMar>
          </w:tcPr>
          <w:p>
            <w:pPr>
              <w:widowControl/>
              <w:jc w:val="left"/>
              <w:rPr>
                <w:color w:val="auto"/>
                <w:highlight w:val="none"/>
              </w:rPr>
            </w:pPr>
          </w:p>
        </w:tc>
        <w:tc>
          <w:tcPr>
            <w:tcW w:w="1890" w:type="dxa"/>
            <w:shd w:val="clear" w:color="auto" w:fill="auto"/>
            <w:tcMar>
              <w:top w:w="0" w:type="dxa"/>
              <w:left w:w="105" w:type="dxa"/>
              <w:bottom w:w="0" w:type="dxa"/>
              <w:right w:w="105" w:type="dxa"/>
            </w:tcMa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60" w:type="dxa"/>
            <w:vMerge w:val="continue"/>
            <w:shd w:val="clear" w:color="auto" w:fill="auto"/>
            <w:tcMar>
              <w:top w:w="0" w:type="dxa"/>
              <w:left w:w="105" w:type="dxa"/>
              <w:bottom w:w="0" w:type="dxa"/>
              <w:right w:w="105" w:type="dxa"/>
            </w:tcMar>
            <w:vAlign w:val="center"/>
          </w:tcPr>
          <w:p>
            <w:pPr>
              <w:rPr>
                <w:rFonts w:ascii="宋体"/>
                <w:color w:val="auto"/>
                <w:sz w:val="24"/>
                <w:highlight w:val="none"/>
              </w:rPr>
            </w:pPr>
          </w:p>
        </w:tc>
        <w:tc>
          <w:tcPr>
            <w:tcW w:w="855" w:type="dxa"/>
            <w:shd w:val="clear" w:color="auto" w:fill="auto"/>
            <w:tcMar>
              <w:top w:w="0" w:type="dxa"/>
              <w:left w:w="105" w:type="dxa"/>
              <w:bottom w:w="0" w:type="dxa"/>
              <w:right w:w="105" w:type="dxa"/>
            </w:tcMar>
            <w:vAlign w:val="center"/>
          </w:tcPr>
          <w:p>
            <w:pPr>
              <w:pStyle w:val="12"/>
              <w:widowControl/>
              <w:jc w:val="center"/>
              <w:rPr>
                <w:color w:val="auto"/>
                <w:highlight w:val="none"/>
              </w:rPr>
            </w:pPr>
            <w:r>
              <w:rPr>
                <w:rFonts w:ascii="Calibri" w:hAnsi="Calibri" w:cs="Calibri"/>
                <w:color w:val="auto"/>
                <w:sz w:val="21"/>
                <w:szCs w:val="21"/>
                <w:highlight w:val="none"/>
              </w:rPr>
              <w:t>…</w:t>
            </w:r>
          </w:p>
        </w:tc>
        <w:tc>
          <w:tcPr>
            <w:tcW w:w="1695" w:type="dxa"/>
            <w:shd w:val="clear" w:color="auto" w:fill="auto"/>
            <w:tcMar>
              <w:top w:w="0" w:type="dxa"/>
              <w:left w:w="105" w:type="dxa"/>
              <w:bottom w:w="0" w:type="dxa"/>
              <w:right w:w="105" w:type="dxa"/>
            </w:tcMar>
          </w:tcPr>
          <w:p>
            <w:pPr>
              <w:widowControl/>
              <w:jc w:val="left"/>
              <w:rPr>
                <w:color w:val="auto"/>
                <w:highlight w:val="none"/>
              </w:rPr>
            </w:pPr>
          </w:p>
        </w:tc>
        <w:tc>
          <w:tcPr>
            <w:tcW w:w="855" w:type="dxa"/>
            <w:shd w:val="clear" w:color="auto" w:fill="auto"/>
            <w:tcMar>
              <w:top w:w="0" w:type="dxa"/>
              <w:left w:w="105" w:type="dxa"/>
              <w:bottom w:w="0" w:type="dxa"/>
              <w:right w:w="105" w:type="dxa"/>
            </w:tcMar>
          </w:tcPr>
          <w:p>
            <w:pPr>
              <w:widowControl/>
              <w:jc w:val="left"/>
              <w:rPr>
                <w:color w:val="auto"/>
                <w:highlight w:val="none"/>
              </w:rPr>
            </w:pPr>
          </w:p>
        </w:tc>
        <w:tc>
          <w:tcPr>
            <w:tcW w:w="1140" w:type="dxa"/>
            <w:shd w:val="clear" w:color="auto" w:fill="auto"/>
            <w:tcMar>
              <w:top w:w="0" w:type="dxa"/>
              <w:left w:w="105" w:type="dxa"/>
              <w:bottom w:w="0" w:type="dxa"/>
              <w:right w:w="105" w:type="dxa"/>
            </w:tcMar>
          </w:tcPr>
          <w:p>
            <w:pPr>
              <w:widowControl/>
              <w:jc w:val="left"/>
              <w:rPr>
                <w:color w:val="auto"/>
                <w:highlight w:val="none"/>
              </w:rPr>
            </w:pPr>
          </w:p>
        </w:tc>
        <w:tc>
          <w:tcPr>
            <w:tcW w:w="1140" w:type="dxa"/>
            <w:shd w:val="clear" w:color="auto" w:fill="auto"/>
            <w:tcMar>
              <w:top w:w="0" w:type="dxa"/>
              <w:left w:w="105" w:type="dxa"/>
              <w:bottom w:w="0" w:type="dxa"/>
              <w:right w:w="105" w:type="dxa"/>
            </w:tcMar>
          </w:tcPr>
          <w:p>
            <w:pPr>
              <w:widowControl/>
              <w:jc w:val="left"/>
              <w:rPr>
                <w:color w:val="auto"/>
                <w:highlight w:val="none"/>
              </w:rPr>
            </w:pPr>
          </w:p>
        </w:tc>
        <w:tc>
          <w:tcPr>
            <w:tcW w:w="1890" w:type="dxa"/>
            <w:shd w:val="clear" w:color="auto" w:fill="auto"/>
            <w:tcMar>
              <w:top w:w="0" w:type="dxa"/>
              <w:left w:w="105" w:type="dxa"/>
              <w:bottom w:w="0" w:type="dxa"/>
              <w:right w:w="105" w:type="dxa"/>
            </w:tcMa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60" w:type="dxa"/>
            <w:shd w:val="clear" w:color="auto" w:fill="auto"/>
            <w:tcMar>
              <w:top w:w="0" w:type="dxa"/>
              <w:left w:w="105" w:type="dxa"/>
              <w:bottom w:w="0" w:type="dxa"/>
              <w:right w:w="105" w:type="dxa"/>
            </w:tcMar>
            <w:vAlign w:val="center"/>
          </w:tcPr>
          <w:p>
            <w:pPr>
              <w:pStyle w:val="12"/>
              <w:widowControl/>
              <w:jc w:val="center"/>
              <w:rPr>
                <w:color w:val="auto"/>
                <w:highlight w:val="none"/>
              </w:rPr>
            </w:pPr>
            <w:r>
              <w:rPr>
                <w:rFonts w:ascii="Calibri" w:hAnsi="Calibri" w:cs="Calibri"/>
                <w:color w:val="auto"/>
                <w:sz w:val="21"/>
                <w:szCs w:val="21"/>
                <w:highlight w:val="none"/>
              </w:rPr>
              <w:t>…</w:t>
            </w:r>
          </w:p>
        </w:tc>
        <w:tc>
          <w:tcPr>
            <w:tcW w:w="855" w:type="dxa"/>
            <w:shd w:val="clear" w:color="auto" w:fill="auto"/>
            <w:tcMar>
              <w:top w:w="0" w:type="dxa"/>
              <w:left w:w="105" w:type="dxa"/>
              <w:bottom w:w="0" w:type="dxa"/>
              <w:right w:w="105" w:type="dxa"/>
            </w:tcMar>
            <w:vAlign w:val="center"/>
          </w:tcPr>
          <w:p>
            <w:pPr>
              <w:widowControl/>
              <w:jc w:val="left"/>
              <w:rPr>
                <w:color w:val="auto"/>
                <w:highlight w:val="none"/>
              </w:rPr>
            </w:pPr>
          </w:p>
        </w:tc>
        <w:tc>
          <w:tcPr>
            <w:tcW w:w="1695" w:type="dxa"/>
            <w:shd w:val="clear" w:color="auto" w:fill="auto"/>
            <w:tcMar>
              <w:top w:w="0" w:type="dxa"/>
              <w:left w:w="105" w:type="dxa"/>
              <w:bottom w:w="0" w:type="dxa"/>
              <w:right w:w="105" w:type="dxa"/>
            </w:tcMar>
          </w:tcPr>
          <w:p>
            <w:pPr>
              <w:widowControl/>
              <w:jc w:val="left"/>
              <w:rPr>
                <w:color w:val="auto"/>
                <w:highlight w:val="none"/>
              </w:rPr>
            </w:pPr>
          </w:p>
        </w:tc>
        <w:tc>
          <w:tcPr>
            <w:tcW w:w="855" w:type="dxa"/>
            <w:shd w:val="clear" w:color="auto" w:fill="auto"/>
            <w:tcMar>
              <w:top w:w="0" w:type="dxa"/>
              <w:left w:w="105" w:type="dxa"/>
              <w:bottom w:w="0" w:type="dxa"/>
              <w:right w:w="105" w:type="dxa"/>
            </w:tcMar>
          </w:tcPr>
          <w:p>
            <w:pPr>
              <w:widowControl/>
              <w:jc w:val="left"/>
              <w:rPr>
                <w:color w:val="auto"/>
                <w:highlight w:val="none"/>
              </w:rPr>
            </w:pPr>
          </w:p>
        </w:tc>
        <w:tc>
          <w:tcPr>
            <w:tcW w:w="1140" w:type="dxa"/>
            <w:shd w:val="clear" w:color="auto" w:fill="auto"/>
            <w:tcMar>
              <w:top w:w="0" w:type="dxa"/>
              <w:left w:w="105" w:type="dxa"/>
              <w:bottom w:w="0" w:type="dxa"/>
              <w:right w:w="105" w:type="dxa"/>
            </w:tcMar>
          </w:tcPr>
          <w:p>
            <w:pPr>
              <w:widowControl/>
              <w:jc w:val="left"/>
              <w:rPr>
                <w:color w:val="auto"/>
                <w:highlight w:val="none"/>
              </w:rPr>
            </w:pPr>
          </w:p>
        </w:tc>
        <w:tc>
          <w:tcPr>
            <w:tcW w:w="1140" w:type="dxa"/>
            <w:shd w:val="clear" w:color="auto" w:fill="auto"/>
            <w:tcMar>
              <w:top w:w="0" w:type="dxa"/>
              <w:left w:w="105" w:type="dxa"/>
              <w:bottom w:w="0" w:type="dxa"/>
              <w:right w:w="105" w:type="dxa"/>
            </w:tcMar>
          </w:tcPr>
          <w:p>
            <w:pPr>
              <w:widowControl/>
              <w:jc w:val="left"/>
              <w:rPr>
                <w:color w:val="auto"/>
                <w:highlight w:val="none"/>
              </w:rPr>
            </w:pPr>
          </w:p>
        </w:tc>
        <w:tc>
          <w:tcPr>
            <w:tcW w:w="1890" w:type="dxa"/>
            <w:shd w:val="clear" w:color="auto" w:fill="auto"/>
            <w:tcMar>
              <w:top w:w="0" w:type="dxa"/>
              <w:left w:w="105" w:type="dxa"/>
              <w:bottom w:w="0" w:type="dxa"/>
              <w:right w:w="105" w:type="dxa"/>
            </w:tcMar>
          </w:tcPr>
          <w:p>
            <w:pPr>
              <w:widowControl/>
              <w:jc w:val="left"/>
              <w:rPr>
                <w:color w:val="auto"/>
                <w:highlight w:val="none"/>
              </w:rPr>
            </w:pPr>
          </w:p>
        </w:tc>
      </w:tr>
    </w:tbl>
    <w:p>
      <w:pPr>
        <w:pStyle w:val="12"/>
        <w:widowControl/>
        <w:rPr>
          <w:color w:val="auto"/>
          <w:highlight w:val="none"/>
        </w:rPr>
      </w:pPr>
      <w:r>
        <w:rPr>
          <w:rFonts w:hint="eastAsia" w:ascii="宋体" w:hAnsi="宋体" w:eastAsia="宋体" w:cs="宋体"/>
          <w:color w:val="auto"/>
          <w:sz w:val="21"/>
          <w:szCs w:val="21"/>
          <w:highlight w:val="none"/>
        </w:rPr>
        <w:t>★注意：</w:t>
      </w:r>
    </w:p>
    <w:p>
      <w:pPr>
        <w:pStyle w:val="12"/>
        <w:widowControl/>
        <w:rPr>
          <w:color w:val="auto"/>
          <w:highlight w:val="none"/>
        </w:rPr>
      </w:pPr>
      <w:r>
        <w:rPr>
          <w:rFonts w:hint="eastAsia" w:ascii="宋体" w:hAnsi="宋体" w:eastAsia="宋体" w:cs="宋体"/>
          <w:color w:val="auto"/>
          <w:sz w:val="21"/>
          <w:szCs w:val="21"/>
          <w:highlight w:val="none"/>
        </w:rPr>
        <w:t>1、本表应按照下列规定填写：</w:t>
      </w:r>
    </w:p>
    <w:p>
      <w:pPr>
        <w:pStyle w:val="12"/>
        <w:widowControl/>
        <w:rPr>
          <w:color w:val="auto"/>
          <w:highlight w:val="none"/>
        </w:rPr>
      </w:pPr>
      <w:r>
        <w:rPr>
          <w:rFonts w:hint="eastAsia" w:ascii="宋体" w:hAnsi="宋体" w:eastAsia="宋体" w:cs="宋体"/>
          <w:color w:val="auto"/>
          <w:sz w:val="21"/>
          <w:szCs w:val="21"/>
          <w:highlight w:val="none"/>
        </w:rPr>
        <w:t>1.1“合同包”、“品目号”、“投标标的”及“数量”应与招标文件《</w:t>
      </w:r>
      <w:r>
        <w:rPr>
          <w:rFonts w:hint="eastAsia" w:ascii="宋体" w:hAnsi="宋体" w:eastAsia="宋体" w:cs="宋体"/>
          <w:color w:val="auto"/>
          <w:sz w:val="21"/>
          <w:szCs w:val="21"/>
          <w:highlight w:val="none"/>
          <w:lang w:eastAsia="zh-CN"/>
        </w:rPr>
        <w:t>招标标的一览表</w:t>
      </w:r>
      <w:r>
        <w:rPr>
          <w:rFonts w:hint="eastAsia" w:ascii="宋体" w:hAnsi="宋体" w:eastAsia="宋体" w:cs="宋体"/>
          <w:color w:val="auto"/>
          <w:sz w:val="21"/>
          <w:szCs w:val="21"/>
          <w:highlight w:val="none"/>
        </w:rPr>
        <w:t>》中的有关内容（“合同包”、“品目号”、“采购标的”及“数量”）保持一致。</w:t>
      </w:r>
    </w:p>
    <w:p>
      <w:pPr>
        <w:pStyle w:val="12"/>
        <w:widowControl/>
        <w:rPr>
          <w:color w:val="auto"/>
          <w:highlight w:val="none"/>
        </w:rPr>
      </w:pPr>
      <w:r>
        <w:rPr>
          <w:rFonts w:hint="eastAsia" w:ascii="宋体" w:hAnsi="宋体" w:eastAsia="宋体" w:cs="宋体"/>
          <w:color w:val="auto"/>
          <w:sz w:val="21"/>
          <w:szCs w:val="21"/>
          <w:highlight w:val="none"/>
        </w:rPr>
        <w:t>1.2“投标标的”为货物的：</w:t>
      </w:r>
      <w:r>
        <w:rPr>
          <w:rStyle w:val="16"/>
          <w:rFonts w:hint="eastAsia" w:ascii="宋体" w:hAnsi="宋体" w:eastAsia="宋体" w:cs="宋体"/>
          <w:color w:val="auto"/>
          <w:sz w:val="21"/>
          <w:szCs w:val="21"/>
          <w:highlight w:val="none"/>
        </w:rPr>
        <w:t>“规格”</w:t>
      </w:r>
      <w:r>
        <w:rPr>
          <w:rFonts w:hint="eastAsia" w:ascii="宋体" w:hAnsi="宋体" w:eastAsia="宋体" w:cs="宋体"/>
          <w:color w:val="auto"/>
          <w:sz w:val="21"/>
          <w:szCs w:val="21"/>
          <w:highlight w:val="none"/>
        </w:rPr>
        <w:t>项下应填写货物制造厂商赋予的品牌（属于节能、环保清单产品的货物，填写的品牌名称应与清单载明的品牌名称保持一致）及具体型号。</w:t>
      </w:r>
      <w:r>
        <w:rPr>
          <w:rStyle w:val="16"/>
          <w:rFonts w:hint="eastAsia" w:ascii="宋体" w:hAnsi="宋体" w:eastAsia="宋体" w:cs="宋体"/>
          <w:color w:val="auto"/>
          <w:sz w:val="21"/>
          <w:szCs w:val="21"/>
          <w:highlight w:val="none"/>
        </w:rPr>
        <w:t>“来源地”</w:t>
      </w:r>
      <w:r>
        <w:rPr>
          <w:rFonts w:hint="eastAsia" w:ascii="宋体" w:hAnsi="宋体" w:eastAsia="宋体" w:cs="宋体"/>
          <w:color w:val="auto"/>
          <w:sz w:val="21"/>
          <w:szCs w:val="21"/>
          <w:highlight w:val="none"/>
        </w:rPr>
        <w:t>应填写货物的原产地。</w:t>
      </w:r>
      <w:r>
        <w:rPr>
          <w:rStyle w:val="16"/>
          <w:rFonts w:hint="eastAsia" w:ascii="宋体" w:hAnsi="宋体" w:eastAsia="宋体" w:cs="宋体"/>
          <w:color w:val="auto"/>
          <w:sz w:val="21"/>
          <w:szCs w:val="21"/>
          <w:highlight w:val="none"/>
        </w:rPr>
        <w:t>“备注”</w:t>
      </w:r>
      <w:r>
        <w:rPr>
          <w:rFonts w:hint="eastAsia" w:ascii="宋体" w:hAnsi="宋体" w:eastAsia="宋体" w:cs="宋体"/>
          <w:color w:val="auto"/>
          <w:sz w:val="21"/>
          <w:szCs w:val="21"/>
          <w:highlight w:val="none"/>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12"/>
        <w:widowControl/>
        <w:rPr>
          <w:color w:val="auto"/>
          <w:highlight w:val="none"/>
        </w:rPr>
      </w:pPr>
      <w:r>
        <w:rPr>
          <w:rFonts w:hint="eastAsia" w:ascii="宋体" w:hAnsi="宋体" w:eastAsia="宋体" w:cs="宋体"/>
          <w:color w:val="auto"/>
          <w:sz w:val="21"/>
          <w:szCs w:val="21"/>
          <w:highlight w:val="none"/>
        </w:rPr>
        <w:t>1.3“投标标的”为服务的：</w:t>
      </w:r>
      <w:r>
        <w:rPr>
          <w:rStyle w:val="16"/>
          <w:rFonts w:hint="eastAsia" w:ascii="宋体" w:hAnsi="宋体" w:eastAsia="宋体" w:cs="宋体"/>
          <w:color w:val="auto"/>
          <w:sz w:val="21"/>
          <w:szCs w:val="21"/>
          <w:highlight w:val="none"/>
        </w:rPr>
        <w:t>“规格”</w:t>
      </w:r>
      <w:r>
        <w:rPr>
          <w:rFonts w:hint="eastAsia" w:ascii="宋体" w:hAnsi="宋体" w:eastAsia="宋体" w:cs="宋体"/>
          <w:color w:val="auto"/>
          <w:sz w:val="21"/>
          <w:szCs w:val="21"/>
          <w:highlight w:val="none"/>
        </w:rPr>
        <w:t>项下应填写服务提供者提供的服务标准及品牌（若有）。</w:t>
      </w:r>
      <w:r>
        <w:rPr>
          <w:rStyle w:val="16"/>
          <w:rFonts w:hint="eastAsia" w:ascii="宋体" w:hAnsi="宋体" w:eastAsia="宋体" w:cs="宋体"/>
          <w:color w:val="auto"/>
          <w:sz w:val="21"/>
          <w:szCs w:val="21"/>
          <w:highlight w:val="none"/>
        </w:rPr>
        <w:t>“来源地”</w:t>
      </w:r>
      <w:r>
        <w:rPr>
          <w:rFonts w:hint="eastAsia" w:ascii="宋体" w:hAnsi="宋体" w:eastAsia="宋体" w:cs="宋体"/>
          <w:color w:val="auto"/>
          <w:sz w:val="21"/>
          <w:szCs w:val="21"/>
          <w:highlight w:val="none"/>
        </w:rPr>
        <w:t>应填写服务提供者的所在地。</w:t>
      </w:r>
      <w:r>
        <w:rPr>
          <w:rStyle w:val="16"/>
          <w:rFonts w:hint="eastAsia" w:ascii="宋体" w:hAnsi="宋体" w:eastAsia="宋体" w:cs="宋体"/>
          <w:color w:val="auto"/>
          <w:sz w:val="21"/>
          <w:szCs w:val="21"/>
          <w:highlight w:val="none"/>
        </w:rPr>
        <w:t>“备注”</w:t>
      </w:r>
      <w:r>
        <w:rPr>
          <w:rFonts w:hint="eastAsia" w:ascii="宋体" w:hAnsi="宋体" w:eastAsia="宋体" w:cs="宋体"/>
          <w:color w:val="auto"/>
          <w:sz w:val="21"/>
          <w:szCs w:val="21"/>
          <w:highlight w:val="none"/>
        </w:rPr>
        <w:t>项下应填写关于服务标准所涵盖的具体项目或内容的说明等。</w:t>
      </w:r>
    </w:p>
    <w:p>
      <w:pPr>
        <w:pStyle w:val="12"/>
        <w:widowControl/>
        <w:rPr>
          <w:color w:val="auto"/>
          <w:highlight w:val="none"/>
        </w:rPr>
      </w:pPr>
      <w:r>
        <w:rPr>
          <w:rFonts w:hint="eastAsia" w:ascii="宋体" w:hAnsi="宋体" w:eastAsia="宋体" w:cs="宋体"/>
          <w:color w:val="auto"/>
          <w:sz w:val="21"/>
          <w:szCs w:val="21"/>
          <w:highlight w:val="none"/>
        </w:rPr>
        <w:t>2、投标人需要说明的内容若需特殊表达，应先在本表中进行相应说明，再另页应答，否则</w:t>
      </w:r>
      <w:r>
        <w:rPr>
          <w:rStyle w:val="16"/>
          <w:rFonts w:hint="eastAsia" w:ascii="宋体" w:hAnsi="宋体" w:eastAsia="宋体" w:cs="宋体"/>
          <w:color w:val="auto"/>
          <w:sz w:val="21"/>
          <w:szCs w:val="21"/>
          <w:highlight w:val="none"/>
        </w:rPr>
        <w:t>投标无效</w:t>
      </w:r>
      <w:r>
        <w:rPr>
          <w:rFonts w:hint="eastAsia" w:ascii="宋体" w:hAnsi="宋体" w:eastAsia="宋体" w:cs="宋体"/>
          <w:color w:val="auto"/>
          <w:sz w:val="21"/>
          <w:szCs w:val="21"/>
          <w:highlight w:val="none"/>
        </w:rPr>
        <w:t>。</w:t>
      </w:r>
    </w:p>
    <w:p>
      <w:pPr>
        <w:pStyle w:val="12"/>
        <w:widowControl/>
        <w:rPr>
          <w:color w:val="auto"/>
          <w:highlight w:val="none"/>
        </w:rPr>
      </w:pPr>
      <w:r>
        <w:rPr>
          <w:rFonts w:hint="eastAsia" w:ascii="宋体" w:hAnsi="宋体" w:eastAsia="宋体" w:cs="宋体"/>
          <w:color w:val="auto"/>
          <w:sz w:val="21"/>
          <w:szCs w:val="21"/>
          <w:highlight w:val="none"/>
        </w:rPr>
        <w:t>3、投标文件中涉及</w:t>
      </w:r>
      <w:r>
        <w:rPr>
          <w:rStyle w:val="16"/>
          <w:rFonts w:hint="eastAsia" w:ascii="宋体" w:hAnsi="宋体" w:eastAsia="宋体" w:cs="宋体"/>
          <w:color w:val="auto"/>
          <w:sz w:val="21"/>
          <w:szCs w:val="21"/>
          <w:highlight w:val="none"/>
        </w:rPr>
        <w:t>“投标标的”、“数量”、“规格”、“来源地”</w:t>
      </w:r>
      <w:r>
        <w:rPr>
          <w:rFonts w:hint="eastAsia" w:ascii="宋体" w:hAnsi="宋体" w:eastAsia="宋体" w:cs="宋体"/>
          <w:color w:val="auto"/>
          <w:sz w:val="21"/>
          <w:szCs w:val="21"/>
          <w:highlight w:val="none"/>
        </w:rPr>
        <w:t>的内容若不一致，</w:t>
      </w:r>
      <w:r>
        <w:rPr>
          <w:rStyle w:val="16"/>
          <w:rFonts w:hint="eastAsia" w:ascii="宋体" w:hAnsi="宋体" w:eastAsia="宋体" w:cs="宋体"/>
          <w:color w:val="auto"/>
          <w:sz w:val="21"/>
          <w:szCs w:val="21"/>
          <w:highlight w:val="none"/>
        </w:rPr>
        <w:t>应以本表为准</w:t>
      </w:r>
      <w:r>
        <w:rPr>
          <w:rFonts w:hint="eastAsia" w:ascii="宋体" w:hAnsi="宋体" w:eastAsia="宋体" w:cs="宋体"/>
          <w:color w:val="auto"/>
          <w:sz w:val="21"/>
          <w:szCs w:val="21"/>
          <w:highlight w:val="none"/>
        </w:rPr>
        <w:t>。</w:t>
      </w:r>
    </w:p>
    <w:p>
      <w:pPr>
        <w:pStyle w:val="12"/>
        <w:widowControl/>
        <w:rPr>
          <w:color w:val="auto"/>
          <w:highlight w:val="none"/>
        </w:rPr>
      </w:pPr>
      <w:r>
        <w:rPr>
          <w:rFonts w:hint="eastAsia" w:ascii="宋体" w:hAnsi="宋体" w:eastAsia="宋体" w:cs="宋体"/>
          <w:color w:val="auto"/>
          <w:sz w:val="21"/>
          <w:szCs w:val="21"/>
          <w:highlight w:val="none"/>
        </w:rPr>
        <w:t>4、纸质投标文件正本中的本表应为原件。</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（全称并加盖单位公章）</w:t>
      </w:r>
    </w:p>
    <w:p>
      <w:pPr>
        <w:pStyle w:val="12"/>
        <w:widowControl/>
        <w:rPr>
          <w:color w:val="auto"/>
          <w:highlight w:val="none"/>
        </w:rPr>
      </w:pPr>
      <w:r>
        <w:rPr>
          <w:rFonts w:hint="eastAsia" w:ascii="宋体" w:hAnsi="宋体" w:eastAsia="宋体" w:cs="宋体"/>
          <w:color w:val="auto"/>
          <w:sz w:val="21"/>
          <w:szCs w:val="21"/>
          <w:highlight w:val="none"/>
        </w:rPr>
        <w:t>投标人代表签字：</w:t>
      </w:r>
      <w:r>
        <w:rPr>
          <w:rFonts w:hint="eastAsia" w:ascii="宋体" w:hAnsi="宋体" w:eastAsia="宋体" w:cs="宋体"/>
          <w:color w:val="auto"/>
          <w:sz w:val="21"/>
          <w:szCs w:val="21"/>
          <w:highlight w:val="none"/>
          <w:u w:val="single"/>
        </w:rPr>
        <w:t>                   </w:t>
      </w:r>
    </w:p>
    <w:p>
      <w:pPr>
        <w:pStyle w:val="12"/>
        <w:widowControl/>
        <w:rPr>
          <w:rStyle w:val="16"/>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r>
        <w:rPr>
          <w:rStyle w:val="16"/>
          <w:rFonts w:hint="eastAsia" w:ascii="宋体" w:hAnsi="宋体" w:eastAsia="宋体" w:cs="宋体"/>
          <w:color w:val="auto"/>
          <w:sz w:val="21"/>
          <w:szCs w:val="21"/>
          <w:highlight w:val="none"/>
        </w:rPr>
        <w:br w:type="page"/>
      </w:r>
    </w:p>
    <w:p>
      <w:pPr>
        <w:pStyle w:val="12"/>
        <w:widowControl/>
        <w:jc w:val="center"/>
        <w:outlineLvl w:val="2"/>
        <w:rPr>
          <w:color w:val="auto"/>
          <w:highlight w:val="none"/>
        </w:rPr>
      </w:pPr>
      <w:r>
        <w:rPr>
          <w:rStyle w:val="16"/>
          <w:rFonts w:hint="eastAsia" w:ascii="宋体" w:hAnsi="宋体" w:eastAsia="宋体" w:cs="宋体"/>
          <w:color w:val="auto"/>
          <w:sz w:val="21"/>
          <w:szCs w:val="21"/>
          <w:highlight w:val="none"/>
        </w:rPr>
        <w:t>二、技术和服务要求响应表</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招标编号：</w:t>
      </w:r>
      <w:r>
        <w:rPr>
          <w:rFonts w:hint="eastAsia" w:ascii="宋体" w:hAnsi="宋体" w:eastAsia="宋体" w:cs="宋体"/>
          <w:color w:val="auto"/>
          <w:sz w:val="21"/>
          <w:szCs w:val="21"/>
          <w:highlight w:val="none"/>
          <w:u w:val="single"/>
        </w:rPr>
        <w:t>                   </w:t>
      </w:r>
    </w:p>
    <w:tbl>
      <w:tblPr>
        <w:tblStyle w:val="13"/>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90"/>
        <w:gridCol w:w="876"/>
        <w:gridCol w:w="2927"/>
        <w:gridCol w:w="1834"/>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tblCellSpacing w:w="15" w:type="dxa"/>
        </w:trPr>
        <w:tc>
          <w:tcPr>
            <w:tcW w:w="960" w:type="dxa"/>
            <w:shd w:val="clear" w:color="auto" w:fill="auto"/>
            <w:tcMar>
              <w:top w:w="0" w:type="dxa"/>
              <w:left w:w="105" w:type="dxa"/>
              <w:bottom w:w="0" w:type="dxa"/>
              <w:right w:w="105" w:type="dxa"/>
            </w:tcMar>
            <w:vAlign w:val="center"/>
          </w:tcPr>
          <w:p>
            <w:pPr>
              <w:pStyle w:val="12"/>
              <w:widowControl/>
              <w:jc w:val="center"/>
              <w:rPr>
                <w:color w:val="auto"/>
                <w:highlight w:val="none"/>
              </w:rPr>
            </w:pPr>
            <w:r>
              <w:rPr>
                <w:rFonts w:hint="eastAsia" w:ascii="宋体" w:hAnsi="宋体" w:eastAsia="宋体" w:cs="宋体"/>
                <w:color w:val="auto"/>
                <w:sz w:val="21"/>
                <w:szCs w:val="21"/>
                <w:highlight w:val="none"/>
              </w:rPr>
              <w:t>合同包</w:t>
            </w:r>
          </w:p>
        </w:tc>
        <w:tc>
          <w:tcPr>
            <w:tcW w:w="855" w:type="dxa"/>
            <w:shd w:val="clear" w:color="auto" w:fill="auto"/>
            <w:tcMar>
              <w:top w:w="0" w:type="dxa"/>
              <w:left w:w="105" w:type="dxa"/>
              <w:bottom w:w="0" w:type="dxa"/>
              <w:right w:w="105" w:type="dxa"/>
            </w:tcMar>
            <w:vAlign w:val="center"/>
          </w:tcPr>
          <w:p>
            <w:pPr>
              <w:pStyle w:val="12"/>
              <w:widowControl/>
              <w:jc w:val="center"/>
              <w:rPr>
                <w:color w:val="auto"/>
                <w:highlight w:val="none"/>
              </w:rPr>
            </w:pPr>
            <w:r>
              <w:rPr>
                <w:rFonts w:hint="eastAsia" w:ascii="宋体" w:hAnsi="宋体" w:eastAsia="宋体" w:cs="宋体"/>
                <w:color w:val="auto"/>
                <w:sz w:val="21"/>
                <w:szCs w:val="21"/>
                <w:highlight w:val="none"/>
              </w:rPr>
              <w:t>品目号</w:t>
            </w:r>
          </w:p>
        </w:tc>
        <w:tc>
          <w:tcPr>
            <w:tcW w:w="2970" w:type="dxa"/>
            <w:shd w:val="clear" w:color="auto" w:fill="auto"/>
            <w:tcMar>
              <w:top w:w="0" w:type="dxa"/>
              <w:left w:w="105" w:type="dxa"/>
              <w:bottom w:w="0" w:type="dxa"/>
              <w:right w:w="105" w:type="dxa"/>
            </w:tcMar>
            <w:vAlign w:val="center"/>
          </w:tcPr>
          <w:p>
            <w:pPr>
              <w:pStyle w:val="12"/>
              <w:widowControl/>
              <w:jc w:val="center"/>
              <w:rPr>
                <w:color w:val="auto"/>
                <w:highlight w:val="none"/>
              </w:rPr>
            </w:pPr>
            <w:r>
              <w:rPr>
                <w:rFonts w:hint="eastAsia" w:ascii="宋体" w:hAnsi="宋体" w:eastAsia="宋体" w:cs="宋体"/>
                <w:color w:val="auto"/>
                <w:sz w:val="21"/>
                <w:szCs w:val="21"/>
                <w:highlight w:val="none"/>
              </w:rPr>
              <w:t>技术和服务要求</w:t>
            </w:r>
          </w:p>
        </w:tc>
        <w:tc>
          <w:tcPr>
            <w:tcW w:w="1845" w:type="dxa"/>
            <w:shd w:val="clear" w:color="auto" w:fill="auto"/>
            <w:tcMar>
              <w:top w:w="0" w:type="dxa"/>
              <w:left w:w="105" w:type="dxa"/>
              <w:bottom w:w="0" w:type="dxa"/>
              <w:right w:w="105" w:type="dxa"/>
            </w:tcMar>
            <w:vAlign w:val="center"/>
          </w:tcPr>
          <w:p>
            <w:pPr>
              <w:pStyle w:val="12"/>
              <w:widowControl/>
              <w:jc w:val="center"/>
              <w:rPr>
                <w:color w:val="auto"/>
                <w:highlight w:val="none"/>
              </w:rPr>
            </w:pPr>
            <w:r>
              <w:rPr>
                <w:rFonts w:hint="eastAsia" w:ascii="宋体" w:hAnsi="宋体" w:eastAsia="宋体" w:cs="宋体"/>
                <w:color w:val="auto"/>
                <w:sz w:val="21"/>
                <w:szCs w:val="21"/>
                <w:highlight w:val="none"/>
              </w:rPr>
              <w:t>投标响应</w:t>
            </w:r>
          </w:p>
        </w:tc>
        <w:tc>
          <w:tcPr>
            <w:tcW w:w="1890" w:type="dxa"/>
            <w:shd w:val="clear" w:color="auto" w:fill="auto"/>
            <w:tcMar>
              <w:top w:w="0" w:type="dxa"/>
              <w:left w:w="105" w:type="dxa"/>
              <w:bottom w:w="0" w:type="dxa"/>
              <w:right w:w="105" w:type="dxa"/>
            </w:tcMar>
            <w:vAlign w:val="center"/>
          </w:tcPr>
          <w:p>
            <w:pPr>
              <w:pStyle w:val="12"/>
              <w:widowControl/>
              <w:jc w:val="center"/>
              <w:rPr>
                <w:color w:val="auto"/>
                <w:highlight w:val="none"/>
              </w:rPr>
            </w:pPr>
            <w:r>
              <w:rPr>
                <w:rFonts w:hint="eastAsia" w:ascii="宋体" w:hAnsi="宋体" w:eastAsia="宋体" w:cs="宋体"/>
                <w:color w:val="auto"/>
                <w:sz w:val="21"/>
                <w:szCs w:val="21"/>
                <w:highlight w:val="none"/>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60" w:type="dxa"/>
            <w:vMerge w:val="restart"/>
            <w:shd w:val="clear" w:color="auto" w:fill="auto"/>
            <w:tcMar>
              <w:top w:w="0" w:type="dxa"/>
              <w:left w:w="105" w:type="dxa"/>
              <w:bottom w:w="0" w:type="dxa"/>
              <w:right w:w="105" w:type="dxa"/>
            </w:tcMar>
            <w:vAlign w:val="center"/>
          </w:tcPr>
          <w:p>
            <w:pPr>
              <w:pStyle w:val="12"/>
              <w:widowControl/>
              <w:jc w:val="center"/>
              <w:rPr>
                <w:color w:val="auto"/>
                <w:highlight w:val="none"/>
              </w:rPr>
            </w:pPr>
            <w:r>
              <w:rPr>
                <w:rFonts w:hint="eastAsia" w:ascii="宋体" w:hAnsi="宋体" w:eastAsia="宋体" w:cs="宋体"/>
                <w:color w:val="auto"/>
                <w:sz w:val="21"/>
                <w:szCs w:val="21"/>
                <w:highlight w:val="none"/>
              </w:rPr>
              <w:t>*</w:t>
            </w:r>
          </w:p>
        </w:tc>
        <w:tc>
          <w:tcPr>
            <w:tcW w:w="855" w:type="dxa"/>
            <w:shd w:val="clear" w:color="auto" w:fill="auto"/>
            <w:tcMar>
              <w:top w:w="0" w:type="dxa"/>
              <w:left w:w="105" w:type="dxa"/>
              <w:bottom w:w="0" w:type="dxa"/>
              <w:right w:w="105" w:type="dxa"/>
            </w:tcMar>
            <w:vAlign w:val="center"/>
          </w:tcPr>
          <w:p>
            <w:pPr>
              <w:pStyle w:val="12"/>
              <w:widowControl/>
              <w:jc w:val="center"/>
              <w:rPr>
                <w:color w:val="auto"/>
                <w:highlight w:val="none"/>
              </w:rPr>
            </w:pPr>
            <w:r>
              <w:rPr>
                <w:rFonts w:hint="eastAsia" w:ascii="宋体" w:hAnsi="宋体" w:eastAsia="宋体" w:cs="宋体"/>
                <w:color w:val="auto"/>
                <w:sz w:val="21"/>
                <w:szCs w:val="21"/>
                <w:highlight w:val="none"/>
              </w:rPr>
              <w:t>*-1</w:t>
            </w:r>
          </w:p>
        </w:tc>
        <w:tc>
          <w:tcPr>
            <w:tcW w:w="2970" w:type="dxa"/>
            <w:shd w:val="clear" w:color="auto" w:fill="auto"/>
            <w:tcMar>
              <w:top w:w="0" w:type="dxa"/>
              <w:left w:w="105" w:type="dxa"/>
              <w:bottom w:w="0" w:type="dxa"/>
              <w:right w:w="105" w:type="dxa"/>
            </w:tcMar>
          </w:tcPr>
          <w:p>
            <w:pPr>
              <w:widowControl/>
              <w:jc w:val="left"/>
              <w:rPr>
                <w:color w:val="auto"/>
                <w:highlight w:val="none"/>
              </w:rPr>
            </w:pPr>
          </w:p>
        </w:tc>
        <w:tc>
          <w:tcPr>
            <w:tcW w:w="1845" w:type="dxa"/>
            <w:shd w:val="clear" w:color="auto" w:fill="auto"/>
            <w:tcMar>
              <w:top w:w="0" w:type="dxa"/>
              <w:left w:w="105" w:type="dxa"/>
              <w:bottom w:w="0" w:type="dxa"/>
              <w:right w:w="105" w:type="dxa"/>
            </w:tcMar>
          </w:tcPr>
          <w:p>
            <w:pPr>
              <w:widowControl/>
              <w:jc w:val="left"/>
              <w:rPr>
                <w:color w:val="auto"/>
                <w:highlight w:val="none"/>
              </w:rPr>
            </w:pPr>
          </w:p>
        </w:tc>
        <w:tc>
          <w:tcPr>
            <w:tcW w:w="1890" w:type="dxa"/>
            <w:shd w:val="clear" w:color="auto" w:fill="auto"/>
            <w:tcMar>
              <w:top w:w="0" w:type="dxa"/>
              <w:left w:w="105" w:type="dxa"/>
              <w:bottom w:w="0" w:type="dxa"/>
              <w:right w:w="105" w:type="dxa"/>
            </w:tcMa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60" w:type="dxa"/>
            <w:vMerge w:val="continue"/>
            <w:shd w:val="clear" w:color="auto" w:fill="auto"/>
            <w:tcMar>
              <w:top w:w="0" w:type="dxa"/>
              <w:left w:w="105" w:type="dxa"/>
              <w:bottom w:w="0" w:type="dxa"/>
              <w:right w:w="105" w:type="dxa"/>
            </w:tcMar>
            <w:vAlign w:val="center"/>
          </w:tcPr>
          <w:p>
            <w:pPr>
              <w:rPr>
                <w:rFonts w:ascii="宋体"/>
                <w:color w:val="auto"/>
                <w:sz w:val="24"/>
                <w:highlight w:val="none"/>
              </w:rPr>
            </w:pPr>
          </w:p>
        </w:tc>
        <w:tc>
          <w:tcPr>
            <w:tcW w:w="855" w:type="dxa"/>
            <w:shd w:val="clear" w:color="auto" w:fill="auto"/>
            <w:tcMar>
              <w:top w:w="0" w:type="dxa"/>
              <w:left w:w="105" w:type="dxa"/>
              <w:bottom w:w="0" w:type="dxa"/>
              <w:right w:w="105" w:type="dxa"/>
            </w:tcMar>
            <w:vAlign w:val="center"/>
          </w:tcPr>
          <w:p>
            <w:pPr>
              <w:pStyle w:val="12"/>
              <w:widowControl/>
              <w:jc w:val="center"/>
              <w:rPr>
                <w:color w:val="auto"/>
                <w:highlight w:val="none"/>
              </w:rPr>
            </w:pPr>
            <w:r>
              <w:rPr>
                <w:rFonts w:ascii="Calibri" w:hAnsi="Calibri" w:cs="Calibri"/>
                <w:color w:val="auto"/>
                <w:sz w:val="21"/>
                <w:szCs w:val="21"/>
                <w:highlight w:val="none"/>
              </w:rPr>
              <w:t>…</w:t>
            </w:r>
          </w:p>
        </w:tc>
        <w:tc>
          <w:tcPr>
            <w:tcW w:w="2970" w:type="dxa"/>
            <w:shd w:val="clear" w:color="auto" w:fill="auto"/>
            <w:tcMar>
              <w:top w:w="0" w:type="dxa"/>
              <w:left w:w="105" w:type="dxa"/>
              <w:bottom w:w="0" w:type="dxa"/>
              <w:right w:w="105" w:type="dxa"/>
            </w:tcMar>
          </w:tcPr>
          <w:p>
            <w:pPr>
              <w:widowControl/>
              <w:jc w:val="left"/>
              <w:rPr>
                <w:color w:val="auto"/>
                <w:highlight w:val="none"/>
              </w:rPr>
            </w:pPr>
          </w:p>
        </w:tc>
        <w:tc>
          <w:tcPr>
            <w:tcW w:w="1845" w:type="dxa"/>
            <w:shd w:val="clear" w:color="auto" w:fill="auto"/>
            <w:tcMar>
              <w:top w:w="0" w:type="dxa"/>
              <w:left w:w="105" w:type="dxa"/>
              <w:bottom w:w="0" w:type="dxa"/>
              <w:right w:w="105" w:type="dxa"/>
            </w:tcMar>
          </w:tcPr>
          <w:p>
            <w:pPr>
              <w:widowControl/>
              <w:jc w:val="left"/>
              <w:rPr>
                <w:color w:val="auto"/>
                <w:highlight w:val="none"/>
              </w:rPr>
            </w:pPr>
          </w:p>
        </w:tc>
        <w:tc>
          <w:tcPr>
            <w:tcW w:w="1890" w:type="dxa"/>
            <w:shd w:val="clear" w:color="auto" w:fill="auto"/>
            <w:tcMar>
              <w:top w:w="0" w:type="dxa"/>
              <w:left w:w="105" w:type="dxa"/>
              <w:bottom w:w="0" w:type="dxa"/>
              <w:right w:w="105" w:type="dxa"/>
            </w:tcMa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60" w:type="dxa"/>
            <w:shd w:val="clear" w:color="auto" w:fill="auto"/>
            <w:tcMar>
              <w:top w:w="0" w:type="dxa"/>
              <w:left w:w="105" w:type="dxa"/>
              <w:bottom w:w="0" w:type="dxa"/>
              <w:right w:w="105" w:type="dxa"/>
            </w:tcMar>
            <w:vAlign w:val="center"/>
          </w:tcPr>
          <w:p>
            <w:pPr>
              <w:pStyle w:val="12"/>
              <w:widowControl/>
              <w:jc w:val="center"/>
              <w:rPr>
                <w:color w:val="auto"/>
                <w:highlight w:val="none"/>
              </w:rPr>
            </w:pPr>
            <w:r>
              <w:rPr>
                <w:rFonts w:ascii="Calibri" w:hAnsi="Calibri" w:cs="Calibri"/>
                <w:color w:val="auto"/>
                <w:sz w:val="21"/>
                <w:szCs w:val="21"/>
                <w:highlight w:val="none"/>
              </w:rPr>
              <w:t>…</w:t>
            </w:r>
          </w:p>
        </w:tc>
        <w:tc>
          <w:tcPr>
            <w:tcW w:w="855" w:type="dxa"/>
            <w:shd w:val="clear" w:color="auto" w:fill="auto"/>
            <w:tcMar>
              <w:top w:w="0" w:type="dxa"/>
              <w:left w:w="105" w:type="dxa"/>
              <w:bottom w:w="0" w:type="dxa"/>
              <w:right w:w="105" w:type="dxa"/>
            </w:tcMar>
            <w:vAlign w:val="center"/>
          </w:tcPr>
          <w:p>
            <w:pPr>
              <w:widowControl/>
              <w:jc w:val="left"/>
              <w:rPr>
                <w:color w:val="auto"/>
                <w:highlight w:val="none"/>
              </w:rPr>
            </w:pPr>
          </w:p>
        </w:tc>
        <w:tc>
          <w:tcPr>
            <w:tcW w:w="2970" w:type="dxa"/>
            <w:shd w:val="clear" w:color="auto" w:fill="auto"/>
            <w:tcMar>
              <w:top w:w="0" w:type="dxa"/>
              <w:left w:w="105" w:type="dxa"/>
              <w:bottom w:w="0" w:type="dxa"/>
              <w:right w:w="105" w:type="dxa"/>
            </w:tcMar>
            <w:vAlign w:val="center"/>
          </w:tcPr>
          <w:p>
            <w:pPr>
              <w:widowControl/>
              <w:jc w:val="left"/>
              <w:rPr>
                <w:color w:val="auto"/>
                <w:highlight w:val="none"/>
              </w:rPr>
            </w:pPr>
          </w:p>
        </w:tc>
        <w:tc>
          <w:tcPr>
            <w:tcW w:w="1845" w:type="dxa"/>
            <w:shd w:val="clear" w:color="auto" w:fill="auto"/>
            <w:tcMar>
              <w:top w:w="0" w:type="dxa"/>
              <w:left w:w="105" w:type="dxa"/>
              <w:bottom w:w="0" w:type="dxa"/>
              <w:right w:w="105" w:type="dxa"/>
            </w:tcMar>
            <w:vAlign w:val="center"/>
          </w:tcPr>
          <w:p>
            <w:pPr>
              <w:widowControl/>
              <w:jc w:val="left"/>
              <w:rPr>
                <w:color w:val="auto"/>
                <w:highlight w:val="none"/>
              </w:rPr>
            </w:pPr>
          </w:p>
        </w:tc>
        <w:tc>
          <w:tcPr>
            <w:tcW w:w="1890" w:type="dxa"/>
            <w:shd w:val="clear" w:color="auto" w:fill="auto"/>
            <w:tcMar>
              <w:top w:w="0" w:type="dxa"/>
              <w:left w:w="105" w:type="dxa"/>
              <w:bottom w:w="0" w:type="dxa"/>
              <w:right w:w="105" w:type="dxa"/>
            </w:tcMar>
            <w:vAlign w:val="center"/>
          </w:tcPr>
          <w:p>
            <w:pPr>
              <w:widowControl/>
              <w:jc w:val="left"/>
              <w:rPr>
                <w:color w:val="auto"/>
                <w:highlight w:val="none"/>
              </w:rPr>
            </w:pPr>
          </w:p>
        </w:tc>
      </w:tr>
    </w:tbl>
    <w:p>
      <w:pPr>
        <w:pStyle w:val="12"/>
        <w:widowControl/>
        <w:rPr>
          <w:color w:val="auto"/>
          <w:highlight w:val="none"/>
        </w:rPr>
      </w:pPr>
      <w:r>
        <w:rPr>
          <w:rFonts w:hint="eastAsia" w:ascii="宋体" w:hAnsi="宋体" w:eastAsia="宋体" w:cs="宋体"/>
          <w:color w:val="auto"/>
          <w:sz w:val="21"/>
          <w:szCs w:val="21"/>
          <w:highlight w:val="none"/>
        </w:rPr>
        <w:t>★注意：</w:t>
      </w:r>
    </w:p>
    <w:p>
      <w:pPr>
        <w:pStyle w:val="12"/>
        <w:widowControl/>
        <w:rPr>
          <w:color w:val="auto"/>
          <w:highlight w:val="none"/>
        </w:rPr>
      </w:pPr>
      <w:r>
        <w:rPr>
          <w:rFonts w:hint="eastAsia" w:ascii="宋体" w:hAnsi="宋体" w:eastAsia="宋体" w:cs="宋体"/>
          <w:color w:val="auto"/>
          <w:sz w:val="21"/>
          <w:szCs w:val="21"/>
          <w:highlight w:val="none"/>
        </w:rPr>
        <w:t>1、本表应按照下列规定填写：</w:t>
      </w:r>
    </w:p>
    <w:p>
      <w:pPr>
        <w:pStyle w:val="12"/>
        <w:widowControl/>
        <w:rPr>
          <w:color w:val="auto"/>
          <w:highlight w:val="none"/>
        </w:rPr>
      </w:pPr>
      <w:r>
        <w:rPr>
          <w:rFonts w:hint="eastAsia" w:ascii="宋体" w:hAnsi="宋体" w:eastAsia="宋体" w:cs="宋体"/>
          <w:color w:val="auto"/>
          <w:sz w:val="21"/>
          <w:szCs w:val="21"/>
          <w:highlight w:val="none"/>
        </w:rPr>
        <w:t>1.1“技术和服务要求”项下填写的内容应与招标文件第五章“技术和服务要求”的内容保持一致。</w:t>
      </w:r>
    </w:p>
    <w:p>
      <w:pPr>
        <w:pStyle w:val="12"/>
        <w:widowControl/>
        <w:rPr>
          <w:color w:val="auto"/>
          <w:highlight w:val="none"/>
        </w:rPr>
      </w:pPr>
      <w:r>
        <w:rPr>
          <w:rFonts w:hint="eastAsia" w:ascii="宋体" w:hAnsi="宋体" w:eastAsia="宋体" w:cs="宋体"/>
          <w:color w:val="auto"/>
          <w:sz w:val="21"/>
          <w:szCs w:val="21"/>
          <w:highlight w:val="none"/>
        </w:rPr>
        <w:t>1.2“投标响应”项下应填写具体的响应内容并与“技术和服务要求”项下填写的内容逐项对应；对“技术和服务要求”项下涉及“≥或＞”、“≤或＜”及某个区间值范围内的内容，应填写具体的数值。</w:t>
      </w:r>
    </w:p>
    <w:p>
      <w:pPr>
        <w:pStyle w:val="12"/>
        <w:widowControl/>
        <w:rPr>
          <w:color w:val="auto"/>
          <w:highlight w:val="none"/>
        </w:rPr>
      </w:pPr>
      <w:r>
        <w:rPr>
          <w:rFonts w:hint="eastAsia" w:ascii="宋体" w:hAnsi="宋体" w:eastAsia="宋体" w:cs="宋体"/>
          <w:color w:val="auto"/>
          <w:sz w:val="21"/>
          <w:szCs w:val="21"/>
          <w:highlight w:val="none"/>
        </w:rPr>
        <w:t>1.3“是否偏离及说明”项下应按下列规定填写：优于的，填写“正偏离”；符合的，填写“无偏离”；低于的，填写“负偏离”。</w:t>
      </w:r>
    </w:p>
    <w:p>
      <w:pPr>
        <w:pStyle w:val="12"/>
        <w:widowControl/>
        <w:rPr>
          <w:color w:val="auto"/>
          <w:highlight w:val="none"/>
        </w:rPr>
      </w:pPr>
      <w:r>
        <w:rPr>
          <w:rFonts w:hint="eastAsia" w:ascii="宋体" w:hAnsi="宋体" w:eastAsia="宋体" w:cs="宋体"/>
          <w:color w:val="auto"/>
          <w:sz w:val="21"/>
          <w:szCs w:val="21"/>
          <w:highlight w:val="none"/>
        </w:rPr>
        <w:t>2、投标人需要说明的内容若需特殊表达，应先在本表中进行相应说明，再    另页应答，否则</w:t>
      </w:r>
      <w:r>
        <w:rPr>
          <w:rStyle w:val="16"/>
          <w:rFonts w:hint="eastAsia" w:ascii="宋体" w:hAnsi="宋体" w:eastAsia="宋体" w:cs="宋体"/>
          <w:color w:val="auto"/>
          <w:sz w:val="21"/>
          <w:szCs w:val="21"/>
          <w:highlight w:val="none"/>
        </w:rPr>
        <w:t>投标无效</w:t>
      </w:r>
      <w:r>
        <w:rPr>
          <w:rFonts w:hint="eastAsia" w:ascii="宋体" w:hAnsi="宋体" w:eastAsia="宋体" w:cs="宋体"/>
          <w:color w:val="auto"/>
          <w:sz w:val="21"/>
          <w:szCs w:val="21"/>
          <w:highlight w:val="none"/>
        </w:rPr>
        <w:t>。</w:t>
      </w:r>
    </w:p>
    <w:p>
      <w:pPr>
        <w:pStyle w:val="12"/>
        <w:widowControl/>
        <w:rPr>
          <w:color w:val="auto"/>
          <w:highlight w:val="none"/>
        </w:rPr>
      </w:pPr>
      <w:r>
        <w:rPr>
          <w:rFonts w:hint="eastAsia" w:ascii="宋体" w:hAnsi="宋体" w:eastAsia="宋体" w:cs="宋体"/>
          <w:color w:val="auto"/>
          <w:sz w:val="21"/>
          <w:szCs w:val="21"/>
          <w:highlight w:val="none"/>
        </w:rPr>
        <w:t>3、纸质投标文件正本中的本表应为原件。</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（全称并加盖单位公章）</w:t>
      </w:r>
    </w:p>
    <w:p>
      <w:pPr>
        <w:pStyle w:val="12"/>
        <w:widowControl/>
        <w:rPr>
          <w:color w:val="auto"/>
          <w:highlight w:val="none"/>
        </w:rPr>
      </w:pPr>
      <w:r>
        <w:rPr>
          <w:rFonts w:hint="eastAsia" w:ascii="宋体" w:hAnsi="宋体" w:eastAsia="宋体" w:cs="宋体"/>
          <w:color w:val="auto"/>
          <w:sz w:val="21"/>
          <w:szCs w:val="21"/>
          <w:highlight w:val="none"/>
        </w:rPr>
        <w:t>投标人代表签字：</w:t>
      </w:r>
      <w:r>
        <w:rPr>
          <w:rFonts w:hint="eastAsia" w:ascii="宋体" w:hAnsi="宋体" w:eastAsia="宋体" w:cs="宋体"/>
          <w:color w:val="auto"/>
          <w:sz w:val="21"/>
          <w:szCs w:val="21"/>
          <w:highlight w:val="none"/>
          <w:u w:val="single"/>
        </w:rPr>
        <w:t>                   </w:t>
      </w:r>
    </w:p>
    <w:p>
      <w:pPr>
        <w:pStyle w:val="12"/>
        <w:widowControl/>
        <w:rPr>
          <w:color w:val="auto"/>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pPr>
        <w:pStyle w:val="12"/>
        <w:widowControl/>
        <w:rPr>
          <w:color w:val="auto"/>
          <w:highlight w:val="none"/>
        </w:rPr>
      </w:pPr>
      <w:r>
        <w:rPr>
          <w:rFonts w:hint="eastAsia" w:ascii="宋体" w:hAnsi="宋体" w:eastAsia="宋体" w:cs="宋体"/>
          <w:color w:val="auto"/>
          <w:sz w:val="21"/>
          <w:szCs w:val="21"/>
          <w:highlight w:val="none"/>
        </w:rPr>
        <w:t>  </w:t>
      </w:r>
    </w:p>
    <w:p>
      <w:pPr>
        <w:rPr>
          <w:rStyle w:val="16"/>
          <w:rFonts w:ascii="宋体" w:hAnsi="宋体" w:eastAsia="宋体" w:cs="宋体"/>
          <w:color w:val="auto"/>
          <w:szCs w:val="21"/>
          <w:highlight w:val="none"/>
        </w:rPr>
      </w:pPr>
      <w:r>
        <w:rPr>
          <w:rStyle w:val="16"/>
          <w:rFonts w:hint="eastAsia" w:ascii="宋体" w:hAnsi="宋体" w:eastAsia="宋体" w:cs="宋体"/>
          <w:color w:val="auto"/>
          <w:szCs w:val="21"/>
          <w:highlight w:val="none"/>
        </w:rPr>
        <w:br w:type="page"/>
      </w:r>
    </w:p>
    <w:p>
      <w:pPr>
        <w:pStyle w:val="12"/>
        <w:widowControl/>
        <w:jc w:val="center"/>
        <w:outlineLvl w:val="2"/>
        <w:rPr>
          <w:color w:val="auto"/>
          <w:highlight w:val="none"/>
        </w:rPr>
      </w:pPr>
      <w:r>
        <w:rPr>
          <w:rStyle w:val="16"/>
          <w:rFonts w:hint="eastAsia" w:ascii="宋体" w:hAnsi="宋体" w:eastAsia="宋体" w:cs="宋体"/>
          <w:color w:val="auto"/>
          <w:sz w:val="21"/>
          <w:szCs w:val="21"/>
          <w:highlight w:val="none"/>
        </w:rPr>
        <w:t>三、商务条件响应表</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招标编号：</w:t>
      </w:r>
      <w:r>
        <w:rPr>
          <w:rFonts w:hint="eastAsia" w:ascii="宋体" w:hAnsi="宋体" w:eastAsia="宋体" w:cs="宋体"/>
          <w:color w:val="auto"/>
          <w:sz w:val="21"/>
          <w:szCs w:val="21"/>
          <w:highlight w:val="none"/>
          <w:u w:val="single"/>
        </w:rPr>
        <w:t>                   </w:t>
      </w:r>
    </w:p>
    <w:tbl>
      <w:tblPr>
        <w:tblStyle w:val="13"/>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90"/>
        <w:gridCol w:w="876"/>
        <w:gridCol w:w="2927"/>
        <w:gridCol w:w="1834"/>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60" w:type="dxa"/>
            <w:shd w:val="clear" w:color="auto" w:fill="auto"/>
            <w:tcMar>
              <w:top w:w="0" w:type="dxa"/>
              <w:left w:w="105" w:type="dxa"/>
              <w:bottom w:w="0" w:type="dxa"/>
              <w:right w:w="105" w:type="dxa"/>
            </w:tcMar>
            <w:vAlign w:val="center"/>
          </w:tcPr>
          <w:p>
            <w:pPr>
              <w:pStyle w:val="12"/>
              <w:widowControl/>
              <w:jc w:val="center"/>
              <w:rPr>
                <w:color w:val="auto"/>
                <w:highlight w:val="none"/>
              </w:rPr>
            </w:pPr>
            <w:r>
              <w:rPr>
                <w:rFonts w:hint="eastAsia" w:ascii="宋体" w:hAnsi="宋体" w:eastAsia="宋体" w:cs="宋体"/>
                <w:color w:val="auto"/>
                <w:sz w:val="21"/>
                <w:szCs w:val="21"/>
                <w:highlight w:val="none"/>
              </w:rPr>
              <w:t>合同包</w:t>
            </w:r>
          </w:p>
        </w:tc>
        <w:tc>
          <w:tcPr>
            <w:tcW w:w="855" w:type="dxa"/>
            <w:shd w:val="clear" w:color="auto" w:fill="auto"/>
            <w:tcMar>
              <w:top w:w="0" w:type="dxa"/>
              <w:left w:w="105" w:type="dxa"/>
              <w:bottom w:w="0" w:type="dxa"/>
              <w:right w:w="105" w:type="dxa"/>
            </w:tcMar>
            <w:vAlign w:val="center"/>
          </w:tcPr>
          <w:p>
            <w:pPr>
              <w:pStyle w:val="12"/>
              <w:widowControl/>
              <w:jc w:val="center"/>
              <w:rPr>
                <w:color w:val="auto"/>
                <w:highlight w:val="none"/>
              </w:rPr>
            </w:pPr>
            <w:r>
              <w:rPr>
                <w:rFonts w:hint="eastAsia" w:ascii="宋体" w:hAnsi="宋体" w:eastAsia="宋体" w:cs="宋体"/>
                <w:color w:val="auto"/>
                <w:sz w:val="21"/>
                <w:szCs w:val="21"/>
                <w:highlight w:val="none"/>
              </w:rPr>
              <w:t>品目号</w:t>
            </w:r>
          </w:p>
        </w:tc>
        <w:tc>
          <w:tcPr>
            <w:tcW w:w="2970" w:type="dxa"/>
            <w:shd w:val="clear" w:color="auto" w:fill="auto"/>
            <w:tcMar>
              <w:top w:w="0" w:type="dxa"/>
              <w:left w:w="105" w:type="dxa"/>
              <w:bottom w:w="0" w:type="dxa"/>
              <w:right w:w="105" w:type="dxa"/>
            </w:tcMar>
            <w:vAlign w:val="center"/>
          </w:tcPr>
          <w:p>
            <w:pPr>
              <w:pStyle w:val="12"/>
              <w:widowControl/>
              <w:jc w:val="center"/>
              <w:rPr>
                <w:color w:val="auto"/>
                <w:highlight w:val="none"/>
              </w:rPr>
            </w:pPr>
            <w:r>
              <w:rPr>
                <w:rFonts w:hint="eastAsia" w:ascii="宋体" w:hAnsi="宋体" w:eastAsia="宋体" w:cs="宋体"/>
                <w:color w:val="auto"/>
                <w:sz w:val="21"/>
                <w:szCs w:val="21"/>
                <w:highlight w:val="none"/>
              </w:rPr>
              <w:t>商务条件</w:t>
            </w:r>
          </w:p>
        </w:tc>
        <w:tc>
          <w:tcPr>
            <w:tcW w:w="1845" w:type="dxa"/>
            <w:shd w:val="clear" w:color="auto" w:fill="auto"/>
            <w:tcMar>
              <w:top w:w="0" w:type="dxa"/>
              <w:left w:w="105" w:type="dxa"/>
              <w:bottom w:w="0" w:type="dxa"/>
              <w:right w:w="105" w:type="dxa"/>
            </w:tcMar>
            <w:vAlign w:val="center"/>
          </w:tcPr>
          <w:p>
            <w:pPr>
              <w:pStyle w:val="12"/>
              <w:widowControl/>
              <w:jc w:val="center"/>
              <w:rPr>
                <w:color w:val="auto"/>
                <w:highlight w:val="none"/>
              </w:rPr>
            </w:pPr>
            <w:r>
              <w:rPr>
                <w:rFonts w:hint="eastAsia" w:ascii="宋体" w:hAnsi="宋体" w:eastAsia="宋体" w:cs="宋体"/>
                <w:color w:val="auto"/>
                <w:sz w:val="21"/>
                <w:szCs w:val="21"/>
                <w:highlight w:val="none"/>
              </w:rPr>
              <w:t>投标响应</w:t>
            </w:r>
          </w:p>
        </w:tc>
        <w:tc>
          <w:tcPr>
            <w:tcW w:w="1890" w:type="dxa"/>
            <w:shd w:val="clear" w:color="auto" w:fill="auto"/>
            <w:tcMar>
              <w:top w:w="0" w:type="dxa"/>
              <w:left w:w="105" w:type="dxa"/>
              <w:bottom w:w="0" w:type="dxa"/>
              <w:right w:w="105" w:type="dxa"/>
            </w:tcMar>
            <w:vAlign w:val="center"/>
          </w:tcPr>
          <w:p>
            <w:pPr>
              <w:pStyle w:val="12"/>
              <w:widowControl/>
              <w:jc w:val="center"/>
              <w:rPr>
                <w:color w:val="auto"/>
                <w:highlight w:val="none"/>
              </w:rPr>
            </w:pPr>
            <w:r>
              <w:rPr>
                <w:rFonts w:hint="eastAsia" w:ascii="宋体" w:hAnsi="宋体" w:eastAsia="宋体" w:cs="宋体"/>
                <w:color w:val="auto"/>
                <w:sz w:val="21"/>
                <w:szCs w:val="21"/>
                <w:highlight w:val="none"/>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60" w:type="dxa"/>
            <w:vMerge w:val="restart"/>
            <w:shd w:val="clear" w:color="auto" w:fill="auto"/>
            <w:tcMar>
              <w:top w:w="0" w:type="dxa"/>
              <w:left w:w="105" w:type="dxa"/>
              <w:bottom w:w="0" w:type="dxa"/>
              <w:right w:w="105" w:type="dxa"/>
            </w:tcMar>
            <w:vAlign w:val="center"/>
          </w:tcPr>
          <w:p>
            <w:pPr>
              <w:pStyle w:val="12"/>
              <w:widowControl/>
              <w:jc w:val="center"/>
              <w:rPr>
                <w:color w:val="auto"/>
                <w:highlight w:val="none"/>
              </w:rPr>
            </w:pPr>
            <w:r>
              <w:rPr>
                <w:rFonts w:hint="eastAsia" w:ascii="宋体" w:hAnsi="宋体" w:eastAsia="宋体" w:cs="宋体"/>
                <w:color w:val="auto"/>
                <w:sz w:val="21"/>
                <w:szCs w:val="21"/>
                <w:highlight w:val="none"/>
              </w:rPr>
              <w:t>*</w:t>
            </w:r>
          </w:p>
        </w:tc>
        <w:tc>
          <w:tcPr>
            <w:tcW w:w="855" w:type="dxa"/>
            <w:shd w:val="clear" w:color="auto" w:fill="auto"/>
            <w:tcMar>
              <w:top w:w="0" w:type="dxa"/>
              <w:left w:w="105" w:type="dxa"/>
              <w:bottom w:w="0" w:type="dxa"/>
              <w:right w:w="105" w:type="dxa"/>
            </w:tcMar>
            <w:vAlign w:val="center"/>
          </w:tcPr>
          <w:p>
            <w:pPr>
              <w:pStyle w:val="12"/>
              <w:widowControl/>
              <w:jc w:val="center"/>
              <w:rPr>
                <w:color w:val="auto"/>
                <w:highlight w:val="none"/>
              </w:rPr>
            </w:pPr>
            <w:r>
              <w:rPr>
                <w:rFonts w:hint="eastAsia" w:ascii="宋体" w:hAnsi="宋体" w:eastAsia="宋体" w:cs="宋体"/>
                <w:color w:val="auto"/>
                <w:sz w:val="21"/>
                <w:szCs w:val="21"/>
                <w:highlight w:val="none"/>
              </w:rPr>
              <w:t>*-1</w:t>
            </w:r>
          </w:p>
        </w:tc>
        <w:tc>
          <w:tcPr>
            <w:tcW w:w="2970" w:type="dxa"/>
            <w:shd w:val="clear" w:color="auto" w:fill="auto"/>
            <w:tcMar>
              <w:top w:w="0" w:type="dxa"/>
              <w:left w:w="105" w:type="dxa"/>
              <w:bottom w:w="0" w:type="dxa"/>
              <w:right w:w="105" w:type="dxa"/>
            </w:tcMar>
          </w:tcPr>
          <w:p>
            <w:pPr>
              <w:widowControl/>
              <w:jc w:val="left"/>
              <w:rPr>
                <w:color w:val="auto"/>
                <w:highlight w:val="none"/>
              </w:rPr>
            </w:pPr>
          </w:p>
        </w:tc>
        <w:tc>
          <w:tcPr>
            <w:tcW w:w="1845" w:type="dxa"/>
            <w:shd w:val="clear" w:color="auto" w:fill="auto"/>
            <w:tcMar>
              <w:top w:w="0" w:type="dxa"/>
              <w:left w:w="105" w:type="dxa"/>
              <w:bottom w:w="0" w:type="dxa"/>
              <w:right w:w="105" w:type="dxa"/>
            </w:tcMar>
          </w:tcPr>
          <w:p>
            <w:pPr>
              <w:widowControl/>
              <w:jc w:val="left"/>
              <w:rPr>
                <w:color w:val="auto"/>
                <w:highlight w:val="none"/>
              </w:rPr>
            </w:pPr>
          </w:p>
        </w:tc>
        <w:tc>
          <w:tcPr>
            <w:tcW w:w="1890" w:type="dxa"/>
            <w:shd w:val="clear" w:color="auto" w:fill="auto"/>
            <w:tcMar>
              <w:top w:w="0" w:type="dxa"/>
              <w:left w:w="105" w:type="dxa"/>
              <w:bottom w:w="0" w:type="dxa"/>
              <w:right w:w="105" w:type="dxa"/>
            </w:tcMa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60" w:type="dxa"/>
            <w:vMerge w:val="continue"/>
            <w:shd w:val="clear" w:color="auto" w:fill="auto"/>
            <w:tcMar>
              <w:top w:w="0" w:type="dxa"/>
              <w:left w:w="105" w:type="dxa"/>
              <w:bottom w:w="0" w:type="dxa"/>
              <w:right w:w="105" w:type="dxa"/>
            </w:tcMar>
            <w:vAlign w:val="center"/>
          </w:tcPr>
          <w:p>
            <w:pPr>
              <w:rPr>
                <w:rFonts w:ascii="宋体"/>
                <w:color w:val="auto"/>
                <w:sz w:val="24"/>
                <w:highlight w:val="none"/>
              </w:rPr>
            </w:pPr>
          </w:p>
        </w:tc>
        <w:tc>
          <w:tcPr>
            <w:tcW w:w="855" w:type="dxa"/>
            <w:shd w:val="clear" w:color="auto" w:fill="auto"/>
            <w:tcMar>
              <w:top w:w="0" w:type="dxa"/>
              <w:left w:w="105" w:type="dxa"/>
              <w:bottom w:w="0" w:type="dxa"/>
              <w:right w:w="105" w:type="dxa"/>
            </w:tcMar>
            <w:vAlign w:val="center"/>
          </w:tcPr>
          <w:p>
            <w:pPr>
              <w:pStyle w:val="12"/>
              <w:widowControl/>
              <w:jc w:val="center"/>
              <w:rPr>
                <w:color w:val="auto"/>
                <w:highlight w:val="none"/>
              </w:rPr>
            </w:pPr>
            <w:r>
              <w:rPr>
                <w:rFonts w:ascii="Calibri" w:hAnsi="Calibri" w:cs="Calibri"/>
                <w:color w:val="auto"/>
                <w:sz w:val="21"/>
                <w:szCs w:val="21"/>
                <w:highlight w:val="none"/>
              </w:rPr>
              <w:t>…</w:t>
            </w:r>
          </w:p>
        </w:tc>
        <w:tc>
          <w:tcPr>
            <w:tcW w:w="2970" w:type="dxa"/>
            <w:shd w:val="clear" w:color="auto" w:fill="auto"/>
            <w:tcMar>
              <w:top w:w="0" w:type="dxa"/>
              <w:left w:w="105" w:type="dxa"/>
              <w:bottom w:w="0" w:type="dxa"/>
              <w:right w:w="105" w:type="dxa"/>
            </w:tcMar>
          </w:tcPr>
          <w:p>
            <w:pPr>
              <w:widowControl/>
              <w:jc w:val="left"/>
              <w:rPr>
                <w:color w:val="auto"/>
                <w:highlight w:val="none"/>
              </w:rPr>
            </w:pPr>
          </w:p>
        </w:tc>
        <w:tc>
          <w:tcPr>
            <w:tcW w:w="1845" w:type="dxa"/>
            <w:shd w:val="clear" w:color="auto" w:fill="auto"/>
            <w:tcMar>
              <w:top w:w="0" w:type="dxa"/>
              <w:left w:w="105" w:type="dxa"/>
              <w:bottom w:w="0" w:type="dxa"/>
              <w:right w:w="105" w:type="dxa"/>
            </w:tcMar>
          </w:tcPr>
          <w:p>
            <w:pPr>
              <w:widowControl/>
              <w:jc w:val="left"/>
              <w:rPr>
                <w:color w:val="auto"/>
                <w:highlight w:val="none"/>
              </w:rPr>
            </w:pPr>
          </w:p>
        </w:tc>
        <w:tc>
          <w:tcPr>
            <w:tcW w:w="1890" w:type="dxa"/>
            <w:shd w:val="clear" w:color="auto" w:fill="auto"/>
            <w:tcMar>
              <w:top w:w="0" w:type="dxa"/>
              <w:left w:w="105" w:type="dxa"/>
              <w:bottom w:w="0" w:type="dxa"/>
              <w:right w:w="105" w:type="dxa"/>
            </w:tcMa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60" w:type="dxa"/>
            <w:shd w:val="clear" w:color="auto" w:fill="auto"/>
            <w:tcMar>
              <w:top w:w="0" w:type="dxa"/>
              <w:left w:w="105" w:type="dxa"/>
              <w:bottom w:w="0" w:type="dxa"/>
              <w:right w:w="105" w:type="dxa"/>
            </w:tcMar>
            <w:vAlign w:val="center"/>
          </w:tcPr>
          <w:p>
            <w:pPr>
              <w:pStyle w:val="12"/>
              <w:widowControl/>
              <w:jc w:val="center"/>
              <w:rPr>
                <w:color w:val="auto"/>
                <w:highlight w:val="none"/>
              </w:rPr>
            </w:pPr>
            <w:r>
              <w:rPr>
                <w:rFonts w:ascii="Calibri" w:hAnsi="Calibri" w:cs="Calibri"/>
                <w:color w:val="auto"/>
                <w:sz w:val="21"/>
                <w:szCs w:val="21"/>
                <w:highlight w:val="none"/>
              </w:rPr>
              <w:t>…</w:t>
            </w:r>
          </w:p>
        </w:tc>
        <w:tc>
          <w:tcPr>
            <w:tcW w:w="855" w:type="dxa"/>
            <w:shd w:val="clear" w:color="auto" w:fill="auto"/>
            <w:tcMar>
              <w:top w:w="0" w:type="dxa"/>
              <w:left w:w="105" w:type="dxa"/>
              <w:bottom w:w="0" w:type="dxa"/>
              <w:right w:w="105" w:type="dxa"/>
            </w:tcMar>
            <w:vAlign w:val="center"/>
          </w:tcPr>
          <w:p>
            <w:pPr>
              <w:widowControl/>
              <w:jc w:val="left"/>
              <w:rPr>
                <w:color w:val="auto"/>
                <w:highlight w:val="none"/>
              </w:rPr>
            </w:pPr>
          </w:p>
        </w:tc>
        <w:tc>
          <w:tcPr>
            <w:tcW w:w="2970" w:type="dxa"/>
            <w:shd w:val="clear" w:color="auto" w:fill="auto"/>
            <w:tcMar>
              <w:top w:w="0" w:type="dxa"/>
              <w:left w:w="105" w:type="dxa"/>
              <w:bottom w:w="0" w:type="dxa"/>
              <w:right w:w="105" w:type="dxa"/>
            </w:tcMar>
            <w:vAlign w:val="center"/>
          </w:tcPr>
          <w:p>
            <w:pPr>
              <w:widowControl/>
              <w:jc w:val="left"/>
              <w:rPr>
                <w:color w:val="auto"/>
                <w:highlight w:val="none"/>
              </w:rPr>
            </w:pPr>
          </w:p>
        </w:tc>
        <w:tc>
          <w:tcPr>
            <w:tcW w:w="1845" w:type="dxa"/>
            <w:shd w:val="clear" w:color="auto" w:fill="auto"/>
            <w:tcMar>
              <w:top w:w="0" w:type="dxa"/>
              <w:left w:w="105" w:type="dxa"/>
              <w:bottom w:w="0" w:type="dxa"/>
              <w:right w:w="105" w:type="dxa"/>
            </w:tcMar>
            <w:vAlign w:val="center"/>
          </w:tcPr>
          <w:p>
            <w:pPr>
              <w:widowControl/>
              <w:jc w:val="left"/>
              <w:rPr>
                <w:color w:val="auto"/>
                <w:highlight w:val="none"/>
              </w:rPr>
            </w:pPr>
          </w:p>
        </w:tc>
        <w:tc>
          <w:tcPr>
            <w:tcW w:w="1890" w:type="dxa"/>
            <w:shd w:val="clear" w:color="auto" w:fill="auto"/>
            <w:tcMar>
              <w:top w:w="0" w:type="dxa"/>
              <w:left w:w="105" w:type="dxa"/>
              <w:bottom w:w="0" w:type="dxa"/>
              <w:right w:w="105" w:type="dxa"/>
            </w:tcMar>
            <w:vAlign w:val="center"/>
          </w:tcPr>
          <w:p>
            <w:pPr>
              <w:widowControl/>
              <w:jc w:val="left"/>
              <w:rPr>
                <w:color w:val="auto"/>
                <w:highlight w:val="none"/>
              </w:rPr>
            </w:pPr>
          </w:p>
        </w:tc>
      </w:tr>
    </w:tbl>
    <w:p>
      <w:pPr>
        <w:pStyle w:val="12"/>
        <w:widowControl/>
        <w:rPr>
          <w:color w:val="auto"/>
          <w:highlight w:val="none"/>
        </w:rPr>
      </w:pPr>
      <w:r>
        <w:rPr>
          <w:rFonts w:hint="eastAsia" w:ascii="宋体" w:hAnsi="宋体" w:eastAsia="宋体" w:cs="宋体"/>
          <w:color w:val="auto"/>
          <w:sz w:val="21"/>
          <w:szCs w:val="21"/>
          <w:highlight w:val="none"/>
        </w:rPr>
        <w:t>★注意：</w:t>
      </w:r>
    </w:p>
    <w:p>
      <w:pPr>
        <w:pStyle w:val="12"/>
        <w:widowControl/>
        <w:rPr>
          <w:color w:val="auto"/>
          <w:highlight w:val="none"/>
        </w:rPr>
      </w:pPr>
      <w:r>
        <w:rPr>
          <w:rFonts w:hint="eastAsia" w:ascii="宋体" w:hAnsi="宋体" w:eastAsia="宋体" w:cs="宋体"/>
          <w:color w:val="auto"/>
          <w:sz w:val="21"/>
          <w:szCs w:val="21"/>
          <w:highlight w:val="none"/>
        </w:rPr>
        <w:t>1、本表应按照下列规定填写：</w:t>
      </w:r>
    </w:p>
    <w:p>
      <w:pPr>
        <w:pStyle w:val="12"/>
        <w:widowControl/>
        <w:rPr>
          <w:color w:val="auto"/>
          <w:highlight w:val="none"/>
        </w:rPr>
      </w:pPr>
      <w:r>
        <w:rPr>
          <w:rFonts w:hint="eastAsia" w:ascii="宋体" w:hAnsi="宋体" w:eastAsia="宋体" w:cs="宋体"/>
          <w:color w:val="auto"/>
          <w:sz w:val="21"/>
          <w:szCs w:val="21"/>
          <w:highlight w:val="none"/>
        </w:rPr>
        <w:t>1.1“商务条件”项下填写的内容应与招标文件第五章“商务条件”的内容保持一致。</w:t>
      </w:r>
    </w:p>
    <w:p>
      <w:pPr>
        <w:pStyle w:val="12"/>
        <w:widowControl/>
        <w:rPr>
          <w:color w:val="auto"/>
          <w:highlight w:val="none"/>
        </w:rPr>
      </w:pPr>
      <w:r>
        <w:rPr>
          <w:rFonts w:hint="eastAsia" w:ascii="宋体" w:hAnsi="宋体" w:eastAsia="宋体" w:cs="宋体"/>
          <w:color w:val="auto"/>
          <w:sz w:val="21"/>
          <w:szCs w:val="21"/>
          <w:highlight w:val="none"/>
        </w:rPr>
        <w:t>1.2“投标响应”项下应填写具体的响应内容并与“商务条件”项下填写的内容逐项对应；对“商务条件”项下涉及“≥或＞”、“≤或＜”及某个区间值范围内的内容，应填写具体的数值。</w:t>
      </w:r>
    </w:p>
    <w:p>
      <w:pPr>
        <w:pStyle w:val="12"/>
        <w:widowControl/>
        <w:rPr>
          <w:color w:val="auto"/>
          <w:highlight w:val="none"/>
        </w:rPr>
      </w:pPr>
      <w:r>
        <w:rPr>
          <w:rFonts w:hint="eastAsia" w:ascii="宋体" w:hAnsi="宋体" w:eastAsia="宋体" w:cs="宋体"/>
          <w:color w:val="auto"/>
          <w:sz w:val="21"/>
          <w:szCs w:val="21"/>
          <w:highlight w:val="none"/>
        </w:rPr>
        <w:t>1.3“是否偏离及说明”项下应按下列规定填写：优于的，填写“正偏离”；符合的，填写“无偏离”；低于的，填写“负偏离”。</w:t>
      </w:r>
    </w:p>
    <w:p>
      <w:pPr>
        <w:pStyle w:val="12"/>
        <w:widowControl/>
        <w:rPr>
          <w:color w:val="auto"/>
          <w:highlight w:val="none"/>
        </w:rPr>
      </w:pPr>
      <w:r>
        <w:rPr>
          <w:rFonts w:hint="eastAsia" w:ascii="宋体" w:hAnsi="宋体" w:eastAsia="宋体" w:cs="宋体"/>
          <w:color w:val="auto"/>
          <w:sz w:val="21"/>
          <w:szCs w:val="21"/>
          <w:highlight w:val="none"/>
        </w:rPr>
        <w:t>2、投标人需要说明的内容若需特殊表达，应先在本表中进行相应说明，再另页应答，否则</w:t>
      </w:r>
      <w:r>
        <w:rPr>
          <w:rStyle w:val="16"/>
          <w:rFonts w:hint="eastAsia" w:ascii="宋体" w:hAnsi="宋体" w:eastAsia="宋体" w:cs="宋体"/>
          <w:color w:val="auto"/>
          <w:sz w:val="21"/>
          <w:szCs w:val="21"/>
          <w:highlight w:val="none"/>
        </w:rPr>
        <w:t>投标无效</w:t>
      </w:r>
      <w:r>
        <w:rPr>
          <w:rFonts w:hint="eastAsia" w:ascii="宋体" w:hAnsi="宋体" w:eastAsia="宋体" w:cs="宋体"/>
          <w:color w:val="auto"/>
          <w:sz w:val="21"/>
          <w:szCs w:val="21"/>
          <w:highlight w:val="none"/>
        </w:rPr>
        <w:t>。</w:t>
      </w:r>
    </w:p>
    <w:p>
      <w:pPr>
        <w:pStyle w:val="12"/>
        <w:widowControl/>
        <w:rPr>
          <w:color w:val="auto"/>
          <w:highlight w:val="none"/>
        </w:rPr>
      </w:pPr>
      <w:r>
        <w:rPr>
          <w:rFonts w:hint="eastAsia" w:ascii="宋体" w:hAnsi="宋体" w:eastAsia="宋体" w:cs="宋体"/>
          <w:color w:val="auto"/>
          <w:sz w:val="21"/>
          <w:szCs w:val="21"/>
          <w:highlight w:val="none"/>
        </w:rPr>
        <w:t>3、纸质投标文件正本中的本表应为原件。</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（全称并加盖单位公章）</w:t>
      </w:r>
    </w:p>
    <w:p>
      <w:pPr>
        <w:pStyle w:val="12"/>
        <w:widowControl/>
        <w:rPr>
          <w:color w:val="auto"/>
          <w:highlight w:val="none"/>
        </w:rPr>
      </w:pPr>
      <w:r>
        <w:rPr>
          <w:rFonts w:hint="eastAsia" w:ascii="宋体" w:hAnsi="宋体" w:eastAsia="宋体" w:cs="宋体"/>
          <w:color w:val="auto"/>
          <w:sz w:val="21"/>
          <w:szCs w:val="21"/>
          <w:highlight w:val="none"/>
        </w:rPr>
        <w:t>投标人代表签字：</w:t>
      </w:r>
      <w:r>
        <w:rPr>
          <w:rFonts w:hint="eastAsia" w:ascii="宋体" w:hAnsi="宋体" w:eastAsia="宋体" w:cs="宋体"/>
          <w:color w:val="auto"/>
          <w:sz w:val="21"/>
          <w:szCs w:val="21"/>
          <w:highlight w:val="none"/>
          <w:u w:val="single"/>
        </w:rPr>
        <w:t>                   </w:t>
      </w:r>
    </w:p>
    <w:p>
      <w:pPr>
        <w:pStyle w:val="12"/>
        <w:widowControl/>
        <w:rPr>
          <w:color w:val="auto"/>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 </w:t>
      </w:r>
    </w:p>
    <w:p>
      <w:pPr>
        <w:rPr>
          <w:rStyle w:val="16"/>
          <w:rFonts w:ascii="宋体" w:hAnsi="宋体" w:eastAsia="宋体" w:cs="宋体"/>
          <w:color w:val="auto"/>
          <w:szCs w:val="21"/>
          <w:highlight w:val="none"/>
        </w:rPr>
      </w:pPr>
      <w:r>
        <w:rPr>
          <w:rStyle w:val="16"/>
          <w:rFonts w:hint="eastAsia" w:ascii="宋体" w:hAnsi="宋体" w:eastAsia="宋体" w:cs="宋体"/>
          <w:color w:val="auto"/>
          <w:szCs w:val="21"/>
          <w:highlight w:val="none"/>
        </w:rPr>
        <w:br w:type="page"/>
      </w:r>
    </w:p>
    <w:p>
      <w:pPr>
        <w:pStyle w:val="12"/>
        <w:widowControl/>
        <w:jc w:val="center"/>
        <w:outlineLvl w:val="2"/>
        <w:rPr>
          <w:color w:val="auto"/>
          <w:highlight w:val="none"/>
        </w:rPr>
      </w:pPr>
      <w:r>
        <w:rPr>
          <w:rStyle w:val="16"/>
          <w:rFonts w:hint="eastAsia" w:ascii="宋体" w:hAnsi="宋体" w:eastAsia="宋体" w:cs="宋体"/>
          <w:color w:val="auto"/>
          <w:sz w:val="21"/>
          <w:szCs w:val="21"/>
          <w:highlight w:val="none"/>
        </w:rPr>
        <w:t>四、投标人提交的其他资料（若有）</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jc w:val="center"/>
        <w:rPr>
          <w:color w:val="auto"/>
          <w:highlight w:val="none"/>
        </w:rPr>
      </w:pPr>
      <w:r>
        <w:rPr>
          <w:rFonts w:hint="eastAsia" w:ascii="宋体" w:hAnsi="宋体" w:eastAsia="宋体" w:cs="宋体"/>
          <w:color w:val="auto"/>
          <w:sz w:val="21"/>
          <w:szCs w:val="21"/>
          <w:highlight w:val="none"/>
        </w:rPr>
        <w:t>编制说明</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rPr>
          <w:color w:val="auto"/>
          <w:highlight w:val="none"/>
        </w:rPr>
      </w:pPr>
      <w:r>
        <w:rPr>
          <w:rFonts w:hint="eastAsia" w:ascii="宋体" w:hAnsi="宋体" w:eastAsia="宋体" w:cs="宋体"/>
          <w:color w:val="auto"/>
          <w:sz w:val="21"/>
          <w:szCs w:val="21"/>
          <w:highlight w:val="none"/>
        </w:rPr>
        <w:t>1、招标文件要求提交的除</w:t>
      </w:r>
      <w:r>
        <w:rPr>
          <w:rStyle w:val="16"/>
          <w:rFonts w:hint="eastAsia" w:ascii="宋体" w:hAnsi="宋体" w:eastAsia="宋体" w:cs="宋体"/>
          <w:color w:val="auto"/>
          <w:sz w:val="21"/>
          <w:szCs w:val="21"/>
          <w:highlight w:val="none"/>
        </w:rPr>
        <w:t>“资格及资信证明部分”、“报价部分”</w:t>
      </w:r>
      <w:r>
        <w:rPr>
          <w:rFonts w:hint="eastAsia" w:ascii="宋体" w:hAnsi="宋体" w:eastAsia="宋体" w:cs="宋体"/>
          <w:color w:val="auto"/>
          <w:sz w:val="21"/>
          <w:szCs w:val="21"/>
          <w:highlight w:val="none"/>
        </w:rPr>
        <w:t>外的其他证明材料或资料加盖投标人的单位公章后应在此项下提交。</w:t>
      </w:r>
    </w:p>
    <w:p>
      <w:pPr>
        <w:pStyle w:val="12"/>
        <w:widowControl/>
        <w:rPr>
          <w:color w:val="auto"/>
          <w:highlight w:val="none"/>
        </w:rPr>
      </w:pPr>
      <w:r>
        <w:rPr>
          <w:rFonts w:hint="eastAsia" w:ascii="宋体" w:hAnsi="宋体" w:eastAsia="宋体" w:cs="宋体"/>
          <w:color w:val="auto"/>
          <w:sz w:val="21"/>
          <w:szCs w:val="21"/>
          <w:highlight w:val="none"/>
        </w:rPr>
        <w:t>2、招标文件要求投标人提供方案（包括但不限于：组织、实施、技术、服务方案等）的，投标人应在此项下提交。</w:t>
      </w:r>
    </w:p>
    <w:p>
      <w:pPr>
        <w:pStyle w:val="12"/>
        <w:widowControl/>
        <w:rPr>
          <w:color w:val="auto"/>
          <w:highlight w:val="none"/>
        </w:rPr>
      </w:pPr>
      <w:r>
        <w:rPr>
          <w:rFonts w:hint="eastAsia" w:ascii="宋体" w:hAnsi="宋体" w:eastAsia="宋体" w:cs="宋体"/>
          <w:color w:val="auto"/>
          <w:sz w:val="21"/>
          <w:szCs w:val="21"/>
          <w:highlight w:val="none"/>
        </w:rPr>
        <w:t>3、除招标文件另有规定外，投标人认为需要提交的其他证明材料或资料加盖投标人的单位公章后应在此项下提交。</w:t>
      </w:r>
    </w:p>
    <w:p>
      <w:pPr>
        <w:pStyle w:val="12"/>
        <w:widowControl/>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pPr>
        <w:pStyle w:val="12"/>
        <w:widowControl/>
        <w:rPr>
          <w:rFonts w:ascii="宋体" w:hAnsi="宋体" w:eastAsia="宋体" w:cs="宋体"/>
          <w:color w:val="auto"/>
          <w:sz w:val="21"/>
          <w:szCs w:val="21"/>
          <w:highlight w:val="none"/>
        </w:rPr>
      </w:pPr>
    </w:p>
    <w:p>
      <w:pPr>
        <w:pStyle w:val="12"/>
        <w:widowControl/>
        <w:rPr>
          <w:rFonts w:ascii="宋体" w:hAnsi="宋体" w:eastAsia="宋体" w:cs="宋体"/>
          <w:color w:val="auto"/>
          <w:sz w:val="21"/>
          <w:szCs w:val="21"/>
          <w:highlight w:val="none"/>
        </w:rPr>
      </w:pPr>
    </w:p>
    <w:p>
      <w:pPr>
        <w:pStyle w:val="12"/>
        <w:widowControl/>
        <w:rPr>
          <w:rFonts w:ascii="宋体" w:hAnsi="宋体" w:eastAsia="宋体" w:cs="宋体"/>
          <w:color w:val="auto"/>
          <w:sz w:val="21"/>
          <w:szCs w:val="21"/>
          <w:highlight w:val="none"/>
        </w:rPr>
      </w:pPr>
    </w:p>
    <w:p>
      <w:pPr>
        <w:pStyle w:val="12"/>
        <w:widowControl/>
        <w:rPr>
          <w:rFonts w:ascii="宋体" w:hAnsi="宋体" w:eastAsia="宋体" w:cs="宋体"/>
          <w:color w:val="auto"/>
          <w:sz w:val="21"/>
          <w:szCs w:val="21"/>
          <w:highlight w:val="none"/>
        </w:rPr>
      </w:pPr>
    </w:p>
    <w:p>
      <w:pPr>
        <w:pStyle w:val="12"/>
        <w:widowControl/>
        <w:rPr>
          <w:rFonts w:ascii="宋体" w:hAnsi="宋体" w:eastAsia="宋体" w:cs="宋体"/>
          <w:color w:val="auto"/>
          <w:sz w:val="21"/>
          <w:szCs w:val="21"/>
          <w:highlight w:val="none"/>
        </w:rPr>
      </w:pPr>
    </w:p>
    <w:p>
      <w:pPr>
        <w:pStyle w:val="12"/>
        <w:widowControl/>
        <w:rPr>
          <w:rFonts w:ascii="宋体" w:hAnsi="宋体" w:eastAsia="宋体" w:cs="宋体"/>
          <w:color w:val="auto"/>
          <w:sz w:val="21"/>
          <w:szCs w:val="21"/>
          <w:highlight w:val="none"/>
        </w:rPr>
      </w:pPr>
    </w:p>
    <w:p>
      <w:pPr>
        <w:pStyle w:val="12"/>
        <w:widowControl/>
        <w:rPr>
          <w:rFonts w:ascii="宋体" w:hAnsi="宋体" w:eastAsia="宋体" w:cs="宋体"/>
          <w:color w:val="auto"/>
          <w:sz w:val="21"/>
          <w:szCs w:val="21"/>
          <w:highlight w:val="none"/>
        </w:rPr>
      </w:pPr>
    </w:p>
    <w:p>
      <w:pPr>
        <w:pStyle w:val="4"/>
        <w:keepNext w:val="0"/>
        <w:keepLines w:val="0"/>
        <w:widowControl/>
        <w:rPr>
          <w:rFonts w:ascii="宋体" w:hAnsi="宋体" w:eastAsia="宋体" w:cs="宋体"/>
          <w:color w:val="auto"/>
          <w:sz w:val="28"/>
          <w:szCs w:val="28"/>
          <w:highlight w:val="none"/>
        </w:rPr>
      </w:pPr>
      <w:r>
        <w:rPr>
          <w:rFonts w:hint="eastAsia"/>
          <w:color w:val="auto"/>
          <w:sz w:val="28"/>
          <w:szCs w:val="28"/>
          <w:highlight w:val="none"/>
          <w:lang w:eastAsia="zh-CN"/>
        </w:rPr>
        <w:t>招标</w:t>
      </w:r>
      <w:r>
        <w:rPr>
          <w:color w:val="auto"/>
          <w:sz w:val="28"/>
          <w:szCs w:val="28"/>
          <w:highlight w:val="none"/>
        </w:rPr>
        <w:t>文件相关附件</w:t>
      </w:r>
      <w:r>
        <w:rPr>
          <w:rFonts w:hint="eastAsia"/>
          <w:color w:val="auto"/>
          <w:sz w:val="28"/>
          <w:szCs w:val="28"/>
          <w:highlight w:val="none"/>
        </w:rPr>
        <w:t>（</w:t>
      </w:r>
      <w:r>
        <w:rPr>
          <w:rFonts w:hint="eastAsia"/>
          <w:color w:val="auto"/>
          <w:sz w:val="28"/>
          <w:szCs w:val="28"/>
          <w:highlight w:val="none"/>
          <w:lang w:eastAsia="zh-CN"/>
        </w:rPr>
        <w:t>后附《场地平面图》</w:t>
      </w:r>
      <w:r>
        <w:rPr>
          <w:rFonts w:hint="eastAsia"/>
          <w:color w:val="auto"/>
          <w:sz w:val="28"/>
          <w:szCs w:val="28"/>
          <w:highlight w:val="none"/>
        </w:rPr>
        <w:t>）</w:t>
      </w:r>
    </w:p>
    <w:p>
      <w:pPr>
        <w:pStyle w:val="12"/>
        <w:widowControl/>
        <w:rPr>
          <w:color w:val="auto"/>
          <w:highlight w:val="none"/>
        </w:rPr>
      </w:pPr>
      <w:r>
        <w:rPr>
          <w:rFonts w:hint="eastAsia" w:ascii="宋体" w:hAnsi="宋体" w:eastAsia="宋体" w:cs="宋体"/>
          <w:color w:val="auto"/>
          <w:sz w:val="21"/>
          <w:szCs w:val="21"/>
          <w:highlight w:val="none"/>
        </w:rPr>
        <w:t> </w:t>
      </w:r>
    </w:p>
    <w:p>
      <w:pPr>
        <w:pStyle w:val="12"/>
        <w:widowControl/>
        <w:spacing w:before="75" w:beforeAutospacing="0" w:after="75" w:afterAutospacing="0"/>
        <w:jc w:val="center"/>
        <w:rPr>
          <w:rFonts w:hint="eastAsia" w:eastAsia="宋体"/>
          <w:color w:val="auto"/>
          <w:highlight w:val="none"/>
          <w:lang w:eastAsia="zh-CN"/>
        </w:rPr>
      </w:pPr>
    </w:p>
    <w:p>
      <w:pPr>
        <w:pStyle w:val="12"/>
        <w:widowControl/>
        <w:spacing w:before="75" w:beforeAutospacing="0" w:after="75" w:afterAutospacing="0"/>
        <w:jc w:val="center"/>
        <w:rPr>
          <w:rFonts w:hint="eastAsia" w:eastAsia="宋体"/>
          <w:color w:val="auto"/>
          <w:highlight w:val="none"/>
          <w:lang w:eastAsia="zh-CN"/>
        </w:rPr>
      </w:pPr>
    </w:p>
    <w:p>
      <w:pPr>
        <w:pStyle w:val="12"/>
        <w:widowControl/>
        <w:spacing w:before="75" w:beforeAutospacing="0" w:after="75" w:afterAutospacing="0"/>
        <w:jc w:val="center"/>
        <w:rPr>
          <w:rFonts w:hint="eastAsia" w:eastAsia="宋体"/>
          <w:color w:val="auto"/>
          <w:highlight w:val="none"/>
          <w:lang w:eastAsia="zh-CN"/>
        </w:rPr>
      </w:pPr>
    </w:p>
    <w:p>
      <w:pPr>
        <w:rPr>
          <w:rFonts w:hint="eastAsia" w:eastAsia="宋体"/>
          <w:color w:val="auto"/>
          <w:highlight w:val="none"/>
          <w:lang w:eastAsia="zh-CN"/>
        </w:rPr>
      </w:pPr>
      <w:r>
        <w:rPr>
          <w:rFonts w:hint="eastAsia" w:eastAsia="宋体"/>
          <w:color w:val="auto"/>
          <w:highlight w:val="none"/>
          <w:lang w:eastAsia="zh-CN"/>
        </w:rPr>
        <w:br w:type="page"/>
      </w:r>
    </w:p>
    <w:p>
      <w:pPr>
        <w:pStyle w:val="12"/>
        <w:widowControl/>
        <w:spacing w:before="75" w:beforeAutospacing="0" w:after="75" w:afterAutospacing="0"/>
        <w:jc w:val="both"/>
        <w:outlineLvl w:val="1"/>
        <w:rPr>
          <w:rFonts w:hint="eastAsia" w:eastAsia="宋体"/>
          <w:color w:val="auto"/>
          <w:highlight w:val="none"/>
          <w:lang w:eastAsia="zh-CN"/>
        </w:rPr>
      </w:pPr>
      <w:r>
        <w:rPr>
          <w:rFonts w:hint="eastAsia" w:eastAsia="宋体"/>
          <w:color w:val="auto"/>
          <w:highlight w:val="none"/>
          <w:lang w:eastAsia="zh-CN"/>
        </w:rPr>
        <w:t>附件：场地平面图</w:t>
      </w:r>
    </w:p>
    <w:p>
      <w:pPr>
        <w:pStyle w:val="12"/>
        <w:widowControl/>
        <w:spacing w:before="75" w:beforeAutospacing="0" w:after="75" w:afterAutospacing="0"/>
        <w:jc w:val="center"/>
        <w:rPr>
          <w:rFonts w:hint="eastAsia" w:eastAsia="宋体"/>
          <w:color w:val="auto"/>
          <w:highlight w:val="none"/>
          <w:lang w:eastAsia="zh-CN"/>
        </w:rPr>
      </w:pPr>
      <w:r>
        <w:rPr>
          <w:rFonts w:hint="eastAsia" w:eastAsia="宋体"/>
          <w:color w:val="auto"/>
          <w:highlight w:val="none"/>
          <w:lang w:eastAsia="zh-CN"/>
        </w:rPr>
        <w:drawing>
          <wp:inline distT="0" distB="0" distL="114300" distR="114300">
            <wp:extent cx="8267065" cy="4231640"/>
            <wp:effectExtent l="0" t="0" r="16510" b="635"/>
            <wp:docPr id="1" name="图片 1" descr="第四餐厅平面图图纸——同济大学2020.9.14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第四餐厅平面图图纸——同济大学2020.9.14_00"/>
                    <pic:cNvPicPr>
                      <a:picLocks noChangeAspect="1"/>
                    </pic:cNvPicPr>
                  </pic:nvPicPr>
                  <pic:blipFill>
                    <a:blip r:embed="rId6"/>
                    <a:srcRect l="750"/>
                    <a:stretch>
                      <a:fillRect/>
                    </a:stretch>
                  </pic:blipFill>
                  <pic:spPr>
                    <a:xfrm rot="16200000">
                      <a:off x="0" y="0"/>
                      <a:ext cx="8267065" cy="4231640"/>
                    </a:xfrm>
                    <a:prstGeom prst="rect">
                      <a:avLst/>
                    </a:prstGeom>
                  </pic:spPr>
                </pic:pic>
              </a:graphicData>
            </a:graphic>
          </wp:inline>
        </w:drawing>
      </w: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42A007E0-CE6B-424B-A4E9-B1E4E15B026A}"/>
  </w:font>
  <w:font w:name="微软雅黑">
    <w:panose1 w:val="020B0503020204020204"/>
    <w:charset w:val="86"/>
    <w:family w:val="swiss"/>
    <w:pitch w:val="default"/>
    <w:sig w:usb0="80000287" w:usb1="280F3C52" w:usb2="00000016" w:usb3="00000000" w:csb0="0004001F" w:csb1="00000000"/>
    <w:embedRegular r:id="rId2" w:fontKey="{4788F533-2CB7-4605-AF84-FA570450B400}"/>
  </w:font>
  <w:font w:name="方正黑体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2000000000000000000"/>
    <w:charset w:val="86"/>
    <w:family w:val="auto"/>
    <w:pitch w:val="default"/>
    <w:sig w:usb0="00000000" w:usb1="00000000" w:usb2="00000000" w:usb3="00000000" w:csb0="00000000" w:csb1="00000000"/>
    <w:embedRegular r:id="rId3" w:fontKey="{A7313A45-17AE-4ADC-803D-FC800845FC82}"/>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default"/>
                              <w:lang w:val="en-US"/>
                            </w:rPr>
                          </w:pPr>
                          <w:r>
                            <w:rPr>
                              <w:lang w:val="en-US"/>
                            </w:rPr>
                            <w:t xml:space="preserve">第 </w:t>
                          </w:r>
                          <w:r>
                            <w:rPr>
                              <w:lang w:val="en-US"/>
                            </w:rPr>
                            <w:fldChar w:fldCharType="begin"/>
                          </w:r>
                          <w:r>
                            <w:rPr>
                              <w:lang w:val="en-US"/>
                            </w:rPr>
                            <w:instrText xml:space="preserve"> PAGE  \* MERGEFORMAT </w:instrText>
                          </w:r>
                          <w:r>
                            <w:rPr>
                              <w:lang w:val="en-US"/>
                            </w:rPr>
                            <w:fldChar w:fldCharType="separate"/>
                          </w:r>
                          <w:r>
                            <w:rPr>
                              <w:lang w:val="en-US"/>
                            </w:rPr>
                            <w:t>2</w:t>
                          </w:r>
                          <w:r>
                            <w:rPr>
                              <w:lang w:val="en-US"/>
                            </w:rPr>
                            <w:fldChar w:fldCharType="end"/>
                          </w:r>
                          <w:r>
                            <w:rPr>
                              <w:lang w:val="en-US"/>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0"/>
                      <w:rPr>
                        <w:rFonts w:hint="default"/>
                        <w:lang w:val="en-US"/>
                      </w:rPr>
                    </w:pPr>
                    <w:r>
                      <w:rPr>
                        <w:lang w:val="en-US"/>
                      </w:rPr>
                      <w:t xml:space="preserve">第 </w:t>
                    </w:r>
                    <w:r>
                      <w:rPr>
                        <w:lang w:val="en-US"/>
                      </w:rPr>
                      <w:fldChar w:fldCharType="begin"/>
                    </w:r>
                    <w:r>
                      <w:rPr>
                        <w:lang w:val="en-US"/>
                      </w:rPr>
                      <w:instrText xml:space="preserve"> PAGE  \* MERGEFORMAT </w:instrText>
                    </w:r>
                    <w:r>
                      <w:rPr>
                        <w:lang w:val="en-US"/>
                      </w:rPr>
                      <w:fldChar w:fldCharType="separate"/>
                    </w:r>
                    <w:r>
                      <w:rPr>
                        <w:lang w:val="en-US"/>
                      </w:rPr>
                      <w:t>2</w:t>
                    </w:r>
                    <w:r>
                      <w:rPr>
                        <w:lang w:val="en-US"/>
                      </w:rPr>
                      <w:fldChar w:fldCharType="end"/>
                    </w:r>
                    <w:r>
                      <w:rPr>
                        <w:lang w:val="en-US"/>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pPr>
    <w:r>
      <w:rPr>
        <w:rFonts w:hint="eastAsia"/>
      </w:rPr>
      <w:t>福建丰盛项目管理有限公司                 招标文件                   联系电话：0595-22896657</w:t>
    </w:r>
  </w:p>
  <w:p>
    <w:pPr>
      <w:pStyle w:val="11"/>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3BF109"/>
    <w:multiLevelType w:val="singleLevel"/>
    <w:tmpl w:val="863BF109"/>
    <w:lvl w:ilvl="0" w:tentative="0">
      <w:start w:val="2"/>
      <w:numFmt w:val="decimal"/>
      <w:lvlText w:val="%1."/>
      <w:lvlJc w:val="left"/>
      <w:pPr>
        <w:tabs>
          <w:tab w:val="left" w:pos="312"/>
        </w:tabs>
      </w:pPr>
    </w:lvl>
  </w:abstractNum>
  <w:abstractNum w:abstractNumId="1">
    <w:nsid w:val="04F8ACE6"/>
    <w:multiLevelType w:val="singleLevel"/>
    <w:tmpl w:val="04F8ACE6"/>
    <w:lvl w:ilvl="0" w:tentative="0">
      <w:start w:val="1"/>
      <w:numFmt w:val="chineseCounting"/>
      <w:suff w:val="nothing"/>
      <w:lvlText w:val="%1、"/>
      <w:lvlJc w:val="left"/>
      <w:rPr>
        <w:rFonts w:hint="eastAsia"/>
      </w:rPr>
    </w:lvl>
  </w:abstractNum>
  <w:abstractNum w:abstractNumId="2">
    <w:nsid w:val="45563EC7"/>
    <w:multiLevelType w:val="singleLevel"/>
    <w:tmpl w:val="45563EC7"/>
    <w:lvl w:ilvl="0" w:tentative="0">
      <w:start w:val="7"/>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500C11"/>
    <w:rsid w:val="000D092D"/>
    <w:rsid w:val="00184C1A"/>
    <w:rsid w:val="001D23CB"/>
    <w:rsid w:val="0020061B"/>
    <w:rsid w:val="002B56FB"/>
    <w:rsid w:val="002D3804"/>
    <w:rsid w:val="00401A00"/>
    <w:rsid w:val="005A20F7"/>
    <w:rsid w:val="005D363C"/>
    <w:rsid w:val="005F417C"/>
    <w:rsid w:val="00652DAE"/>
    <w:rsid w:val="00753F5B"/>
    <w:rsid w:val="008F1DD0"/>
    <w:rsid w:val="00923D90"/>
    <w:rsid w:val="00965AC1"/>
    <w:rsid w:val="00A22477"/>
    <w:rsid w:val="00A52519"/>
    <w:rsid w:val="00A61CFE"/>
    <w:rsid w:val="00AA2834"/>
    <w:rsid w:val="00CB5CFE"/>
    <w:rsid w:val="00CD1E69"/>
    <w:rsid w:val="00E3161F"/>
    <w:rsid w:val="00EF0038"/>
    <w:rsid w:val="00F30F67"/>
    <w:rsid w:val="01834211"/>
    <w:rsid w:val="01FD08F3"/>
    <w:rsid w:val="01FF1C2A"/>
    <w:rsid w:val="02192BF8"/>
    <w:rsid w:val="0278595A"/>
    <w:rsid w:val="04A143DB"/>
    <w:rsid w:val="04E61558"/>
    <w:rsid w:val="05503626"/>
    <w:rsid w:val="05902E3E"/>
    <w:rsid w:val="06E97B57"/>
    <w:rsid w:val="0B7B38F6"/>
    <w:rsid w:val="0B975ACE"/>
    <w:rsid w:val="0C255883"/>
    <w:rsid w:val="0CAE1B10"/>
    <w:rsid w:val="0D1E1263"/>
    <w:rsid w:val="0DB67969"/>
    <w:rsid w:val="0DDA7E82"/>
    <w:rsid w:val="0EA01DAA"/>
    <w:rsid w:val="119A385D"/>
    <w:rsid w:val="11BB0EF1"/>
    <w:rsid w:val="13C25189"/>
    <w:rsid w:val="13EC1674"/>
    <w:rsid w:val="1605337E"/>
    <w:rsid w:val="17237875"/>
    <w:rsid w:val="1777459E"/>
    <w:rsid w:val="19B86F72"/>
    <w:rsid w:val="19FD2B8F"/>
    <w:rsid w:val="1A62303F"/>
    <w:rsid w:val="1DA66E7D"/>
    <w:rsid w:val="1E58511F"/>
    <w:rsid w:val="1EDF533D"/>
    <w:rsid w:val="20271B85"/>
    <w:rsid w:val="205A2C6C"/>
    <w:rsid w:val="21A25508"/>
    <w:rsid w:val="22E131DA"/>
    <w:rsid w:val="24E76A65"/>
    <w:rsid w:val="269C1C9E"/>
    <w:rsid w:val="28214039"/>
    <w:rsid w:val="29162ED7"/>
    <w:rsid w:val="2AC77B89"/>
    <w:rsid w:val="2C4868B5"/>
    <w:rsid w:val="2D906DCC"/>
    <w:rsid w:val="2F002C56"/>
    <w:rsid w:val="2F2F220B"/>
    <w:rsid w:val="2F6B555B"/>
    <w:rsid w:val="2F9A78C5"/>
    <w:rsid w:val="30077549"/>
    <w:rsid w:val="31085718"/>
    <w:rsid w:val="3165286A"/>
    <w:rsid w:val="336B3D53"/>
    <w:rsid w:val="34FB4C9E"/>
    <w:rsid w:val="36834A6F"/>
    <w:rsid w:val="37153F70"/>
    <w:rsid w:val="376B37FF"/>
    <w:rsid w:val="37BD063D"/>
    <w:rsid w:val="37E04825"/>
    <w:rsid w:val="3B5A1A1B"/>
    <w:rsid w:val="3BB34760"/>
    <w:rsid w:val="3BEF7560"/>
    <w:rsid w:val="3E55587A"/>
    <w:rsid w:val="3F5A2E79"/>
    <w:rsid w:val="3F66762F"/>
    <w:rsid w:val="3F710955"/>
    <w:rsid w:val="3FAA63DE"/>
    <w:rsid w:val="40EC640C"/>
    <w:rsid w:val="428F3F9D"/>
    <w:rsid w:val="42AB7805"/>
    <w:rsid w:val="434B08E2"/>
    <w:rsid w:val="43C43F38"/>
    <w:rsid w:val="44A10045"/>
    <w:rsid w:val="474F40C2"/>
    <w:rsid w:val="480503ED"/>
    <w:rsid w:val="4A4450AB"/>
    <w:rsid w:val="4B4929AF"/>
    <w:rsid w:val="4C500C11"/>
    <w:rsid w:val="4E265196"/>
    <w:rsid w:val="50762F70"/>
    <w:rsid w:val="50D34C4D"/>
    <w:rsid w:val="5354315F"/>
    <w:rsid w:val="549D217C"/>
    <w:rsid w:val="56A45A7A"/>
    <w:rsid w:val="58F737CC"/>
    <w:rsid w:val="594403BF"/>
    <w:rsid w:val="59E03C7E"/>
    <w:rsid w:val="5B114845"/>
    <w:rsid w:val="5B7A3AAF"/>
    <w:rsid w:val="5DAC0974"/>
    <w:rsid w:val="5E357AC4"/>
    <w:rsid w:val="60A50F6D"/>
    <w:rsid w:val="627B78EF"/>
    <w:rsid w:val="63AD5DF2"/>
    <w:rsid w:val="65027378"/>
    <w:rsid w:val="65C41304"/>
    <w:rsid w:val="67FC0D3C"/>
    <w:rsid w:val="6AF62C5A"/>
    <w:rsid w:val="6B4A5EC5"/>
    <w:rsid w:val="6D320904"/>
    <w:rsid w:val="6EDA314F"/>
    <w:rsid w:val="6F38732D"/>
    <w:rsid w:val="706870A6"/>
    <w:rsid w:val="71AF4E67"/>
    <w:rsid w:val="72740352"/>
    <w:rsid w:val="7328679F"/>
    <w:rsid w:val="739A5B5C"/>
    <w:rsid w:val="73E4771B"/>
    <w:rsid w:val="74751FF9"/>
    <w:rsid w:val="757E4DDF"/>
    <w:rsid w:val="75B770D1"/>
    <w:rsid w:val="77A52572"/>
    <w:rsid w:val="77FA4435"/>
    <w:rsid w:val="7D8C3295"/>
    <w:rsid w:val="7E767848"/>
    <w:rsid w:val="7E900CCC"/>
    <w:rsid w:val="7FB96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paragraph" w:styleId="5">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6">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spacing w:line="500" w:lineRule="exact"/>
      <w:ind w:right="-84" w:firstLine="480"/>
    </w:pPr>
  </w:style>
  <w:style w:type="paragraph" w:styleId="7">
    <w:name w:val="annotation text"/>
    <w:basedOn w:val="1"/>
    <w:qFormat/>
    <w:uiPriority w:val="0"/>
    <w:pPr>
      <w:jc w:val="left"/>
    </w:pPr>
  </w:style>
  <w:style w:type="paragraph" w:styleId="8">
    <w:name w:val="Date"/>
    <w:basedOn w:val="1"/>
    <w:next w:val="1"/>
    <w:qFormat/>
    <w:uiPriority w:val="0"/>
    <w:pPr>
      <w:ind w:left="100" w:leftChars="2500"/>
    </w:pPr>
  </w:style>
  <w:style w:type="paragraph" w:styleId="9">
    <w:name w:val="Balloon Text"/>
    <w:basedOn w:val="1"/>
    <w:link w:val="22"/>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character" w:styleId="18">
    <w:name w:val="annotation reference"/>
    <w:basedOn w:val="15"/>
    <w:qFormat/>
    <w:uiPriority w:val="0"/>
    <w:rPr>
      <w:sz w:val="21"/>
      <w:szCs w:val="21"/>
    </w:rPr>
  </w:style>
  <w:style w:type="paragraph" w:customStyle="1" w:styleId="19">
    <w:name w:val="Body text|1"/>
    <w:basedOn w:val="1"/>
    <w:qFormat/>
    <w:uiPriority w:val="0"/>
    <w:pPr>
      <w:spacing w:line="425" w:lineRule="auto"/>
      <w:ind w:firstLine="400"/>
    </w:pPr>
    <w:rPr>
      <w:rFonts w:ascii="宋体" w:hAnsi="宋体" w:eastAsia="宋体" w:cs="宋体"/>
      <w:sz w:val="28"/>
      <w:szCs w:val="28"/>
      <w:lang w:val="zh-TW" w:eastAsia="zh-TW" w:bidi="zh-TW"/>
    </w:rPr>
  </w:style>
  <w:style w:type="paragraph" w:customStyle="1" w:styleId="20">
    <w:name w:val="Table Paragraph"/>
    <w:basedOn w:val="1"/>
    <w:qFormat/>
    <w:uiPriority w:val="1"/>
    <w:rPr>
      <w:rFonts w:ascii="Calibri" w:hAnsi="Calibri"/>
    </w:rPr>
  </w:style>
  <w:style w:type="paragraph" w:customStyle="1" w:styleId="21">
    <w:name w:val="Fließtext"/>
    <w:basedOn w:val="1"/>
    <w:qFormat/>
    <w:uiPriority w:val="0"/>
    <w:pPr>
      <w:overflowPunct w:val="0"/>
      <w:autoSpaceDE w:val="0"/>
      <w:autoSpaceDN w:val="0"/>
      <w:adjustRightInd w:val="0"/>
      <w:textAlignment w:val="baseline"/>
    </w:pPr>
    <w:rPr>
      <w:kern w:val="28"/>
    </w:rPr>
  </w:style>
  <w:style w:type="character" w:customStyle="1" w:styleId="22">
    <w:name w:val="批注框文本 Char"/>
    <w:basedOn w:val="15"/>
    <w:link w:val="9"/>
    <w:qFormat/>
    <w:uiPriority w:val="0"/>
    <w:rPr>
      <w:rFonts w:asciiTheme="minorHAnsi" w:hAnsiTheme="minorHAnsi" w:eastAsiaTheme="minorEastAsia" w:cstheme="minorBidi"/>
      <w:kern w:val="2"/>
      <w:sz w:val="18"/>
      <w:szCs w:val="18"/>
    </w:rPr>
  </w:style>
  <w:style w:type="paragraph" w:customStyle="1" w:styleId="23">
    <w:name w:val="Heading #2|1"/>
    <w:basedOn w:val="1"/>
    <w:qFormat/>
    <w:uiPriority w:val="0"/>
    <w:pPr>
      <w:spacing w:after="440" w:line="612" w:lineRule="exact"/>
      <w:jc w:val="center"/>
      <w:outlineLvl w:val="1"/>
    </w:pPr>
    <w:rPr>
      <w:rFonts w:ascii="宋体" w:hAnsi="宋体" w:eastAsia="宋体" w:cs="宋体"/>
      <w:sz w:val="40"/>
      <w:szCs w:val="40"/>
      <w:lang w:val="zh-TW" w:eastAsia="zh-TW" w:bidi="zh-TW"/>
    </w:rPr>
  </w:style>
  <w:style w:type="paragraph" w:customStyle="1" w:styleId="24">
    <w:name w:val="p0"/>
    <w:basedOn w:val="1"/>
    <w:qFormat/>
    <w:uiPriority w:val="99"/>
    <w:pPr>
      <w:widowControl/>
      <w:spacing w:before="100" w:beforeAutospacing="1" w:after="100" w:afterAutospacing="1"/>
      <w:jc w:val="left"/>
    </w:pPr>
    <w:rPr>
      <w:rFonts w:ascii="宋体" w:hAnsi="宋体" w:cstheme="minorBidi"/>
      <w:sz w:val="24"/>
      <w:szCs w:val="22"/>
    </w:rPr>
  </w:style>
  <w:style w:type="paragraph" w:customStyle="1" w:styleId="25">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123</Pages>
  <Words>9058</Words>
  <Characters>51632</Characters>
  <Lines>430</Lines>
  <Paragraphs>121</Paragraphs>
  <TotalTime>31</TotalTime>
  <ScaleCrop>false</ScaleCrop>
  <LinksUpToDate>false</LinksUpToDate>
  <CharactersWithSpaces>60569</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2021-09-23T01:04:00Z</dcterms:created>
  <dc:creator>斑马</dc:creator>
  <cp:lastModifiedBy>斑马</cp:lastModifiedBy>
  <cp:lastPrinted>2021-11-05T03:20:00Z</cp:lastPrinted>
  <dcterms:modified xsi:type="dcterms:W3CDTF">2021-11-05T05:41:13Z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E3D078456DCE4EC193C37394F5B1AE63</vt:lpwstr>
  </property>
  <property fmtid="{D5CDD505-2E9C-101B-9397-08002B2CF9AE}" pid="4" name="KSOSaveFontToCloudKey">
    <vt:lpwstr>456148017_cloud</vt:lpwstr>
  </property>
</Properties>
</file>