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24" w:leftChars="-202"/>
        <w:jc w:val="center"/>
        <w:rPr>
          <w:rFonts w:hint="eastAsia" w:ascii="Bookman Old Style" w:hAnsi="Bookman Old Style" w:eastAsiaTheme="minorEastAsia"/>
          <w:b/>
          <w:color w:val="FF0000"/>
          <w:spacing w:val="-40"/>
          <w:w w:val="75"/>
          <w:kern w:val="15"/>
          <w:sz w:val="180"/>
          <w:szCs w:val="180"/>
          <w:lang w:eastAsia="zh-CN"/>
        </w:rPr>
      </w:pPr>
    </w:p>
    <w:p>
      <w:pPr>
        <w:ind w:left="-424" w:leftChars="-202"/>
        <w:jc w:val="center"/>
        <w:rPr>
          <w:rFonts w:hint="eastAsia" w:ascii="方正小标宋简体" w:hAnsi="方正小标宋简体" w:eastAsia="方正小标宋简体" w:cs="方正小标宋简体"/>
          <w:b w:val="0"/>
          <w:bCs/>
          <w:w w:val="75"/>
          <w:sz w:val="32"/>
          <w:szCs w:val="32"/>
        </w:rPr>
      </w:pPr>
      <w:r>
        <w:rPr>
          <w:rFonts w:hint="eastAsia" w:ascii="方正小标宋简体" w:hAnsi="方正小标宋简体" w:eastAsia="方正小标宋简体" w:cs="方正小标宋简体"/>
          <w:b w:val="0"/>
          <w:bCs/>
          <w:color w:val="FF0000"/>
          <w:spacing w:val="-40"/>
          <w:w w:val="75"/>
          <w:kern w:val="15"/>
          <w:sz w:val="110"/>
          <w:szCs w:val="110"/>
          <w:lang w:eastAsia="zh-CN"/>
        </w:rPr>
        <w:t>泉州师范学院学生处</w:t>
      </w:r>
      <w:r>
        <w:rPr>
          <w:rFonts w:hint="eastAsia" w:ascii="方正小标宋简体" w:hAnsi="方正小标宋简体" w:eastAsia="方正小标宋简体" w:cs="方正小标宋简体"/>
          <w:b w:val="0"/>
          <w:bCs/>
          <w:color w:val="FF0000"/>
          <w:spacing w:val="-40"/>
          <w:w w:val="75"/>
          <w:kern w:val="15"/>
          <w:sz w:val="110"/>
          <w:szCs w:val="110"/>
        </w:rPr>
        <w:t>文件</w:t>
      </w:r>
    </w:p>
    <w:p>
      <w:pPr>
        <w:adjustRightInd w:val="0"/>
        <w:snapToGrid w:val="0"/>
        <w:spacing w:line="600" w:lineRule="exact"/>
        <w:jc w:val="cente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_GB2312" w:eastAsia="仿宋_GB2312"/>
          <w:sz w:val="32"/>
          <w:szCs w:val="32"/>
        </w:rPr>
      </w:pPr>
      <w:r>
        <w:rPr>
          <w:rFonts w:hint="eastAsia" w:ascii="仿宋_GB2312" w:eastAsia="仿宋_GB2312"/>
          <w:sz w:val="32"/>
          <w:szCs w:val="32"/>
        </w:rPr>
        <w:t>学</w:t>
      </w:r>
      <w:r>
        <w:rPr>
          <w:rFonts w:hint="eastAsia" w:ascii="仿宋_GB2312" w:eastAsia="仿宋_GB2312"/>
          <w:sz w:val="32"/>
          <w:szCs w:val="32"/>
          <w:lang w:eastAsia="zh-CN"/>
        </w:rPr>
        <w:t>生</w:t>
      </w:r>
      <w:r>
        <w:rPr>
          <w:rFonts w:hint="eastAsia"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26</w:t>
      </w:r>
      <w:r>
        <w:rPr>
          <w:rFonts w:hint="eastAsia" w:ascii="仿宋_GB2312" w:eastAsia="仿宋_GB2312"/>
          <w:sz w:val="32"/>
          <w:szCs w:val="32"/>
        </w:rPr>
        <w:t>号</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pPr>
      <w:r>
        <mc:AlternateContent>
          <mc:Choice Requires="wps">
            <w:drawing>
              <wp:anchor distT="0" distB="0" distL="114300" distR="114300" simplePos="0" relativeHeight="251721728" behindDoc="0" locked="0" layoutInCell="1" allowOverlap="1">
                <wp:simplePos x="0" y="0"/>
                <wp:positionH relativeFrom="column">
                  <wp:posOffset>-590550</wp:posOffset>
                </wp:positionH>
                <wp:positionV relativeFrom="paragraph">
                  <wp:posOffset>144145</wp:posOffset>
                </wp:positionV>
                <wp:extent cx="6286500" cy="635"/>
                <wp:effectExtent l="0" t="19050" r="0" b="37465"/>
                <wp:wrapNone/>
                <wp:docPr id="24" name="直接箭头连接符 24"/>
                <wp:cNvGraphicFramePr/>
                <a:graphic xmlns:a="http://schemas.openxmlformats.org/drawingml/2006/main">
                  <a:graphicData uri="http://schemas.microsoft.com/office/word/2010/wordprocessingShape">
                    <wps:wsp>
                      <wps:cNvCnPr/>
                      <wps:spPr>
                        <a:xfrm>
                          <a:off x="0" y="0"/>
                          <a:ext cx="6286500" cy="635"/>
                        </a:xfrm>
                        <a:prstGeom prst="straightConnector1">
                          <a:avLst/>
                        </a:prstGeom>
                        <a:ln w="381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6.5pt;margin-top:11.35pt;height:0.05pt;width:495pt;z-index:251721728;mso-width-relative:page;mso-height-relative:page;" filled="f" stroked="t" coordsize="21600,21600" o:gfxdata="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IgsUzZ&#10;AAAACQEAAA8AAAAAAAAAAQAgAAAAIgAAAGRycy9kb3ducmV2LnhtbFBLAQIUABQAAAAIAIdO4kBW&#10;s/5x5gEAAKMDAAAOAAAAAAAAAAEAIAAAACgBAABkcnMvZTJvRG9jLnhtbFBLBQYAAAAABgAGAFkB&#10;AACABQAAAAA=&#10;">
                <v:fill on="f" focussize="0,0"/>
                <v:stroke weight="3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关于规范和加强贫困毕业生就业创业</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sz w:val="44"/>
          <w:szCs w:val="44"/>
          <w:lang w:eastAsia="zh-CN"/>
        </w:rPr>
        <w:t>指导帮扶工作的通知</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kern w:val="0"/>
          <w:sz w:val="32"/>
          <w:szCs w:val="32"/>
          <w:lang w:eastAsia="zh-CN"/>
        </w:rPr>
      </w:pPr>
      <w:bookmarkStart w:id="0" w:name="OLE_LINK4"/>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kern w:val="0"/>
          <w:sz w:val="32"/>
          <w:szCs w:val="32"/>
          <w:lang w:eastAsia="zh-CN"/>
        </w:rPr>
        <w:t>各学院、机关各部（处、室）、各直属单位</w:t>
      </w:r>
      <w:bookmarkEnd w:id="0"/>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为贯彻落实福建省教育厅办公室《关于规范和加强高校贫困毕业生就业创业指导帮扶工作的通知》（</w:t>
      </w:r>
      <w:r>
        <w:rPr>
          <w:rFonts w:hint="eastAsia" w:ascii="仿宋_GB2312" w:hAnsi="仿宋_GB2312" w:eastAsia="仿宋_GB2312" w:cs="仿宋_GB2312"/>
          <w:kern w:val="0"/>
          <w:sz w:val="32"/>
          <w:szCs w:val="32"/>
          <w:lang w:val="en-US" w:eastAsia="zh-CN"/>
        </w:rPr>
        <w:t>闽教办学〔2019〕2号</w:t>
      </w:r>
      <w:r>
        <w:rPr>
          <w:rFonts w:hint="eastAsia" w:ascii="仿宋_GB2312" w:hAnsi="仿宋_GB2312" w:eastAsia="仿宋_GB2312" w:cs="仿宋_GB2312"/>
          <w:kern w:val="0"/>
          <w:sz w:val="32"/>
          <w:szCs w:val="32"/>
          <w:lang w:eastAsia="zh-CN"/>
        </w:rPr>
        <w:t>），进一步规范和加强我校家庭经济困难毕业生就业创业指导服务和资助帮扶工作，现就有关事宜通知如下： </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lang w:eastAsia="zh-CN"/>
        </w:rPr>
        <w:t>提高政治站位，落实责任</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要增强紧迫感、使命感和责任感，制订出台贫困毕业生就业创业精准帮扶工作方案和配套措施，建立贫困毕业生就业创业情况报告制度做到分工明确、责任落实。</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黑体" w:hAnsi="黑体" w:eastAsia="黑体" w:cs="黑体"/>
          <w:kern w:val="0"/>
          <w:sz w:val="32"/>
          <w:szCs w:val="32"/>
          <w:lang w:eastAsia="zh-CN"/>
        </w:rPr>
        <w:t>二、建立帮扶台账，动态管理</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要全面梳理、摸排贫困毕业生（享受国家一档助学金的）具体情况，建立健全“贫困毕业生帮扶工作信息台账”，精确掌握贫困毕业生基本信息、就业创业意向需求及受助帮扶进展情况，指定专人做好贫困毕业生认定工作，实行动态监测、精准识别、常态核查、精细管理，确保各项信息数据真实、完整、一致且实时更新，做到“一生一档”“一生一卡”“一生一策”。</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三、强化服务指导，提升就业竞争力</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要抓住毕业生离校前后的关键阶段，采取积极有效措施，采取多种形式有针对性地对贫困毕业生进行就业创业服务指导，为贫困毕业生提供招聘信息、政策解读咨询，对他们进行职业生涯规划、就业形势分析、就业政策技巧、职场礼仪和心理调适等方面的咨询辅导和专项培训，提高他们的职业技能和实践能力，增强就业竞争力。要特别针对就业困难的贫困毕业生采取“一对一”“多对一”个性化就业创业帮扶，解决就业创业实际困难，增强自我发展能力，确保一个都不能漏、一个都不能少。</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加大宣传力度，营造良好氛围</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总结推广一批扎根基层、自主创业、参军入伍、自谋职业、带头脱贫的贫困毕业生典型，形成鼓励支持贫困毕业生自强不息、自力更生的正向激励，引导他们不断将内生动力与外部帮扶有机结合，切实提高自我发展能力。</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五、其他工作要求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1.有计划地开展贫困毕业生就业创业帮扶工作，提交2018年开展贫困毕业生就业创业帮扶工作开展情况及2019届贫困毕业生就业创业帮扶工作计划；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2.完善《泉州师范学院2019届贫困毕业生花名册》（样表详见附件）；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3.选送2-3名2018届贫困毕业生就业典型案例：毕业生个人信息（姓名、专业、工作单位）、自述形式的生活、就业、工作经历及工作期间获得的荣誉等及毕业生个人近期生活照一张。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u w:val="none"/>
          <w:lang w:val="en-US" w:eastAsia="zh-CN"/>
        </w:rPr>
        <w:t>上述材料请于4月8日前上报就业指导中心，电子版发送到86883011@qq.com，</w:t>
      </w:r>
      <w:r>
        <w:rPr>
          <w:rFonts w:hint="eastAsia" w:ascii="仿宋_GB2312" w:hAnsi="仿宋_GB2312" w:eastAsia="仿宋_GB2312" w:cs="仿宋_GB2312"/>
          <w:kern w:val="0"/>
          <w:sz w:val="32"/>
          <w:szCs w:val="32"/>
          <w:lang w:val="en-US" w:eastAsia="zh-CN"/>
        </w:rPr>
        <w:t>工作总结需提供</w:t>
      </w:r>
      <w:r>
        <w:rPr>
          <w:rFonts w:hint="eastAsia" w:ascii="仿宋_GB2312" w:hAnsi="仿宋_GB2312" w:eastAsia="仿宋_GB2312" w:cs="仿宋_GB2312"/>
          <w:color w:val="auto"/>
          <w:kern w:val="0"/>
          <w:sz w:val="32"/>
          <w:szCs w:val="32"/>
          <w:u w:val="none"/>
          <w:lang w:val="en-US" w:eastAsia="zh-CN"/>
        </w:rPr>
        <w:t>加盖学院公章的纸质文件。</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firstLine="640" w:firstLineChars="200"/>
        <w:jc w:val="both"/>
        <w:textAlignment w:val="auto"/>
        <w:outlineLvl w:val="9"/>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附件：泉州师范学院2019届贫困毕业生花名册</w:t>
      </w: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right="0" w:rightChars="0"/>
        <w:jc w:val="both"/>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5440" w:firstLineChars="1700"/>
        <w:jc w:val="both"/>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学生工作处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2019年4月2日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40" w:lineRule="exact"/>
        <w:ind w:right="0" w:rightChars="0" w:firstLine="640" w:firstLineChars="200"/>
        <w:jc w:val="center"/>
        <w:textAlignment w:val="auto"/>
        <w:outlineLvl w:val="9"/>
        <w:rPr>
          <w:rFonts w:hint="eastAsia" w:ascii="仿宋_GB2312" w:eastAsia="仿宋_GB2312"/>
          <w:color w:val="auto"/>
          <w:sz w:val="32"/>
          <w:szCs w:val="32"/>
          <w:lang w:val="en-US" w:eastAsia="zh-CN"/>
        </w:rPr>
      </w:pPr>
    </w:p>
    <w:tbl>
      <w:tblPr>
        <w:tblStyle w:val="6"/>
        <w:tblpPr w:leftFromText="180" w:rightFromText="180" w:vertAnchor="text" w:horzAnchor="page" w:tblpX="1780" w:tblpY="394"/>
        <w:tblOverlap w:val="never"/>
        <w:tblW w:w="852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10" w:hRule="exact"/>
        </w:trPr>
        <w:tc>
          <w:tcPr>
            <w:tcW w:w="8522" w:type="dxa"/>
            <w:tcBorders>
              <w:tl2br w:val="nil"/>
              <w:tr2bl w:val="nil"/>
            </w:tcBorders>
            <w:vAlign w:val="center"/>
          </w:tcPr>
          <w:p>
            <w:pPr>
              <w:keepNext w:val="0"/>
              <w:keepLines w:val="0"/>
              <w:pageBreakBefore w:val="0"/>
              <w:widowControl w:val="0"/>
              <w:numPr>
                <w:ilvl w:val="0"/>
                <w:numId w:val="0"/>
              </w:numPr>
              <w:kinsoku/>
              <w:wordWrap w:val="0"/>
              <w:overflowPunct/>
              <w:topLinePunct w:val="0"/>
              <w:autoSpaceDE/>
              <w:autoSpaceDN/>
              <w:bidi w:val="0"/>
              <w:adjustRightInd w:val="0"/>
              <w:snapToGrid w:val="0"/>
              <w:spacing w:after="126" w:afterLines="40" w:line="540" w:lineRule="exact"/>
              <w:ind w:right="0" w:rightChars="0"/>
              <w:jc w:val="center"/>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泉州师范学院学生工作处                 2019年4月2日印发</w:t>
            </w:r>
          </w:p>
        </w:tc>
      </w:tr>
    </w:tbl>
    <w:p>
      <w:pPr>
        <w:keepNext w:val="0"/>
        <w:keepLines w:val="0"/>
        <w:pageBreakBefore w:val="0"/>
        <w:kinsoku/>
        <w:wordWrap/>
        <w:overflowPunct/>
        <w:topLinePunct w:val="0"/>
        <w:autoSpaceDE/>
        <w:autoSpaceDN/>
        <w:bidi w:val="0"/>
        <w:adjustRightInd w:val="0"/>
        <w:snapToGrid w:val="0"/>
        <w:spacing w:beforeAutospacing="0" w:after="126" w:afterLines="40" w:afterAutospacing="0" w:line="380" w:lineRule="exact"/>
        <w:ind w:left="0" w:leftChars="0" w:right="0" w:rightChars="0"/>
        <w:textAlignment w:val="auto"/>
        <w:outlineLvl w:val="9"/>
        <w:rPr>
          <w:rFonts w:hint="eastAsia" w:ascii="方正小标宋简体" w:hAnsi="方正小标宋简体" w:eastAsia="方正小标宋简体" w:cs="方正小标宋简体"/>
          <w:b w:val="0"/>
          <w:bCs w:val="0"/>
          <w:sz w:val="44"/>
          <w:szCs w:val="44"/>
          <w:lang w:val="en-US" w:eastAsia="zh-CN"/>
        </w:rPr>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pPr>
    </w:p>
    <w:p>
      <w:pPr>
        <w:keepNext w:val="0"/>
        <w:keepLines w:val="0"/>
        <w:pageBreakBefore w:val="0"/>
        <w:kinsoku/>
        <w:wordWrap/>
        <w:overflowPunct/>
        <w:topLinePunct w:val="0"/>
        <w:autoSpaceDE/>
        <w:autoSpaceDN/>
        <w:bidi w:val="0"/>
        <w:adjustRightInd w:val="0"/>
        <w:snapToGrid w:val="0"/>
        <w:spacing w:beforeAutospacing="0" w:after="126" w:afterLines="40" w:afterAutospacing="0" w:line="380" w:lineRule="exact"/>
        <w:ind w:left="0" w:leftChars="0" w:right="0" w:rightChars="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泉州师范学院2019届贫困毕业生花名册</w:t>
      </w:r>
    </w:p>
    <w:tbl>
      <w:tblPr>
        <w:tblStyle w:val="5"/>
        <w:tblpPr w:leftFromText="180" w:rightFromText="180" w:vertAnchor="text" w:horzAnchor="page" w:tblpX="1308" w:tblpY="597"/>
        <w:tblOverlap w:val="never"/>
        <w:tblW w:w="14020" w:type="dxa"/>
        <w:tblInd w:w="0" w:type="dxa"/>
        <w:shd w:val="clear" w:color="auto" w:fill="auto"/>
        <w:tblLayout w:type="fixed"/>
        <w:tblCellMar>
          <w:top w:w="0" w:type="dxa"/>
          <w:left w:w="0" w:type="dxa"/>
          <w:bottom w:w="0" w:type="dxa"/>
          <w:right w:w="0" w:type="dxa"/>
        </w:tblCellMar>
      </w:tblPr>
      <w:tblGrid>
        <w:gridCol w:w="497"/>
        <w:gridCol w:w="772"/>
        <w:gridCol w:w="1112"/>
        <w:gridCol w:w="654"/>
        <w:gridCol w:w="707"/>
        <w:gridCol w:w="602"/>
        <w:gridCol w:w="864"/>
        <w:gridCol w:w="681"/>
        <w:gridCol w:w="595"/>
        <w:gridCol w:w="786"/>
        <w:gridCol w:w="795"/>
        <w:gridCol w:w="810"/>
        <w:gridCol w:w="615"/>
        <w:gridCol w:w="1410"/>
        <w:gridCol w:w="1140"/>
        <w:gridCol w:w="1980"/>
      </w:tblGrid>
      <w:tr>
        <w:tblPrEx>
          <w:shd w:val="clear" w:color="auto" w:fill="auto"/>
          <w:tblLayout w:type="fixed"/>
          <w:tblCellMar>
            <w:top w:w="0" w:type="dxa"/>
            <w:left w:w="0" w:type="dxa"/>
            <w:bottom w:w="0" w:type="dxa"/>
            <w:right w:w="0" w:type="dxa"/>
          </w:tblCellMar>
        </w:tblPrEx>
        <w:trPr>
          <w:trHeight w:val="270" w:hRule="atLeast"/>
        </w:trPr>
        <w:tc>
          <w:tcPr>
            <w:tcW w:w="49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序号</w:t>
            </w:r>
          </w:p>
        </w:tc>
        <w:tc>
          <w:tcPr>
            <w:tcW w:w="77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学院</w:t>
            </w:r>
          </w:p>
        </w:tc>
        <w:tc>
          <w:tcPr>
            <w:tcW w:w="111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专业</w:t>
            </w:r>
          </w:p>
        </w:tc>
        <w:tc>
          <w:tcPr>
            <w:tcW w:w="65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姓名</w:t>
            </w:r>
          </w:p>
        </w:tc>
        <w:tc>
          <w:tcPr>
            <w:tcW w:w="707"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学号</w:t>
            </w:r>
          </w:p>
        </w:tc>
        <w:tc>
          <w:tcPr>
            <w:tcW w:w="60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年级</w:t>
            </w:r>
          </w:p>
        </w:tc>
        <w:tc>
          <w:tcPr>
            <w:tcW w:w="864"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户籍地</w:t>
            </w:r>
          </w:p>
        </w:tc>
        <w:tc>
          <w:tcPr>
            <w:tcW w:w="681"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困难</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类型</w:t>
            </w:r>
          </w:p>
        </w:tc>
        <w:tc>
          <w:tcPr>
            <w:tcW w:w="59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有否参加就业培训</w:t>
            </w:r>
          </w:p>
        </w:tc>
        <w:tc>
          <w:tcPr>
            <w:tcW w:w="1581"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就业补助金</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发放项目</w:t>
            </w:r>
          </w:p>
        </w:tc>
        <w:tc>
          <w:tcPr>
            <w:tcW w:w="1425" w:type="dxa"/>
            <w:gridSpan w:val="2"/>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就业补助金</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金额（元）</w:t>
            </w:r>
          </w:p>
        </w:tc>
        <w:tc>
          <w:tcPr>
            <w:tcW w:w="141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eastAsia="zh-CN"/>
              </w:rPr>
            </w:pPr>
            <w:r>
              <w:rPr>
                <w:rFonts w:hint="eastAsia" w:ascii="仿宋_GB2312" w:hAnsi="仿宋_GB2312" w:eastAsia="仿宋_GB2312" w:cs="仿宋_GB2312"/>
                <w:i w:val="0"/>
                <w:color w:val="000000"/>
                <w:sz w:val="24"/>
                <w:szCs w:val="24"/>
                <w:u w:val="none"/>
                <w:lang w:eastAsia="zh-CN"/>
              </w:rPr>
              <w:t>帮扶情况</w:t>
            </w:r>
          </w:p>
        </w:tc>
        <w:tc>
          <w:tcPr>
            <w:tcW w:w="114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毕业去向</w:t>
            </w:r>
          </w:p>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类型</w:t>
            </w:r>
          </w:p>
        </w:tc>
        <w:tc>
          <w:tcPr>
            <w:tcW w:w="198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用人单位名称</w:t>
            </w:r>
          </w:p>
        </w:tc>
      </w:tr>
      <w:tr>
        <w:tblPrEx>
          <w:tblLayout w:type="fixed"/>
          <w:tblCellMar>
            <w:top w:w="0" w:type="dxa"/>
            <w:left w:w="0" w:type="dxa"/>
            <w:bottom w:w="0" w:type="dxa"/>
            <w:right w:w="0" w:type="dxa"/>
          </w:tblCellMar>
        </w:tblPrEx>
        <w:trPr>
          <w:trHeight w:val="270" w:hRule="atLeast"/>
        </w:trPr>
        <w:tc>
          <w:tcPr>
            <w:tcW w:w="49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7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11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07"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0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64"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81"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59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786"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校级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校级</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省级</w:t>
            </w:r>
          </w:p>
        </w:tc>
        <w:tc>
          <w:tcPr>
            <w:tcW w:w="141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14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98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7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7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Layout w:type="fixed"/>
          <w:tblCellMar>
            <w:top w:w="0" w:type="dxa"/>
            <w:left w:w="0" w:type="dxa"/>
            <w:bottom w:w="0" w:type="dxa"/>
            <w:right w:w="0" w:type="dxa"/>
          </w:tblCellMar>
        </w:tblPrEx>
        <w:trPr>
          <w:trHeight w:val="270" w:hRule="atLeast"/>
        </w:trPr>
        <w:tc>
          <w:tcPr>
            <w:tcW w:w="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9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备注：1.就业补助金发放项目：用</w:t>
      </w:r>
      <w:r>
        <w:rPr>
          <w:rFonts w:hint="default" w:ascii="Arial" w:hAnsi="Arial" w:eastAsia="仿宋_GB2312" w:cs="Arial"/>
          <w:b w:val="0"/>
          <w:bCs w:val="0"/>
          <w:sz w:val="28"/>
          <w:szCs w:val="28"/>
          <w:lang w:val="en-US" w:eastAsia="zh-CN"/>
        </w:rPr>
        <w:t>√</w:t>
      </w:r>
      <w:r>
        <w:rPr>
          <w:rFonts w:hint="eastAsia" w:ascii="仿宋_GB2312" w:hAnsi="仿宋_GB2312" w:eastAsia="仿宋_GB2312" w:cs="仿宋_GB2312"/>
          <w:b w:val="0"/>
          <w:bCs w:val="0"/>
          <w:sz w:val="28"/>
          <w:szCs w:val="28"/>
          <w:lang w:val="en-US" w:eastAsia="zh-CN"/>
        </w:rPr>
        <w:t>标识；</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2.帮扶情况：政策宣传、就业咨询、就业指导、创业指导、推荐岗位、考研专业课指导等；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3.毕业去向类型：签协议书形式就业、签劳动合同形式就业、其他就业形式就业、升学、应征入伍、国家基层项目、地方基层项目、出国出境、自由职业、自主创业等；</w:t>
      </w: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 xml:space="preserve">      4.表格以Excel格式制作。</w:t>
      </w:r>
      <w:bookmarkStart w:id="1" w:name="_GoBack"/>
      <w:bookmarkEnd w:id="1"/>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Bookman Old Style">
    <w:panose1 w:val="02050604050505020204"/>
    <w:charset w:val="00"/>
    <w:family w:val="roman"/>
    <w:pitch w:val="default"/>
    <w:sig w:usb0="00000287"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22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7378"/>
    <w:multiLevelType w:val="singleLevel"/>
    <w:tmpl w:val="02E5737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5784"/>
    <w:rsid w:val="04457E58"/>
    <w:rsid w:val="06512002"/>
    <w:rsid w:val="0A0D1A7B"/>
    <w:rsid w:val="0B891794"/>
    <w:rsid w:val="0CDA6432"/>
    <w:rsid w:val="0D8E3186"/>
    <w:rsid w:val="12770459"/>
    <w:rsid w:val="14CC79D1"/>
    <w:rsid w:val="161B6883"/>
    <w:rsid w:val="18395784"/>
    <w:rsid w:val="1F7E3072"/>
    <w:rsid w:val="1FF40452"/>
    <w:rsid w:val="22E03337"/>
    <w:rsid w:val="240322EB"/>
    <w:rsid w:val="26AD1943"/>
    <w:rsid w:val="2C9F7931"/>
    <w:rsid w:val="317B39C1"/>
    <w:rsid w:val="34314D08"/>
    <w:rsid w:val="370F3153"/>
    <w:rsid w:val="3CAC63CF"/>
    <w:rsid w:val="3F220306"/>
    <w:rsid w:val="3FCB0496"/>
    <w:rsid w:val="40680F68"/>
    <w:rsid w:val="424108EA"/>
    <w:rsid w:val="433512B6"/>
    <w:rsid w:val="44F40431"/>
    <w:rsid w:val="48EF055D"/>
    <w:rsid w:val="49DF2D70"/>
    <w:rsid w:val="502C76AA"/>
    <w:rsid w:val="50A27791"/>
    <w:rsid w:val="54ED65A2"/>
    <w:rsid w:val="569D108E"/>
    <w:rsid w:val="58596BFA"/>
    <w:rsid w:val="59BD519F"/>
    <w:rsid w:val="59E264E7"/>
    <w:rsid w:val="62267CE7"/>
    <w:rsid w:val="654218D9"/>
    <w:rsid w:val="65563035"/>
    <w:rsid w:val="65AB676D"/>
    <w:rsid w:val="68BB0E46"/>
    <w:rsid w:val="704025FA"/>
    <w:rsid w:val="76A12E12"/>
    <w:rsid w:val="7C8A4ADD"/>
    <w:rsid w:val="7CB07CC4"/>
    <w:rsid w:val="7CC716F5"/>
    <w:rsid w:val="7D714D32"/>
    <w:rsid w:val="7F3B7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qFormat/>
    <w:uiPriority w:val="0"/>
    <w:rPr>
      <w:color w:val="0000FF"/>
      <w:u w:val="single"/>
    </w:rPr>
  </w:style>
  <w:style w:type="paragraph" w:customStyle="1" w:styleId="9">
    <w:name w:val="公文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bCs/>
      <w:kern w:val="44"/>
      <w:sz w:val="32"/>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2019-01-02T02:21:00Z</dcterms:created>
  <dc:creator>泡面猪猪</dc:creator>
  <cp:lastModifiedBy>泡面猪猪</cp:lastModifiedBy>
  <cp:lastPrinted>2019-04-02T04:51:00Z</cp:lastPrinted>
  <dcterms:modified xsi:type="dcterms:W3CDTF">2019-04-03T00:44:01Z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