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before="75" w:after="75" w:line="345" w:lineRule="atLeast"/>
        <w:jc w:val="center"/>
        <w:rPr>
          <w:rFonts w:ascii="微软雅黑" w:hAnsi="微软雅黑" w:eastAsia="微软雅黑" w:cs="微软雅黑"/>
          <w:b/>
          <w:bCs/>
          <w:color w:val="auto"/>
          <w:kern w:val="0"/>
          <w:sz w:val="72"/>
        </w:rPr>
      </w:pPr>
      <w:bookmarkStart w:id="22" w:name="_GoBack"/>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 xml:space="preserve">福建省政府采购项目 </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竞争性谈判文件</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（非电子标版）</w:t>
      </w:r>
    </w:p>
    <w:p>
      <w:pPr>
        <w:widowControl/>
        <w:shd w:val="clear" w:color="auto" w:fill="FFFFFF"/>
        <w:spacing w:before="75" w:after="75" w:line="345" w:lineRule="atLeast"/>
        <w:jc w:val="left"/>
        <w:rPr>
          <w:color w:val="auto"/>
        </w:rPr>
      </w:pPr>
      <w:r>
        <w:rPr>
          <w:rFonts w:hint="eastAsia" w:ascii="微软雅黑" w:hAnsi="微软雅黑" w:eastAsia="微软雅黑" w:cs="微软雅黑"/>
          <w:color w:val="auto"/>
          <w:kern w:val="0"/>
          <w:sz w:val="24"/>
        </w:rPr>
        <w:t xml:space="preserve">                    </w:t>
      </w:r>
    </w:p>
    <w:p>
      <w:pPr>
        <w:widowControl/>
        <w:shd w:val="clear" w:color="auto" w:fill="FFFFFF"/>
        <w:spacing w:before="75" w:after="75" w:line="345" w:lineRule="atLeas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w:t>
      </w:r>
    </w:p>
    <w:p>
      <w:pPr>
        <w:pStyle w:val="48"/>
        <w:rPr>
          <w:color w:val="auto"/>
        </w:rPr>
      </w:pPr>
    </w:p>
    <w:p>
      <w:pPr>
        <w:widowControl/>
        <w:shd w:val="clear" w:color="auto" w:fill="FFFFFF"/>
        <w:spacing w:before="75" w:after="75" w:line="360" w:lineRule="auto"/>
        <w:jc w:val="left"/>
        <w:rPr>
          <w:rFonts w:ascii="微软雅黑" w:hAnsi="微软雅黑" w:eastAsia="微软雅黑" w:cs="微软雅黑"/>
          <w:b/>
          <w:bCs/>
          <w:color w:val="auto"/>
          <w:kern w:val="0"/>
          <w:sz w:val="28"/>
          <w:szCs w:val="28"/>
        </w:rPr>
      </w:pPr>
    </w:p>
    <w:p>
      <w:pPr>
        <w:pStyle w:val="35"/>
        <w:rPr>
          <w:color w:val="auto"/>
        </w:rPr>
      </w:pPr>
    </w:p>
    <w:p>
      <w:pPr>
        <w:widowControl/>
        <w:shd w:val="clear" w:color="auto" w:fill="FFFFFF"/>
        <w:spacing w:before="75" w:after="75" w:line="360" w:lineRule="auto"/>
        <w:ind w:firstLine="840" w:firstLineChars="3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项目名称：</w:t>
      </w:r>
      <w:r>
        <w:rPr>
          <w:rFonts w:hint="eastAsia" w:ascii="微软雅黑" w:hAnsi="微软雅黑" w:eastAsia="微软雅黑" w:cs="微软雅黑"/>
          <w:b/>
          <w:bCs/>
          <w:color w:val="auto"/>
          <w:kern w:val="0"/>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微软雅黑" w:hAnsi="微软雅黑" w:eastAsia="微软雅黑" w:cs="微软雅黑"/>
          <w:b/>
          <w:bCs/>
          <w:color w:val="auto"/>
          <w:kern w:val="0"/>
          <w:sz w:val="28"/>
          <w:szCs w:val="28"/>
        </w:rPr>
        <w:instrText xml:space="preserve">ADDIN CNKISM.UserStyle</w:instrText>
      </w:r>
      <w:r>
        <w:rPr>
          <w:rFonts w:ascii="微软雅黑" w:hAnsi="微软雅黑" w:eastAsia="微软雅黑" w:cs="微软雅黑"/>
          <w:b/>
          <w:bCs/>
          <w:color w:val="auto"/>
          <w:kern w:val="0"/>
          <w:sz w:val="28"/>
          <w:szCs w:val="28"/>
        </w:rPr>
        <w:fldChar w:fldCharType="separate"/>
      </w:r>
      <w:r>
        <w:rPr>
          <w:rFonts w:hint="eastAsia" w:ascii="微软雅黑" w:hAnsi="微软雅黑" w:eastAsia="微软雅黑" w:cs="微软雅黑"/>
          <w:b/>
          <w:bCs/>
          <w:color w:val="auto"/>
          <w:kern w:val="0"/>
          <w:sz w:val="28"/>
          <w:szCs w:val="28"/>
        </w:rPr>
        <w:fldChar w:fldCharType="end"/>
      </w:r>
      <w:r>
        <w:rPr>
          <w:rFonts w:hint="eastAsia" w:ascii="微软雅黑" w:hAnsi="微软雅黑" w:eastAsia="微软雅黑" w:cs="微软雅黑"/>
          <w:b/>
          <w:bCs/>
          <w:color w:val="auto"/>
          <w:kern w:val="0"/>
          <w:sz w:val="28"/>
          <w:szCs w:val="28"/>
          <w:lang w:eastAsia="zh-CN"/>
        </w:rPr>
        <w:t>泉州师范学院体育学院田径教学训练比赛设备采购项目</w:t>
      </w:r>
      <w:r>
        <w:rPr>
          <w:rFonts w:hint="eastAsia" w:ascii="微软雅黑" w:hAnsi="微软雅黑" w:eastAsia="微软雅黑" w:cs="微软雅黑"/>
          <w:b/>
          <w:bCs/>
          <w:color w:val="auto"/>
          <w:kern w:val="0"/>
          <w:sz w:val="28"/>
          <w:szCs w:val="28"/>
        </w:rPr>
        <w:t xml:space="preserve">   </w:t>
      </w:r>
    </w:p>
    <w:p>
      <w:pPr>
        <w:widowControl/>
        <w:shd w:val="clear" w:color="auto" w:fill="FFFFFF"/>
        <w:spacing w:before="75" w:after="75" w:line="720" w:lineRule="auto"/>
        <w:ind w:firstLine="840" w:firstLineChars="300"/>
        <w:rPr>
          <w:rFonts w:hint="eastAsia" w:ascii="微软雅黑" w:hAnsi="微软雅黑" w:eastAsia="微软雅黑" w:cs="微软雅黑"/>
          <w:color w:val="auto"/>
          <w:kern w:val="0"/>
          <w:sz w:val="28"/>
          <w:szCs w:val="28"/>
          <w:lang w:eastAsia="zh-CN"/>
        </w:rPr>
      </w:pPr>
      <w:r>
        <w:rPr>
          <w:rFonts w:hint="eastAsia" w:ascii="微软雅黑" w:hAnsi="微软雅黑" w:eastAsia="微软雅黑" w:cs="微软雅黑"/>
          <w:b/>
          <w:bCs/>
          <w:color w:val="auto"/>
          <w:kern w:val="0"/>
          <w:sz w:val="28"/>
          <w:szCs w:val="28"/>
        </w:rPr>
        <w:t>项目编号：</w:t>
      </w:r>
      <w:r>
        <w:rPr>
          <w:rFonts w:hint="eastAsia" w:ascii="微软雅黑" w:hAnsi="微软雅黑" w:eastAsia="微软雅黑" w:cs="微软雅黑"/>
          <w:b/>
          <w:bCs/>
          <w:color w:val="auto"/>
          <w:kern w:val="0"/>
          <w:sz w:val="28"/>
          <w:szCs w:val="28"/>
          <w:lang w:eastAsia="zh-CN"/>
        </w:rPr>
        <w:t>DHZB2022117</w:t>
      </w:r>
    </w:p>
    <w:p>
      <w:pPr>
        <w:widowControl/>
        <w:shd w:val="clear" w:color="auto" w:fill="FFFFFF"/>
        <w:spacing w:before="75" w:after="75" w:line="720" w:lineRule="auto"/>
        <w:ind w:firstLine="840" w:firstLineChars="3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采 购 人：泉州师范学院</w:t>
      </w:r>
    </w:p>
    <w:p>
      <w:pPr>
        <w:widowControl/>
        <w:shd w:val="clear" w:color="auto" w:fill="FFFFFF"/>
        <w:spacing w:before="75" w:after="75" w:line="360" w:lineRule="auto"/>
        <w:jc w:val="left"/>
        <w:rPr>
          <w:rFonts w:ascii="微软雅黑" w:hAnsi="微软雅黑" w:eastAsia="微软雅黑" w:cs="微软雅黑"/>
          <w:b/>
          <w:bCs/>
          <w:color w:val="auto"/>
          <w:kern w:val="0"/>
          <w:sz w:val="30"/>
        </w:rPr>
      </w:pPr>
    </w:p>
    <w:p>
      <w:pPr>
        <w:pStyle w:val="18"/>
        <w:ind w:left="1470" w:right="1470"/>
        <w:rPr>
          <w:color w:val="auto"/>
        </w:rPr>
      </w:pPr>
    </w:p>
    <w:p>
      <w:pPr>
        <w:pStyle w:val="48"/>
        <w:rPr>
          <w:rFonts w:ascii="微软雅黑" w:hAnsi="微软雅黑" w:eastAsia="微软雅黑" w:cs="微软雅黑"/>
          <w:b/>
          <w:bCs/>
          <w:color w:val="auto"/>
          <w:sz w:val="30"/>
        </w:rPr>
      </w:pPr>
    </w:p>
    <w:p>
      <w:pPr>
        <w:pStyle w:val="48"/>
        <w:rPr>
          <w:rFonts w:ascii="微软雅黑" w:hAnsi="微软雅黑" w:eastAsia="微软雅黑" w:cs="微软雅黑"/>
          <w:b/>
          <w:bCs/>
          <w:color w:val="auto"/>
          <w:sz w:val="30"/>
        </w:rPr>
      </w:pP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泉州市大汇招标代理有限公司</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2022年</w:t>
      </w:r>
      <w:r>
        <w:rPr>
          <w:rFonts w:hint="eastAsia" w:ascii="微软雅黑" w:hAnsi="微软雅黑" w:eastAsia="微软雅黑" w:cs="微软雅黑"/>
          <w:b/>
          <w:bCs/>
          <w:color w:val="auto"/>
          <w:kern w:val="0"/>
          <w:sz w:val="24"/>
          <w:lang w:val="en-US" w:eastAsia="zh-CN"/>
        </w:rPr>
        <w:t>11</w:t>
      </w:r>
      <w:r>
        <w:rPr>
          <w:rFonts w:hint="eastAsia" w:ascii="微软雅黑" w:hAnsi="微软雅黑" w:eastAsia="微软雅黑" w:cs="微软雅黑"/>
          <w:b/>
          <w:bCs/>
          <w:color w:val="auto"/>
          <w:kern w:val="0"/>
          <w:sz w:val="24"/>
        </w:rPr>
        <w:t>月</w:t>
      </w:r>
    </w:p>
    <w:p>
      <w:pPr>
        <w:pStyle w:val="33"/>
        <w:widowControl/>
        <w:spacing w:before="76" w:after="76" w:line="18" w:lineRule="atLeast"/>
        <w:jc w:val="center"/>
        <w:rPr>
          <w:rStyle w:val="39"/>
          <w:rFonts w:ascii="宋体" w:hAnsi="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191" w:right="1191" w:bottom="1191" w:left="1191" w:header="851" w:footer="283" w:gutter="0"/>
          <w:pgBorders>
            <w:top w:val="none" w:sz="0" w:space="0"/>
            <w:left w:val="none" w:sz="0" w:space="0"/>
            <w:bottom w:val="none" w:sz="0" w:space="0"/>
            <w:right w:val="none" w:sz="0" w:space="0"/>
          </w:pgBorders>
          <w:cols w:space="720" w:num="1"/>
          <w:docGrid w:type="lines" w:linePitch="312" w:charSpace="0"/>
        </w:sectPr>
      </w:pPr>
    </w:p>
    <w:p>
      <w:pPr>
        <w:spacing w:line="360" w:lineRule="auto"/>
        <w:outlineLvl w:val="0"/>
        <w:rPr>
          <w:rFonts w:ascii="宋体" w:hAnsi="宋体"/>
          <w:b/>
          <w:bCs/>
          <w:color w:val="auto"/>
          <w:sz w:val="24"/>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79"/>
        <w:rPr>
          <w:rFonts w:ascii="宋体" w:hAnsi="宋体" w:eastAsia="宋体"/>
          <w:color w:val="auto"/>
          <w:sz w:val="32"/>
          <w:szCs w:val="32"/>
        </w:rPr>
      </w:pPr>
      <w:bookmarkStart w:id="0" w:name="_Toc511891577"/>
      <w:r>
        <w:rPr>
          <w:rStyle w:val="39"/>
          <w:rFonts w:hint="eastAsia" w:ascii="宋体" w:hAnsi="宋体" w:eastAsia="宋体" w:cs="宋体"/>
          <w:color w:val="auto"/>
          <w:sz w:val="32"/>
          <w:szCs w:val="32"/>
        </w:rPr>
        <w:t>第一章</w:t>
      </w:r>
      <w:r>
        <w:rPr>
          <w:rStyle w:val="39"/>
          <w:rFonts w:ascii="宋体" w:hAnsi="宋体" w:eastAsia="宋体" w:cs="宋体"/>
          <w:color w:val="auto"/>
          <w:sz w:val="32"/>
          <w:szCs w:val="32"/>
        </w:rPr>
        <w:t>   </w:t>
      </w:r>
      <w:bookmarkEnd w:id="0"/>
      <w:bookmarkStart w:id="1" w:name="_Toc511891578"/>
      <w:r>
        <w:rPr>
          <w:rStyle w:val="39"/>
          <w:rFonts w:hint="eastAsia" w:ascii="宋体" w:hAnsi="宋体" w:eastAsia="宋体" w:cs="宋体"/>
          <w:color w:val="auto"/>
          <w:sz w:val="32"/>
          <w:szCs w:val="32"/>
        </w:rPr>
        <w:t>竞争性谈判采购公告</w:t>
      </w:r>
      <w:bookmarkEnd w:id="1"/>
    </w:p>
    <w:p>
      <w:pPr>
        <w:pStyle w:val="33"/>
        <w:widowControl/>
        <w:spacing w:before="76" w:after="76" w:line="360" w:lineRule="auto"/>
        <w:ind w:firstLine="480" w:firstLineChars="200"/>
        <w:rPr>
          <w:rFonts w:ascii="宋体" w:hAnsi="宋体" w:cs="宋体"/>
          <w:color w:val="auto"/>
          <w:shd w:val="clear" w:color="auto" w:fill="FFFFFF"/>
        </w:rPr>
      </w:pPr>
      <w:r>
        <w:rPr>
          <w:rFonts w:hint="eastAsia" w:ascii="宋体" w:hAnsi="宋体" w:cs="宋体"/>
          <w:color w:val="auto"/>
          <w:shd w:val="clear" w:color="auto" w:fill="FFFFFF"/>
        </w:rPr>
        <w:t>泉州市大汇招标代理有限公司受泉州师范学院委托，已根据政府采购相关法律法规，经相应程序确定采用竞争性谈判方式组织</w:t>
      </w:r>
      <w:r>
        <w:rPr>
          <w:rFonts w:hint="eastAsia" w:ascii="宋体" w:hAnsi="宋体" w:cs="宋体"/>
          <w:color w:val="auto"/>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shd w:val="clear" w:color="auto" w:fill="FFFFFF"/>
        </w:rPr>
        <w:instrText xml:space="preserve">ADDIN CNKISM.UserStyle</w:instrText>
      </w:r>
      <w:r>
        <w:rPr>
          <w:rFonts w:ascii="宋体" w:hAnsi="宋体" w:cs="宋体"/>
          <w:color w:val="auto"/>
          <w:shd w:val="clear" w:color="auto" w:fill="FFFFFF"/>
        </w:rPr>
        <w:fldChar w:fldCharType="separate"/>
      </w:r>
      <w:r>
        <w:rPr>
          <w:rFonts w:hint="eastAsia" w:ascii="宋体" w:hAnsi="宋体" w:cs="宋体"/>
          <w:color w:val="auto"/>
          <w:shd w:val="clear" w:color="auto" w:fill="FFFFFF"/>
        </w:rPr>
        <w:fldChar w:fldCharType="end"/>
      </w:r>
      <w:r>
        <w:rPr>
          <w:rFonts w:hint="eastAsia" w:ascii="宋体" w:hAnsi="宋体" w:cs="宋体"/>
          <w:color w:val="auto"/>
          <w:shd w:val="clear" w:color="auto" w:fill="FFFFFF"/>
          <w:lang w:eastAsia="zh-CN"/>
        </w:rPr>
        <w:t>泉州师范学院体育学院田径教学训练比赛设备采购项目</w:t>
      </w:r>
      <w:r>
        <w:rPr>
          <w:rFonts w:hint="eastAsia" w:ascii="宋体" w:hAnsi="宋体" w:cs="宋体"/>
          <w:color w:val="auto"/>
          <w:shd w:val="clear" w:color="auto" w:fill="FFFFFF"/>
        </w:rPr>
        <w:t xml:space="preserve"> （以下简称：“本项目”）的政府采购活动，现欢迎国内合格的供应商前来参加。</w:t>
      </w:r>
    </w:p>
    <w:p>
      <w:pPr>
        <w:pStyle w:val="33"/>
        <w:widowControl/>
        <w:spacing w:before="76" w:after="76" w:line="360" w:lineRule="auto"/>
        <w:ind w:left="1919" w:leftChars="228" w:hanging="1440" w:hangingChars="600"/>
        <w:rPr>
          <w:rFonts w:ascii="宋体" w:hAnsi="宋体" w:cs="宋体"/>
          <w:color w:val="auto"/>
          <w:shd w:val="clear" w:color="auto" w:fill="FFFFFF"/>
        </w:rPr>
      </w:pPr>
      <w:r>
        <w:rPr>
          <w:rFonts w:hint="eastAsia" w:ascii="宋体" w:hAnsi="宋体" w:cs="宋体"/>
          <w:color w:val="auto"/>
          <w:shd w:val="clear" w:color="auto" w:fill="FFFFFF"/>
        </w:rPr>
        <w:t>1.项目名称：</w:t>
      </w:r>
      <w:r>
        <w:rPr>
          <w:rFonts w:hint="eastAsia" w:ascii="宋体" w:hAnsi="宋体" w:cs="宋体"/>
          <w:color w:val="auto"/>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shd w:val="clear" w:color="auto" w:fill="FFFFFF"/>
        </w:rPr>
        <w:instrText xml:space="preserve">ADDIN CNKISM.UserStyle</w:instrText>
      </w:r>
      <w:r>
        <w:rPr>
          <w:rFonts w:ascii="宋体" w:hAnsi="宋体" w:cs="宋体"/>
          <w:color w:val="auto"/>
          <w:shd w:val="clear" w:color="auto" w:fill="FFFFFF"/>
        </w:rPr>
        <w:fldChar w:fldCharType="separate"/>
      </w:r>
      <w:r>
        <w:rPr>
          <w:rFonts w:hint="eastAsia" w:ascii="宋体" w:hAnsi="宋体" w:cs="宋体"/>
          <w:color w:val="auto"/>
          <w:shd w:val="clear" w:color="auto" w:fill="FFFFFF"/>
        </w:rPr>
        <w:fldChar w:fldCharType="end"/>
      </w:r>
      <w:r>
        <w:rPr>
          <w:rFonts w:hint="eastAsia" w:ascii="宋体" w:hAnsi="宋体" w:cs="宋体"/>
          <w:color w:val="auto"/>
          <w:shd w:val="clear" w:color="auto" w:fill="FFFFFF"/>
          <w:lang w:eastAsia="zh-CN"/>
        </w:rPr>
        <w:t>泉州师范学院体育学院田径教学训练比赛设备采购项目</w:t>
      </w:r>
      <w:r>
        <w:rPr>
          <w:rFonts w:hint="eastAsia" w:ascii="宋体" w:hAnsi="宋体" w:cs="宋体"/>
          <w:color w:val="auto"/>
          <w:shd w:val="clear" w:color="auto" w:fill="FFFFFF"/>
        </w:rPr>
        <w:t xml:space="preserve">   </w:t>
      </w:r>
    </w:p>
    <w:p>
      <w:pPr>
        <w:pStyle w:val="33"/>
        <w:widowControl/>
        <w:spacing w:before="76" w:after="76" w:line="360" w:lineRule="auto"/>
        <w:ind w:firstLine="480" w:firstLineChars="200"/>
        <w:rPr>
          <w:rFonts w:hint="eastAsia" w:ascii="宋体" w:hAnsi="宋体" w:eastAsia="宋体" w:cs="宋体"/>
          <w:color w:val="auto"/>
          <w:shd w:val="clear" w:color="auto" w:fill="FFFFFF"/>
          <w:lang w:eastAsia="zh-CN"/>
        </w:rPr>
      </w:pPr>
      <w:r>
        <w:rPr>
          <w:rFonts w:hint="eastAsia" w:ascii="宋体" w:hAnsi="宋体" w:cs="宋体"/>
          <w:color w:val="auto"/>
          <w:shd w:val="clear" w:color="auto" w:fill="FFFFFF"/>
        </w:rPr>
        <w:t>2</w:t>
      </w:r>
      <w:r>
        <w:rPr>
          <w:rFonts w:ascii="宋体" w:hAnsi="宋体" w:cs="宋体"/>
          <w:color w:val="auto"/>
          <w:shd w:val="clear" w:color="auto" w:fill="FFFFFF"/>
        </w:rPr>
        <w:t>.</w:t>
      </w:r>
      <w:r>
        <w:rPr>
          <w:rFonts w:hint="eastAsia" w:ascii="宋体" w:hAnsi="宋体" w:cs="宋体"/>
          <w:color w:val="auto"/>
          <w:shd w:val="clear" w:color="auto" w:fill="FFFFFF"/>
        </w:rPr>
        <w:t>项目编号：</w:t>
      </w:r>
      <w:r>
        <w:rPr>
          <w:rFonts w:hint="eastAsia" w:ascii="宋体" w:hAnsi="宋体" w:cs="宋体"/>
          <w:color w:val="auto"/>
          <w:shd w:val="clear" w:color="auto" w:fill="FFFFFF"/>
          <w:lang w:eastAsia="zh-CN"/>
        </w:rPr>
        <w:t>DHZB2022117</w:t>
      </w:r>
    </w:p>
    <w:p>
      <w:pPr>
        <w:pStyle w:val="33"/>
        <w:widowControl/>
        <w:spacing w:before="76" w:after="76" w:line="360" w:lineRule="auto"/>
        <w:rPr>
          <w:rFonts w:ascii="宋体" w:hAnsi="宋体"/>
          <w:color w:val="auto"/>
        </w:rPr>
      </w:pPr>
      <w:r>
        <w:rPr>
          <w:rFonts w:ascii="宋体" w:hAnsi="宋体" w:cs="宋体"/>
          <w:color w:val="auto"/>
        </w:rPr>
        <w:t xml:space="preserve">  </w:t>
      </w:r>
      <w:r>
        <w:rPr>
          <w:rFonts w:hint="eastAsia" w:ascii="宋体" w:hAnsi="宋体" w:cs="宋体"/>
          <w:color w:val="auto"/>
        </w:rPr>
        <w:t xml:space="preserve"> 3</w:t>
      </w:r>
      <w:r>
        <w:rPr>
          <w:rFonts w:ascii="宋体" w:hAnsi="宋体" w:cs="宋体"/>
          <w:color w:val="auto"/>
        </w:rPr>
        <w:t>.</w:t>
      </w:r>
      <w:r>
        <w:rPr>
          <w:rFonts w:hint="eastAsia" w:ascii="宋体" w:hAnsi="宋体" w:cs="宋体"/>
          <w:color w:val="auto"/>
        </w:rPr>
        <w:t>采购内容及要求：</w:t>
      </w:r>
    </w:p>
    <w:p>
      <w:pPr>
        <w:pStyle w:val="101"/>
        <w:widowControl/>
        <w:spacing w:beforeAutospacing="0" w:afterAutospacing="0" w:line="360" w:lineRule="auto"/>
        <w:ind w:firstLine="480"/>
        <w:jc w:val="center"/>
        <w:rPr>
          <w:rFonts w:ascii="宋体" w:hAnsi="宋体" w:cs="宋体"/>
          <w:color w:val="auto"/>
        </w:rPr>
      </w:pPr>
      <w:r>
        <w:rPr>
          <w:rFonts w:hint="eastAsia" w:ascii="宋体" w:hAnsi="宋体" w:eastAsia="宋体" w:cs="宋体"/>
          <w:color w:val="auto"/>
        </w:rPr>
        <w:t xml:space="preserve">                                                金额单位：人民币元</w:t>
      </w:r>
    </w:p>
    <w:tbl>
      <w:tblPr>
        <w:tblStyle w:val="36"/>
        <w:tblW w:w="90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17"/>
        <w:gridCol w:w="3960"/>
        <w:gridCol w:w="831"/>
        <w:gridCol w:w="774"/>
        <w:gridCol w:w="1282"/>
        <w:gridCol w:w="12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9" w:hRule="atLeast"/>
          <w:tblHeader/>
          <w:jc w:val="center"/>
        </w:trPr>
        <w:tc>
          <w:tcPr>
            <w:tcW w:w="917"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合同包</w:t>
            </w:r>
          </w:p>
        </w:tc>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采购标的</w:t>
            </w:r>
          </w:p>
        </w:tc>
        <w:tc>
          <w:tcPr>
            <w:tcW w:w="83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允许</w:t>
            </w:r>
          </w:p>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进口</w:t>
            </w:r>
          </w:p>
        </w:tc>
        <w:tc>
          <w:tcPr>
            <w:tcW w:w="77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数量</w:t>
            </w:r>
          </w:p>
        </w:tc>
        <w:tc>
          <w:tcPr>
            <w:tcW w:w="12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合同包预算</w:t>
            </w:r>
          </w:p>
        </w:tc>
        <w:tc>
          <w:tcPr>
            <w:tcW w:w="12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tblHeader/>
          <w:jc w:val="center"/>
        </w:trPr>
        <w:tc>
          <w:tcPr>
            <w:tcW w:w="917"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1</w:t>
            </w:r>
          </w:p>
        </w:tc>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360" w:lineRule="auto"/>
              <w:textAlignment w:val="top"/>
              <w:rPr>
                <w:rFonts w:hint="eastAsia" w:ascii="宋体" w:hAnsi="宋体" w:eastAsia="宋体" w:cs="宋体"/>
                <w:color w:val="auto"/>
                <w:kern w:val="0"/>
                <w:sz w:val="24"/>
                <w:lang w:eastAsia="zh-CN"/>
              </w:rPr>
            </w:pPr>
            <w:r>
              <w:rPr>
                <w:rFonts w:hint="eastAsia" w:ascii="宋体" w:hAnsi="宋体" w:cs="宋体"/>
                <w:color w:val="auto"/>
                <w:kern w:val="0"/>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auto"/>
                <w:kern w:val="0"/>
                <w:sz w:val="24"/>
              </w:rPr>
              <w:instrText xml:space="preserve">ADDIN CNKISM.UserStyle</w:instrText>
            </w:r>
            <w:r>
              <w:rPr>
                <w:rFonts w:ascii="宋体" w:hAnsi="宋体" w:cs="宋体"/>
                <w:color w:val="auto"/>
                <w:kern w:val="0"/>
                <w:sz w:val="24"/>
              </w:rPr>
              <w:fldChar w:fldCharType="separate"/>
            </w:r>
            <w:r>
              <w:rPr>
                <w:rFonts w:hint="eastAsia" w:ascii="宋体" w:hAnsi="宋体" w:cs="宋体"/>
                <w:color w:val="auto"/>
                <w:kern w:val="0"/>
                <w:sz w:val="24"/>
              </w:rPr>
              <w:fldChar w:fldCharType="end"/>
            </w:r>
            <w:r>
              <w:rPr>
                <w:rFonts w:hint="eastAsia" w:ascii="宋体" w:hAnsi="宋体" w:cs="宋体"/>
                <w:color w:val="auto"/>
                <w:kern w:val="0"/>
                <w:sz w:val="24"/>
                <w:lang w:eastAsia="zh-CN"/>
              </w:rPr>
              <w:t>泉州师范学院体育学院田径教学训练比赛设备采购项目</w:t>
            </w:r>
          </w:p>
        </w:tc>
        <w:tc>
          <w:tcPr>
            <w:tcW w:w="83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否</w:t>
            </w:r>
          </w:p>
        </w:tc>
        <w:tc>
          <w:tcPr>
            <w:tcW w:w="77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1批</w:t>
            </w:r>
          </w:p>
        </w:tc>
        <w:tc>
          <w:tcPr>
            <w:tcW w:w="1282"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282250元</w:t>
            </w:r>
          </w:p>
        </w:tc>
        <w:tc>
          <w:tcPr>
            <w:tcW w:w="1281"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0元</w:t>
            </w:r>
          </w:p>
        </w:tc>
      </w:tr>
    </w:tbl>
    <w:p>
      <w:pPr>
        <w:pStyle w:val="33"/>
        <w:widowControl/>
        <w:spacing w:line="360" w:lineRule="auto"/>
        <w:ind w:right="240" w:firstLine="480" w:firstLineChars="200"/>
        <w:rPr>
          <w:rFonts w:ascii="宋体" w:hAnsi="宋体"/>
          <w:color w:val="auto"/>
        </w:rPr>
      </w:pPr>
      <w:r>
        <w:rPr>
          <w:rFonts w:hint="eastAsia" w:ascii="宋体" w:hAnsi="宋体" w:cs="宋体"/>
          <w:color w:val="auto"/>
          <w:shd w:val="clear" w:color="auto" w:fill="FFFFFF"/>
        </w:rPr>
        <w:t>4</w:t>
      </w:r>
      <w:r>
        <w:rPr>
          <w:rFonts w:ascii="宋体" w:hAnsi="宋体" w:cs="宋体"/>
          <w:color w:val="auto"/>
          <w:shd w:val="clear" w:color="auto" w:fill="FFFFFF"/>
        </w:rPr>
        <w:t>.</w:t>
      </w:r>
      <w:r>
        <w:rPr>
          <w:rFonts w:hint="eastAsia" w:ascii="宋体" w:hAnsi="宋体" w:cs="宋体"/>
          <w:color w:val="auto"/>
          <w:shd w:val="clear" w:color="auto" w:fill="FFFFFF"/>
        </w:rPr>
        <w:t>采购项目需要落实的政府采购政策：</w:t>
      </w:r>
      <w:r>
        <w:rPr>
          <w:rFonts w:hint="eastAsia" w:ascii="宋体" w:hAnsi="宋体" w:eastAsia="宋体" w:cs="宋体"/>
          <w:color w:val="auto"/>
        </w:rPr>
        <w:t>小型、微型企业，适用于合同包一</w:t>
      </w:r>
      <w:r>
        <w:rPr>
          <w:rFonts w:hint="eastAsia" w:ascii="宋体" w:hAnsi="宋体" w:cs="宋体"/>
          <w:color w:val="auto"/>
          <w:shd w:val="clear" w:color="auto" w:fill="FFFFFF"/>
          <w:lang w:eastAsia="zh-CN"/>
        </w:rPr>
        <w:t>；</w:t>
      </w:r>
      <w:r>
        <w:rPr>
          <w:rFonts w:hint="eastAsia" w:ascii="宋体" w:hAnsi="宋体" w:cs="宋体"/>
          <w:color w:val="auto"/>
        </w:rPr>
        <w:t>节能产品，适用于合同包一，按照最新一期节能清单执行。环境标志产品，适用于合同包一，按照最新一期环境标志清单执行。信息安全产品，适用于合同包一。监狱企业，适用于合同包一。促进残疾人就业，适用于合同包一。信用记录，适用于合同包一，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widowControl/>
        <w:spacing w:before="60" w:after="60" w:line="360" w:lineRule="auto"/>
        <w:ind w:firstLine="480"/>
        <w:jc w:val="left"/>
        <w:rPr>
          <w:rFonts w:ascii="宋体" w:hAnsi="宋体" w:cs="宋体"/>
          <w:color w:val="auto"/>
          <w:sz w:val="24"/>
          <w:shd w:val="clear" w:color="auto" w:fill="FFFFFF"/>
        </w:rPr>
      </w:pPr>
      <w:r>
        <w:rPr>
          <w:rFonts w:hint="eastAsia" w:ascii="宋体" w:hAnsi="宋体" w:cs="宋体"/>
          <w:color w:val="auto"/>
          <w:sz w:val="24"/>
          <w:shd w:val="clear" w:color="auto" w:fill="FFFFFF"/>
        </w:rPr>
        <w:t>5</w:t>
      </w:r>
      <w:r>
        <w:rPr>
          <w:rFonts w:ascii="宋体" w:hAnsi="宋体" w:cs="宋体"/>
          <w:color w:val="auto"/>
          <w:sz w:val="24"/>
          <w:shd w:val="clear" w:color="auto" w:fill="FFFFFF"/>
        </w:rPr>
        <w:t>.1</w:t>
      </w:r>
      <w:r>
        <w:rPr>
          <w:rFonts w:hint="eastAsia" w:ascii="宋体" w:hAnsi="宋体" w:cs="宋体"/>
          <w:color w:val="auto"/>
          <w:sz w:val="24"/>
          <w:shd w:val="clear" w:color="auto" w:fill="FFFFFF"/>
        </w:rPr>
        <w:t>法定条件：符合《中华人民共和国政府采购法》第二十二条第一款规定的条件。</w:t>
      </w:r>
    </w:p>
    <w:p>
      <w:pPr>
        <w:pStyle w:val="33"/>
        <w:widowControl/>
        <w:spacing w:before="75" w:after="75" w:line="360" w:lineRule="auto"/>
        <w:ind w:firstLine="480" w:firstLineChars="200"/>
        <w:rPr>
          <w:rFonts w:hint="eastAsia" w:ascii="宋体" w:hAnsi="宋体" w:eastAsia="宋体" w:cs="宋体"/>
          <w:color w:val="auto"/>
          <w:lang w:val="en-US" w:eastAsia="zh-CN"/>
        </w:rPr>
      </w:pPr>
      <w:r>
        <w:rPr>
          <w:rFonts w:hint="eastAsia" w:ascii="宋体" w:hAnsi="宋体" w:cs="宋体"/>
          <w:color w:val="auto"/>
          <w:shd w:val="clear" w:color="auto" w:fill="FFFFFF"/>
        </w:rPr>
        <w:t>5.2</w:t>
      </w:r>
      <w:r>
        <w:rPr>
          <w:rFonts w:hint="eastAsia" w:ascii="宋体" w:hAnsi="宋体" w:cs="宋体"/>
          <w:color w:val="auto"/>
          <w:shd w:val="clear" w:color="auto" w:fill="FFFFFF"/>
        </w:rPr>
        <w:t>特定条件：</w:t>
      </w:r>
      <w:r>
        <w:rPr>
          <w:rFonts w:hint="eastAsia" w:ascii="宋体" w:hAnsi="宋体" w:cs="宋体"/>
          <w:b/>
          <w:bCs/>
          <w:color w:val="auto"/>
          <w:shd w:val="clear" w:color="auto" w:fill="FFFFFF"/>
        </w:rPr>
        <w:t xml:space="preserve"> </w:t>
      </w:r>
      <w:r>
        <w:rPr>
          <w:rFonts w:hint="eastAsia" w:ascii="宋体" w:hAnsi="宋体" w:cs="宋体"/>
          <w:b/>
          <w:bCs/>
          <w:color w:val="auto"/>
          <w:shd w:val="clear" w:color="auto" w:fill="FFFFFF"/>
          <w:lang w:eastAsia="zh-CN"/>
        </w:rPr>
        <w:t>无</w:t>
      </w:r>
    </w:p>
    <w:p>
      <w:pPr>
        <w:pStyle w:val="33"/>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hd w:val="clear" w:color="auto" w:fill="FFFFFF"/>
        </w:rPr>
      </w:pPr>
      <w:r>
        <w:rPr>
          <w:rFonts w:hint="eastAsia" w:ascii="宋体" w:hAnsi="宋体" w:cs="宋体"/>
          <w:color w:val="auto"/>
          <w:shd w:val="clear" w:color="auto" w:fill="FFFFFF"/>
        </w:rPr>
        <w:t xml:space="preserve">    5</w:t>
      </w:r>
      <w:r>
        <w:rPr>
          <w:rFonts w:ascii="宋体" w:hAnsi="宋体" w:cs="宋体"/>
          <w:color w:val="auto"/>
          <w:shd w:val="clear" w:color="auto" w:fill="FFFFFF"/>
        </w:rPr>
        <w:t>.3</w:t>
      </w:r>
      <w:r>
        <w:rPr>
          <w:rFonts w:hint="eastAsia" w:ascii="宋体" w:hAnsi="宋体" w:cs="宋体"/>
          <w:color w:val="auto"/>
          <w:shd w:val="clear" w:color="auto" w:fill="FFFFFF"/>
        </w:rPr>
        <w:t>是否接受联合体形式的响应谈判：</w:t>
      </w:r>
      <w:r>
        <w:rPr>
          <w:rFonts w:hint="eastAsia" w:ascii="宋体" w:hAnsi="宋体" w:cs="宋体"/>
          <w:color w:val="auto"/>
          <w:shd w:val="clear" w:color="auto" w:fill="FFFFFF"/>
        </w:rPr>
        <w:t>不接受</w:t>
      </w:r>
    </w:p>
    <w:p>
      <w:pPr>
        <w:pStyle w:val="3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color w:val="auto"/>
        </w:rPr>
      </w:pPr>
      <w:r>
        <w:rPr>
          <w:rStyle w:val="39"/>
          <w:rFonts w:hint="eastAsia" w:ascii="宋体" w:hAnsi="宋体" w:cs="宋体"/>
          <w:color w:val="auto"/>
        </w:rPr>
        <w:t>※</w:t>
      </w:r>
      <w:r>
        <w:rPr>
          <w:rStyle w:val="39"/>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widowControl/>
        <w:spacing w:before="60" w:after="6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w:t>
      </w:r>
      <w:r>
        <w:rPr>
          <w:rFonts w:hint="eastAsia" w:ascii="宋体" w:hAnsi="宋体" w:cs="宋体"/>
          <w:color w:val="auto"/>
          <w:kern w:val="0"/>
          <w:sz w:val="24"/>
        </w:rPr>
        <w:t>供应商获取文件期限：从</w:t>
      </w:r>
      <w:r>
        <w:rPr>
          <w:rFonts w:ascii="宋体" w:hAnsi="宋体" w:cs="宋体"/>
          <w:color w:val="auto"/>
          <w:kern w:val="0"/>
          <w:sz w:val="24"/>
        </w:rPr>
        <w:t>20</w:t>
      </w:r>
      <w:r>
        <w:rPr>
          <w:rFonts w:hint="eastAsia" w:ascii="宋体" w:hAnsi="宋体" w:cs="宋体"/>
          <w:color w:val="auto"/>
          <w:kern w:val="0"/>
          <w:sz w:val="24"/>
        </w:rPr>
        <w:t>22年</w:t>
      </w:r>
      <w:r>
        <w:rPr>
          <w:rFonts w:hint="eastAsia" w:ascii="宋体" w:hAnsi="宋体" w:cs="宋体"/>
          <w:color w:val="auto"/>
          <w:kern w:val="0"/>
          <w:sz w:val="24"/>
          <w:lang w:val="en-US" w:eastAsia="zh-CN"/>
        </w:rPr>
        <w:t>12</w:t>
      </w:r>
      <w:r>
        <w:rPr>
          <w:rFonts w:hint="eastAsia" w:ascii="宋体" w:hAnsi="宋体" w:cs="宋体"/>
          <w:color w:val="auto"/>
          <w:kern w:val="0"/>
          <w:sz w:val="24"/>
        </w:rPr>
        <w:t>月</w:t>
      </w:r>
      <w:r>
        <w:rPr>
          <w:rFonts w:hint="eastAsia" w:ascii="宋体" w:hAnsi="宋体" w:cs="宋体"/>
          <w:color w:val="auto"/>
          <w:kern w:val="0"/>
          <w:sz w:val="24"/>
          <w:lang w:val="en-US" w:eastAsia="zh-CN"/>
        </w:rPr>
        <w:t xml:space="preserve"> 2</w:t>
      </w:r>
      <w:r>
        <w:rPr>
          <w:rFonts w:hint="eastAsia" w:ascii="宋体" w:hAnsi="宋体" w:cs="宋体"/>
          <w:color w:val="auto"/>
          <w:kern w:val="0"/>
          <w:sz w:val="24"/>
        </w:rPr>
        <w:t>日至2022年</w:t>
      </w:r>
      <w:r>
        <w:rPr>
          <w:rFonts w:hint="eastAsia" w:ascii="宋体" w:hAnsi="宋体" w:cs="宋体"/>
          <w:color w:val="auto"/>
          <w:kern w:val="0"/>
          <w:sz w:val="24"/>
          <w:lang w:val="en-US" w:eastAsia="zh-CN"/>
        </w:rPr>
        <w:t>12</w:t>
      </w:r>
      <w:r>
        <w:rPr>
          <w:rFonts w:hint="eastAsia" w:ascii="宋体" w:hAnsi="宋体" w:cs="宋体"/>
          <w:color w:val="auto"/>
          <w:kern w:val="0"/>
          <w:sz w:val="24"/>
        </w:rPr>
        <w:t>月</w:t>
      </w:r>
      <w:r>
        <w:rPr>
          <w:rFonts w:hint="eastAsia" w:ascii="宋体" w:hAnsi="宋体" w:cs="宋体"/>
          <w:color w:val="auto"/>
          <w:kern w:val="0"/>
          <w:sz w:val="24"/>
          <w:lang w:val="en-US" w:eastAsia="zh-CN"/>
        </w:rPr>
        <w:t>7</w:t>
      </w:r>
      <w:r>
        <w:rPr>
          <w:rFonts w:hint="eastAsia" w:ascii="宋体" w:hAnsi="宋体" w:cs="宋体"/>
          <w:color w:val="auto"/>
          <w:kern w:val="0"/>
          <w:sz w:val="24"/>
        </w:rPr>
        <w:t>日17:30点。</w:t>
      </w:r>
    </w:p>
    <w:p>
      <w:pPr>
        <w:widowControl/>
        <w:spacing w:before="60" w:after="60" w:line="360" w:lineRule="auto"/>
        <w:jc w:val="left"/>
        <w:rPr>
          <w:rFonts w:ascii="宋体" w:hAnsi="宋体" w:cs="宋体"/>
          <w:color w:val="auto"/>
          <w:kern w:val="0"/>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.1</w:t>
      </w:r>
      <w:r>
        <w:rPr>
          <w:rFonts w:hint="eastAsia" w:ascii="宋体" w:hAnsi="宋体" w:cs="宋体"/>
          <w:color w:val="auto"/>
          <w:kern w:val="0"/>
          <w:sz w:val="24"/>
          <w:shd w:val="clear" w:color="auto" w:fill="FFFFFF"/>
        </w:rPr>
        <w:t>如果采购过程中有发出更正公告，采购人将根据实际情况确定是否延长</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期限，则</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截止时间以更正公告中的约定为准。</w:t>
      </w:r>
    </w:p>
    <w:p>
      <w:pPr>
        <w:spacing w:line="360" w:lineRule="auto"/>
        <w:rPr>
          <w:rFonts w:ascii="宋体" w:hAnsi="宋体"/>
          <w:color w:val="auto"/>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.2</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期限内，</w:t>
      </w:r>
      <w:r>
        <w:rPr>
          <w:rFonts w:hint="eastAsia" w:ascii="宋体" w:hAnsi="宋体"/>
          <w:color w:val="auto"/>
          <w:sz w:val="24"/>
        </w:rPr>
        <w:t>请各潜在谈判供应商联系泉州市大汇招标代理有限公司进行获取，本次采购文件售价3</w:t>
      </w:r>
      <w:r>
        <w:rPr>
          <w:rFonts w:ascii="宋体" w:hAnsi="宋体"/>
          <w:color w:val="auto"/>
          <w:sz w:val="24"/>
        </w:rPr>
        <w:t>00</w:t>
      </w:r>
      <w:r>
        <w:rPr>
          <w:rFonts w:hint="eastAsia" w:ascii="宋体" w:hAnsi="宋体"/>
          <w:color w:val="auto"/>
          <w:sz w:val="24"/>
        </w:rPr>
        <w:t>元</w:t>
      </w:r>
      <w:r>
        <w:rPr>
          <w:rFonts w:ascii="宋体" w:hAnsi="宋体"/>
          <w:color w:val="auto"/>
          <w:sz w:val="24"/>
        </w:rPr>
        <w:t>/</w:t>
      </w:r>
      <w:r>
        <w:rPr>
          <w:rFonts w:hint="eastAsia" w:ascii="宋体" w:hAnsi="宋体"/>
          <w:color w:val="auto"/>
          <w:sz w:val="24"/>
        </w:rPr>
        <w:t>份。</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7</w:t>
      </w:r>
      <w:r>
        <w:rPr>
          <w:rFonts w:ascii="宋体" w:hAnsi="宋体" w:cs="宋体"/>
          <w:color w:val="auto"/>
          <w:kern w:val="0"/>
          <w:sz w:val="24"/>
        </w:rPr>
        <w:t xml:space="preserve">. </w:t>
      </w:r>
      <w:r>
        <w:rPr>
          <w:rFonts w:hint="eastAsia" w:ascii="宋体" w:hAnsi="宋体" w:cs="宋体"/>
          <w:color w:val="auto"/>
          <w:kern w:val="0"/>
          <w:sz w:val="24"/>
        </w:rPr>
        <w:t>响应</w:t>
      </w:r>
      <w:r>
        <w:rPr>
          <w:rFonts w:hint="eastAsia" w:ascii="宋体" w:hAnsi="宋体" w:cs="宋体"/>
          <w:color w:val="auto"/>
          <w:kern w:val="1"/>
          <w:sz w:val="24"/>
        </w:rPr>
        <w:t>文件递交截止时间：2022年</w:t>
      </w:r>
      <w:r>
        <w:rPr>
          <w:rFonts w:hint="eastAsia" w:ascii="宋体" w:hAnsi="宋体" w:cs="宋体"/>
          <w:color w:val="auto"/>
          <w:kern w:val="1"/>
          <w:sz w:val="24"/>
          <w:lang w:val="en-US" w:eastAsia="zh-CN"/>
        </w:rPr>
        <w:t xml:space="preserve"> 12</w:t>
      </w:r>
      <w:r>
        <w:rPr>
          <w:rFonts w:hint="eastAsia" w:ascii="宋体" w:hAnsi="宋体" w:cs="宋体"/>
          <w:color w:val="auto"/>
          <w:kern w:val="1"/>
          <w:sz w:val="24"/>
        </w:rPr>
        <w:t>月</w:t>
      </w:r>
      <w:r>
        <w:rPr>
          <w:rFonts w:hint="eastAsia" w:ascii="宋体" w:hAnsi="宋体" w:cs="宋体"/>
          <w:color w:val="auto"/>
          <w:kern w:val="1"/>
          <w:sz w:val="24"/>
          <w:lang w:val="en-US" w:eastAsia="zh-CN"/>
        </w:rPr>
        <w:t>8</w:t>
      </w:r>
      <w:r>
        <w:rPr>
          <w:rFonts w:hint="eastAsia" w:ascii="宋体" w:hAnsi="宋体" w:cs="宋体"/>
          <w:color w:val="auto"/>
          <w:kern w:val="1"/>
          <w:sz w:val="24"/>
        </w:rPr>
        <w:t>日下午15:</w:t>
      </w:r>
      <w:r>
        <w:rPr>
          <w:rFonts w:hint="eastAsia" w:ascii="宋体" w:hAnsi="宋体" w:cs="宋体"/>
          <w:color w:val="auto"/>
          <w:kern w:val="1"/>
          <w:sz w:val="24"/>
          <w:lang w:val="en-US" w:eastAsia="zh-CN"/>
        </w:rPr>
        <w:t>0</w:t>
      </w:r>
      <w:r>
        <w:rPr>
          <w:rFonts w:hint="eastAsia" w:ascii="宋体" w:hAnsi="宋体" w:cs="宋体"/>
          <w:color w:val="auto"/>
          <w:kern w:val="1"/>
          <w:sz w:val="24"/>
        </w:rPr>
        <w:t>0时（北京时间）；逾期收到的或不符合规定的谈判文件将被拒绝。</w:t>
      </w:r>
    </w:p>
    <w:p>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8</w:t>
      </w:r>
      <w:r>
        <w:rPr>
          <w:rFonts w:ascii="宋体" w:hAnsi="宋体" w:cs="宋体"/>
          <w:color w:val="auto"/>
          <w:kern w:val="1"/>
          <w:sz w:val="24"/>
        </w:rPr>
        <w:t>.</w:t>
      </w:r>
      <w:r>
        <w:rPr>
          <w:rFonts w:hint="eastAsia" w:ascii="宋体" w:hAnsi="宋体" w:cs="宋体"/>
          <w:color w:val="auto"/>
          <w:kern w:val="0"/>
          <w:sz w:val="24"/>
        </w:rPr>
        <w:t>谈判</w:t>
      </w:r>
      <w:r>
        <w:rPr>
          <w:rFonts w:hint="eastAsia" w:ascii="宋体" w:hAnsi="宋体" w:cs="宋体"/>
          <w:color w:val="auto"/>
          <w:kern w:val="1"/>
          <w:sz w:val="24"/>
        </w:rPr>
        <w:t>时间：2022年</w:t>
      </w:r>
      <w:r>
        <w:rPr>
          <w:rFonts w:hint="eastAsia" w:ascii="宋体" w:hAnsi="宋体" w:cs="宋体"/>
          <w:color w:val="auto"/>
          <w:kern w:val="1"/>
          <w:sz w:val="24"/>
          <w:lang w:val="en-US" w:eastAsia="zh-CN"/>
        </w:rPr>
        <w:t>12</w:t>
      </w:r>
      <w:r>
        <w:rPr>
          <w:rFonts w:hint="eastAsia" w:ascii="宋体" w:hAnsi="宋体" w:cs="宋体"/>
          <w:color w:val="auto"/>
          <w:kern w:val="1"/>
          <w:sz w:val="24"/>
        </w:rPr>
        <w:t>月</w:t>
      </w:r>
      <w:r>
        <w:rPr>
          <w:rFonts w:hint="eastAsia" w:ascii="宋体" w:hAnsi="宋体" w:cs="宋体"/>
          <w:color w:val="auto"/>
          <w:kern w:val="1"/>
          <w:sz w:val="24"/>
          <w:lang w:val="en-US" w:eastAsia="zh-CN"/>
        </w:rPr>
        <w:t xml:space="preserve"> 8</w:t>
      </w:r>
      <w:r>
        <w:rPr>
          <w:rFonts w:hint="eastAsia" w:ascii="宋体" w:hAnsi="宋体" w:cs="宋体"/>
          <w:color w:val="auto"/>
          <w:kern w:val="1"/>
          <w:sz w:val="24"/>
        </w:rPr>
        <w:t>日下午15:</w:t>
      </w:r>
      <w:r>
        <w:rPr>
          <w:rFonts w:hint="eastAsia" w:ascii="宋体" w:hAnsi="宋体" w:cs="宋体"/>
          <w:color w:val="auto"/>
          <w:kern w:val="1"/>
          <w:sz w:val="24"/>
          <w:lang w:val="en-US" w:eastAsia="zh-CN"/>
        </w:rPr>
        <w:t>0</w:t>
      </w:r>
      <w:r>
        <w:rPr>
          <w:rFonts w:hint="eastAsia" w:ascii="宋体" w:hAnsi="宋体" w:cs="宋体"/>
          <w:color w:val="auto"/>
          <w:kern w:val="1"/>
          <w:sz w:val="24"/>
        </w:rPr>
        <w:t>0时（北京时间）</w:t>
      </w:r>
    </w:p>
    <w:p>
      <w:pPr>
        <w:pStyle w:val="101"/>
        <w:widowControl/>
        <w:spacing w:beforeAutospacing="0" w:afterAutospacing="0" w:line="360" w:lineRule="auto"/>
        <w:ind w:firstLine="480"/>
        <w:jc w:val="both"/>
        <w:rPr>
          <w:rFonts w:ascii="宋体" w:hAnsi="宋体" w:eastAsia="宋体" w:cs="宋体"/>
          <w:color w:val="auto"/>
          <w:kern w:val="1"/>
        </w:rPr>
      </w:pPr>
      <w:r>
        <w:rPr>
          <w:rFonts w:hint="eastAsia" w:ascii="宋体" w:hAnsi="宋体" w:eastAsia="宋体" w:cs="宋体"/>
          <w:color w:val="auto"/>
          <w:kern w:val="1"/>
        </w:rPr>
        <w:t>9.谈判地点：泉州市丰泽区温陵北路711号（原省197地质大队）一号楼二楼泉州市大汇招标代理有限公司开标室  </w:t>
      </w:r>
    </w:p>
    <w:p>
      <w:pPr>
        <w:pStyle w:val="33"/>
        <w:widowControl/>
        <w:spacing w:before="60" w:after="60" w:line="360" w:lineRule="auto"/>
        <w:ind w:firstLine="384"/>
        <w:rPr>
          <w:rFonts w:hint="eastAsia" w:ascii="宋体" w:hAnsi="宋体" w:cs="宋体"/>
          <w:color w:val="auto"/>
        </w:rPr>
      </w:pPr>
      <w:r>
        <w:rPr>
          <w:rFonts w:hint="eastAsia" w:ascii="宋体" w:hAnsi="宋体" w:cs="宋体"/>
          <w:color w:val="auto"/>
          <w:kern w:val="1"/>
        </w:rPr>
        <w:t>10.</w:t>
      </w:r>
      <w:r>
        <w:rPr>
          <w:rFonts w:hint="eastAsia" w:ascii="宋体" w:hAnsi="宋体" w:cs="宋体"/>
          <w:color w:val="auto"/>
        </w:rPr>
        <w:t xml:space="preserve"> 采购人：泉州师范学院</w:t>
      </w:r>
    </w:p>
    <w:p>
      <w:pPr>
        <w:pStyle w:val="33"/>
        <w:widowControl/>
        <w:spacing w:before="60" w:after="60" w:line="360" w:lineRule="auto"/>
        <w:ind w:firstLine="720" w:firstLineChars="300"/>
        <w:rPr>
          <w:rFonts w:hint="eastAsia" w:cs="宋体" w:asciiTheme="minorEastAsia" w:hAnsiTheme="minorEastAsia" w:eastAsiaTheme="minorEastAsia"/>
          <w:color w:val="auto"/>
        </w:rPr>
      </w:pPr>
      <w:r>
        <w:rPr>
          <w:rFonts w:hint="eastAsia" w:ascii="宋体" w:hAnsi="宋体" w:cs="宋体"/>
          <w:color w:val="auto"/>
        </w:rPr>
        <w:t>地  址：</w:t>
      </w:r>
      <w:r>
        <w:rPr>
          <w:rFonts w:hint="eastAsia" w:cs="宋体" w:asciiTheme="minorEastAsia" w:hAnsiTheme="minorEastAsia" w:eastAsiaTheme="minorEastAsia"/>
          <w:color w:val="auto"/>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cs="宋体" w:asciiTheme="minorEastAsia" w:hAnsiTheme="minorEastAsia" w:eastAsiaTheme="minorEastAsia"/>
          <w:color w:val="auto"/>
        </w:rPr>
        <w:instrText xml:space="preserve">ADDIN CNKISM.UserStyle</w:instrText>
      </w:r>
      <w:r>
        <w:rPr>
          <w:rFonts w:hint="eastAsia" w:cs="宋体" w:asciiTheme="minorEastAsia" w:hAnsiTheme="minorEastAsia" w:eastAsiaTheme="minorEastAsia"/>
          <w:color w:val="auto"/>
        </w:rPr>
        <w:fldChar w:fldCharType="end"/>
      </w:r>
      <w:r>
        <w:rPr>
          <w:rFonts w:hint="eastAsia" w:cs="宋体" w:asciiTheme="minorEastAsia" w:hAnsiTheme="minorEastAsia" w:eastAsiaTheme="minorEastAsia"/>
          <w:color w:val="auto"/>
        </w:rPr>
        <w:t>泉州市丰泽区东海大街398号</w:t>
      </w:r>
    </w:p>
    <w:p>
      <w:pPr>
        <w:pStyle w:val="33"/>
        <w:widowControl/>
        <w:spacing w:before="60" w:after="60" w:line="360" w:lineRule="auto"/>
        <w:ind w:firstLine="676" w:firstLineChars="282"/>
        <w:rPr>
          <w:rFonts w:hint="eastAsia" w:cs="宋体" w:asciiTheme="minorEastAsia" w:hAnsiTheme="minorEastAsia" w:eastAsiaTheme="minorEastAsia"/>
          <w:color w:val="auto"/>
        </w:rPr>
      </w:pPr>
      <w:r>
        <w:rPr>
          <w:rFonts w:hint="eastAsia" w:ascii="宋体" w:hAnsi="宋体" w:cs="宋体"/>
          <w:color w:val="auto"/>
        </w:rPr>
        <w:t>联 系 人：</w:t>
      </w:r>
      <w:r>
        <w:rPr>
          <w:rFonts w:hint="eastAsia" w:ascii="宋体" w:hAnsi="宋体" w:cs="宋体"/>
          <w:color w:val="auto"/>
          <w:lang w:eastAsia="zh-CN"/>
        </w:rPr>
        <w:t>杨</w:t>
      </w:r>
      <w:r>
        <w:rPr>
          <w:rFonts w:hint="eastAsia" w:ascii="宋体" w:hAnsi="宋体" w:cs="宋体"/>
          <w:color w:val="auto"/>
        </w:rPr>
        <w:t>老师</w:t>
      </w:r>
      <w:r>
        <w:rPr>
          <w:rFonts w:hint="eastAsia" w:ascii="宋体" w:hAnsi="宋体" w:cs="宋体"/>
          <w:color w:val="auto"/>
        </w:rPr>
        <w:tab/>
      </w:r>
      <w:r>
        <w:rPr>
          <w:rFonts w:hint="eastAsia" w:ascii="宋体" w:hAnsi="宋体" w:cs="宋体"/>
          <w:color w:val="auto"/>
        </w:rPr>
        <w:t xml:space="preserve">     联系方法：</w:t>
      </w:r>
      <w:r>
        <w:rPr>
          <w:rFonts w:hint="eastAsia" w:ascii="宋体" w:hAnsi="宋体" w:cs="宋体"/>
          <w:color w:val="auto"/>
          <w:lang w:val="en-US" w:eastAsia="zh-CN"/>
        </w:rPr>
        <w:t>0595-22919532</w:t>
      </w:r>
    </w:p>
    <w:p>
      <w:pPr>
        <w:pStyle w:val="33"/>
        <w:widowControl/>
        <w:spacing w:before="60" w:after="60" w:line="360" w:lineRule="auto"/>
        <w:ind w:firstLine="676" w:firstLineChars="282"/>
        <w:rPr>
          <w:rFonts w:hint="eastAsia" w:ascii="宋体" w:hAnsi="宋体" w:cs="宋体"/>
          <w:color w:val="auto"/>
        </w:rPr>
      </w:pPr>
      <w:r>
        <w:rPr>
          <w:rFonts w:hint="eastAsia" w:ascii="宋体" w:hAnsi="宋体" w:cs="宋体"/>
          <w:color w:val="auto"/>
        </w:rPr>
        <w:t>联 系 人：</w:t>
      </w:r>
      <w:r>
        <w:rPr>
          <w:rFonts w:hint="eastAsia" w:ascii="宋体" w:hAnsi="宋体" w:cs="宋体"/>
          <w:color w:val="auto"/>
          <w:lang w:val="en-US" w:eastAsia="zh-CN"/>
        </w:rPr>
        <w:t>陈</w:t>
      </w:r>
      <w:r>
        <w:rPr>
          <w:rFonts w:hint="eastAsia" w:ascii="宋体" w:hAnsi="宋体" w:cs="宋体"/>
          <w:color w:val="auto"/>
        </w:rPr>
        <w:t>老师</w:t>
      </w:r>
      <w:r>
        <w:rPr>
          <w:rFonts w:hint="eastAsia" w:ascii="宋体" w:hAnsi="宋体" w:cs="宋体"/>
          <w:color w:val="auto"/>
        </w:rPr>
        <w:tab/>
      </w:r>
      <w:r>
        <w:rPr>
          <w:rFonts w:hint="eastAsia" w:ascii="宋体" w:hAnsi="宋体" w:cs="宋体"/>
          <w:color w:val="auto"/>
        </w:rPr>
        <w:t xml:space="preserve">     联系方法：</w:t>
      </w:r>
      <w:r>
        <w:rPr>
          <w:rFonts w:hint="eastAsia" w:ascii="宋体" w:hAnsi="宋体" w:cs="宋体"/>
          <w:color w:val="auto"/>
          <w:lang w:val="en-US" w:eastAsia="zh-CN"/>
        </w:rPr>
        <w:t>18960363606</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代理机构：泉州市大汇招标代理有限公司</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地  址：泉州市丰泽区温陵北路711号（原省197地质大队）一号楼二楼</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联 系 人：小</w:t>
      </w:r>
      <w:r>
        <w:rPr>
          <w:rFonts w:hint="eastAsia" w:ascii="宋体" w:hAnsi="宋体" w:cs="宋体"/>
          <w:color w:val="auto"/>
          <w:lang w:eastAsia="zh-CN"/>
        </w:rPr>
        <w:t>陈</w:t>
      </w:r>
      <w:r>
        <w:rPr>
          <w:rFonts w:hint="eastAsia" w:ascii="宋体" w:hAnsi="宋体" w:cs="宋体"/>
          <w:color w:val="auto"/>
        </w:rPr>
        <w:t xml:space="preserve">      联系方法：0595-22667108</w:t>
      </w:r>
    </w:p>
    <w:p>
      <w:pPr>
        <w:pStyle w:val="79"/>
        <w:spacing w:line="360" w:lineRule="auto"/>
        <w:jc w:val="both"/>
        <w:rPr>
          <w:rStyle w:val="39"/>
          <w:rFonts w:ascii="宋体" w:hAnsi="宋体" w:eastAsia="宋体" w:cs="宋体"/>
          <w:color w:val="auto"/>
          <w:sz w:val="32"/>
          <w:szCs w:val="32"/>
        </w:rPr>
      </w:pPr>
      <w:bookmarkStart w:id="2" w:name="_Toc511891579"/>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jc w:val="both"/>
        <w:rPr>
          <w:rStyle w:val="39"/>
          <w:rFonts w:ascii="宋体" w:hAnsi="宋体" w:eastAsia="宋体" w:cs="宋体"/>
          <w:color w:val="auto"/>
          <w:sz w:val="32"/>
          <w:szCs w:val="32"/>
        </w:rPr>
      </w:pPr>
    </w:p>
    <w:p>
      <w:pPr>
        <w:pStyle w:val="79"/>
        <w:spacing w:line="360" w:lineRule="auto"/>
        <w:rPr>
          <w:rStyle w:val="39"/>
          <w:rFonts w:ascii="宋体" w:hAnsi="宋体" w:eastAsia="宋体" w:cs="宋体"/>
          <w:color w:val="auto"/>
          <w:sz w:val="24"/>
          <w:szCs w:val="24"/>
        </w:rPr>
      </w:pPr>
      <w:r>
        <w:rPr>
          <w:rStyle w:val="39"/>
          <w:rFonts w:hint="eastAsia" w:ascii="宋体" w:hAnsi="宋体" w:eastAsia="宋体" w:cs="宋体"/>
          <w:color w:val="auto"/>
          <w:sz w:val="32"/>
          <w:szCs w:val="32"/>
        </w:rPr>
        <w:t>第二章</w:t>
      </w:r>
      <w:r>
        <w:rPr>
          <w:rStyle w:val="39"/>
          <w:rFonts w:ascii="宋体" w:hAnsi="宋体" w:eastAsia="宋体" w:cs="宋体"/>
          <w:color w:val="auto"/>
          <w:sz w:val="32"/>
          <w:szCs w:val="32"/>
        </w:rPr>
        <w:t>   </w:t>
      </w:r>
      <w:r>
        <w:rPr>
          <w:rStyle w:val="39"/>
          <w:rFonts w:hint="eastAsia" w:ascii="宋体" w:hAnsi="宋体" w:eastAsia="宋体" w:cs="宋体"/>
          <w:color w:val="auto"/>
          <w:sz w:val="32"/>
          <w:szCs w:val="32"/>
        </w:rPr>
        <w:t>竞争性谈判须知</w:t>
      </w:r>
      <w:bookmarkEnd w:id="2"/>
    </w:p>
    <w:p>
      <w:pPr>
        <w:pStyle w:val="72"/>
        <w:rPr>
          <w:rFonts w:ascii="宋体" w:hAnsi="宋体" w:eastAsia="宋体"/>
          <w:color w:val="auto"/>
          <w:sz w:val="28"/>
          <w:szCs w:val="28"/>
        </w:rPr>
      </w:pPr>
      <w:bookmarkStart w:id="3" w:name="_Toc511891580"/>
      <w:r>
        <w:rPr>
          <w:rStyle w:val="39"/>
          <w:rFonts w:hint="eastAsia" w:ascii="宋体" w:hAnsi="宋体" w:eastAsia="宋体" w:cs="宋体"/>
          <w:color w:val="auto"/>
          <w:sz w:val="28"/>
          <w:szCs w:val="28"/>
        </w:rPr>
        <w:t>第</w:t>
      </w:r>
      <w:r>
        <w:rPr>
          <w:rStyle w:val="39"/>
          <w:rFonts w:ascii="宋体" w:hAnsi="宋体" w:eastAsia="宋体" w:cs="宋体"/>
          <w:color w:val="auto"/>
          <w:sz w:val="28"/>
          <w:szCs w:val="28"/>
        </w:rPr>
        <w:t>1</w:t>
      </w:r>
      <w:r>
        <w:rPr>
          <w:rStyle w:val="39"/>
          <w:rFonts w:hint="eastAsia" w:ascii="宋体" w:hAnsi="宋体" w:eastAsia="宋体" w:cs="宋体"/>
          <w:color w:val="auto"/>
          <w:sz w:val="28"/>
          <w:szCs w:val="28"/>
        </w:rPr>
        <w:t>节</w:t>
      </w:r>
      <w:r>
        <w:rPr>
          <w:rStyle w:val="39"/>
          <w:rFonts w:ascii="宋体" w:hAnsi="宋体" w:eastAsia="宋体" w:cs="宋体"/>
          <w:color w:val="auto"/>
          <w:sz w:val="28"/>
          <w:szCs w:val="28"/>
        </w:rPr>
        <w:t xml:space="preserve">  </w:t>
      </w:r>
      <w:r>
        <w:rPr>
          <w:rStyle w:val="39"/>
          <w:rFonts w:hint="eastAsia" w:ascii="宋体" w:hAnsi="宋体" w:eastAsia="宋体" w:cs="宋体"/>
          <w:color w:val="auto"/>
          <w:sz w:val="28"/>
          <w:szCs w:val="28"/>
        </w:rPr>
        <w:t>竞争性谈判须知前附表</w:t>
      </w:r>
      <w:bookmarkEnd w:id="3"/>
    </w:p>
    <w:p>
      <w:pPr>
        <w:pStyle w:val="33"/>
        <w:widowControl/>
        <w:spacing w:before="76" w:after="76" w:line="360" w:lineRule="auto"/>
        <w:ind w:firstLine="480"/>
        <w:rPr>
          <w:color w:val="auto"/>
        </w:rPr>
      </w:pPr>
      <w:r>
        <w:rPr>
          <w:rFonts w:ascii="宋体" w:hAnsi="宋体" w:cs="宋体"/>
          <w:color w:val="auto"/>
        </w:rPr>
        <w:t> </w:t>
      </w:r>
      <w:r>
        <w:rPr>
          <w:rFonts w:hint="eastAsia" w:ascii="宋体" w:hAnsi="宋体" w:cs="宋体"/>
          <w:color w:val="auto"/>
        </w:rPr>
        <w:t>竞争性谈判须知前附表是对竞争性谈判须知的补充和细化，二者如有矛盾，以前附表中的要求和规定为准</w:t>
      </w:r>
    </w:p>
    <w:tbl>
      <w:tblPr>
        <w:tblStyle w:val="36"/>
        <w:tblW w:w="96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0"/>
        <w:gridCol w:w="932"/>
        <w:gridCol w:w="81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9"/>
                <w:rFonts w:hint="eastAsia" w:ascii="宋体" w:hAnsi="宋体" w:cs="宋体"/>
                <w:color w:val="auto"/>
              </w:rPr>
              <w:t>项号</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9"/>
                <w:rFonts w:hint="eastAsia" w:ascii="宋体" w:hAnsi="宋体" w:cs="宋体"/>
                <w:color w:val="auto"/>
              </w:rPr>
              <w:t>条款号</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9"/>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76"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3.2.1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供应商的资格要求</w:t>
            </w:r>
            <w:r>
              <w:rPr>
                <w:rFonts w:hint="eastAsia" w:ascii="宋体" w:hAnsi="宋体" w:cs="宋体"/>
                <w:color w:val="auto"/>
              </w:rPr>
              <w:t>：见谈判文件第一章“采购公告/采购邀请书”</w:t>
            </w:r>
          </w:p>
          <w:p>
            <w:pPr>
              <w:pStyle w:val="33"/>
              <w:widowControl/>
              <w:spacing w:line="360" w:lineRule="auto"/>
              <w:rPr>
                <w:rFonts w:ascii="宋体" w:hAnsi="宋体"/>
                <w:color w:val="auto"/>
              </w:rPr>
            </w:pPr>
            <w:r>
              <w:rPr>
                <w:rFonts w:hint="eastAsia" w:ascii="宋体" w:hAnsi="宋体" w:cs="宋体"/>
                <w:color w:val="auto"/>
              </w:rPr>
              <w:t>资格证明文件资料要求：</w:t>
            </w:r>
          </w:p>
          <w:tbl>
            <w:tblPr>
              <w:tblStyle w:val="36"/>
              <w:tblW w:w="80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882"/>
              <w:gridCol w:w="51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明细</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A1投标函</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详见附件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A2单位负责人授权书</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单位负责人授权书</w:t>
                  </w:r>
                  <w:r>
                    <w:rPr>
                      <w:rFonts w:hint="eastAsia" w:ascii="宋体" w:hAnsi="宋体"/>
                      <w:color w:val="auto"/>
                      <w:kern w:val="0"/>
                      <w:sz w:val="24"/>
                    </w:rPr>
                    <w:t>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A3</w:t>
                  </w:r>
                  <w:r>
                    <w:rPr>
                      <w:rFonts w:ascii="宋体" w:hAnsi="宋体"/>
                      <w:color w:val="auto"/>
                      <w:kern w:val="0"/>
                      <w:sz w:val="24"/>
                    </w:rPr>
                    <w:t>营业执照等证明文件</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olor w:val="auto"/>
                      <w:kern w:val="0"/>
                      <w:sz w:val="24"/>
                    </w:rPr>
                    <w:t>投标人提供工商部门注册的有效的营业执照复印件；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4财务状况报告</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上一年度或上一季度财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5依法缴纳税收的相关材料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6依法缴纳社会保障资金的相关材料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7参加政府采购活动前3年内在经营活动中没有重大违法记录的书面声明</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1、“重大违法记录”指竞争性</w:t>
                  </w:r>
                  <w:r>
                    <w:rPr>
                      <w:rFonts w:hint="eastAsia" w:ascii="宋体" w:hAnsi="宋体"/>
                      <w:color w:val="auto"/>
                      <w:kern w:val="0"/>
                      <w:sz w:val="24"/>
                    </w:rPr>
                    <w:t>谈判</w:t>
                  </w:r>
                  <w:r>
                    <w:rPr>
                      <w:rFonts w:ascii="宋体" w:hAnsi="宋体"/>
                      <w:color w:val="auto"/>
                      <w:kern w:val="0"/>
                      <w:sz w:val="24"/>
                    </w:rPr>
                    <w:t>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w:t>
                  </w:r>
                  <w:r>
                    <w:rPr>
                      <w:rFonts w:hint="eastAsia" w:ascii="宋体" w:hAnsi="宋体"/>
                      <w:color w:val="auto"/>
                      <w:kern w:val="0"/>
                      <w:sz w:val="24"/>
                    </w:rPr>
                    <w:t>谈判</w:t>
                  </w:r>
                  <w:r>
                    <w:rPr>
                      <w:rFonts w:ascii="宋体" w:hAnsi="宋体"/>
                      <w:color w:val="auto"/>
                      <w:kern w:val="0"/>
                      <w:sz w:val="24"/>
                    </w:rPr>
                    <w:t>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65" w:hRule="atLeast"/>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8信用信息查询结果</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投标人应在</w:t>
                  </w:r>
                  <w:r>
                    <w:rPr>
                      <w:rFonts w:hint="eastAsia" w:ascii="宋体" w:hAnsi="宋体"/>
                      <w:color w:val="auto"/>
                      <w:kern w:val="0"/>
                      <w:sz w:val="24"/>
                    </w:rPr>
                    <w:t>投标截止时间</w:t>
                  </w:r>
                  <w:r>
                    <w:rPr>
                      <w:rFonts w:ascii="宋体" w:hAnsi="宋体"/>
                      <w:color w:val="auto"/>
                      <w:kern w:val="0"/>
                      <w:sz w:val="24"/>
                    </w:rPr>
                    <w:t>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9投标保证金</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无</w:t>
                  </w:r>
                </w:p>
              </w:tc>
            </w:tr>
          </w:tbl>
          <w:p>
            <w:pPr>
              <w:pStyle w:val="33"/>
              <w:widowControl/>
              <w:spacing w:line="360" w:lineRule="auto"/>
              <w:rPr>
                <w:rFonts w:ascii="宋体" w:hAnsi="宋体"/>
                <w:color w:val="auto"/>
              </w:rPr>
            </w:pPr>
            <w:r>
              <w:rPr>
                <w:rFonts w:hint="eastAsia" w:ascii="宋体" w:hAnsi="宋体" w:cs="宋体"/>
                <w:color w:val="auto"/>
              </w:rPr>
              <w:t>特定资格条件：</w:t>
            </w:r>
            <w:r>
              <w:rPr>
                <w:rStyle w:val="39"/>
                <w:rFonts w:hint="eastAsia" w:ascii="宋体" w:hAnsi="宋体" w:cs="宋体"/>
                <w:color w:val="auto"/>
                <w:shd w:val="clear" w:color="auto" w:fill="FFFFFF"/>
                <w:lang w:eastAsia="zh-CN"/>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both"/>
              <w:rPr>
                <w:rFonts w:ascii="宋体" w:hAnsi="宋体"/>
                <w:color w:val="auto"/>
              </w:rPr>
            </w:pPr>
            <w:r>
              <w:rPr>
                <w:rStyle w:val="39"/>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9.1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both"/>
              <w:rPr>
                <w:rFonts w:ascii="宋体" w:hAnsi="宋体"/>
                <w:color w:val="auto"/>
              </w:rPr>
            </w:pPr>
            <w:r>
              <w:rPr>
                <w:rStyle w:val="39"/>
                <w:rFonts w:hint="eastAsia" w:ascii="宋体" w:hAnsi="宋体" w:cs="宋体"/>
                <w:color w:val="auto"/>
              </w:rPr>
              <w:t>响应文件有效期：</w:t>
            </w:r>
            <w:r>
              <w:rPr>
                <w:rFonts w:hint="eastAsia" w:ascii="宋体" w:hAnsi="宋体" w:cs="宋体"/>
                <w:color w:val="auto"/>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4</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10.1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谈判保证金：</w:t>
            </w:r>
          </w:p>
          <w:p>
            <w:pPr>
              <w:widowControl/>
              <w:spacing w:line="360" w:lineRule="auto"/>
              <w:ind w:firstLine="480"/>
              <w:jc w:val="left"/>
              <w:rPr>
                <w:rFonts w:ascii="宋体" w:hAnsi="宋体"/>
                <w:color w:val="auto"/>
                <w:kern w:val="0"/>
                <w:sz w:val="24"/>
              </w:rPr>
            </w:pPr>
            <w:r>
              <w:rPr>
                <w:rFonts w:hint="eastAsia" w:ascii="宋体" w:hAnsi="宋体"/>
                <w:color w:val="auto"/>
                <w:kern w:val="0"/>
                <w:sz w:val="24"/>
              </w:rPr>
              <w:t>为落实营商环境，本项目无须提交投标保证金，该谈判文件中涉及到投标保证金表述与此相矛盾的，以此为准。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5</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10.3.1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谈判保证金退还的其它要求：</w:t>
            </w:r>
            <w:r>
              <w:rPr>
                <w:rFonts w:hint="eastAsia" w:ascii="宋体" w:hAnsi="宋体" w:cs="宋体"/>
                <w:color w:val="auto"/>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6</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11.1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Fonts w:hint="eastAsia" w:ascii="宋体" w:hAnsi="宋体" w:cs="宋体"/>
                <w:b/>
                <w:color w:val="auto"/>
              </w:rPr>
              <w:t>纸质</w:t>
            </w:r>
            <w:r>
              <w:rPr>
                <w:rStyle w:val="39"/>
                <w:rFonts w:hint="eastAsia" w:ascii="宋体" w:hAnsi="宋体" w:cs="宋体"/>
                <w:color w:val="auto"/>
              </w:rPr>
              <w:t>响应文件的份数</w:t>
            </w:r>
            <w:r>
              <w:rPr>
                <w:rFonts w:hint="eastAsia" w:ascii="宋体" w:hAnsi="宋体" w:cs="宋体"/>
                <w:color w:val="auto"/>
              </w:rPr>
              <w:t> </w:t>
            </w:r>
            <w:r>
              <w:rPr>
                <w:rFonts w:ascii="宋体" w:hAnsi="宋体" w:cs="宋体"/>
                <w:color w:val="auto"/>
              </w:rPr>
              <w:t> </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 xml:space="preserve">① </w:t>
            </w:r>
            <w:r>
              <w:rPr>
                <w:rFonts w:hint="eastAsia" w:ascii="宋体" w:hAnsi="宋体"/>
                <w:color w:val="auto"/>
                <w:kern w:val="0"/>
                <w:sz w:val="24"/>
                <w:lang w:eastAsia="zh-CN"/>
              </w:rPr>
              <w:t>竞争性谈判响应文件</w:t>
            </w:r>
            <w:r>
              <w:rPr>
                <w:rFonts w:hint="eastAsia" w:ascii="宋体" w:hAnsi="宋体"/>
                <w:color w:val="auto"/>
                <w:kern w:val="0"/>
                <w:sz w:val="24"/>
              </w:rPr>
              <w:t>正本1份、副本2份。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② 可读介质（光盘或U盘）1份。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密封及其标记的具体形式：</w:t>
            </w:r>
          </w:p>
          <w:p>
            <w:pPr>
              <w:widowControl/>
              <w:numPr>
                <w:ilvl w:val="0"/>
                <w:numId w:val="1"/>
              </w:numPr>
              <w:spacing w:line="360" w:lineRule="auto"/>
              <w:ind w:firstLine="384"/>
              <w:jc w:val="left"/>
              <w:rPr>
                <w:rFonts w:ascii="宋体" w:hAnsi="宋体"/>
                <w:color w:val="auto"/>
                <w:kern w:val="0"/>
                <w:sz w:val="24"/>
              </w:rPr>
            </w:pPr>
            <w:r>
              <w:rPr>
                <w:rFonts w:hint="eastAsia" w:ascii="宋体" w:hAnsi="宋体"/>
                <w:color w:val="auto"/>
                <w:kern w:val="0"/>
                <w:sz w:val="24"/>
              </w:rPr>
              <w:t>密封的外包装应至少标记“项目名称、招标编号、所投合同包、投标人的全称、（  ）部分”等内容，否则造成投标文件误投、遗漏或提前拆封的，（  ）招标代理有限公司不承担责任。</w:t>
            </w:r>
          </w:p>
          <w:p>
            <w:pPr>
              <w:widowControl/>
              <w:numPr>
                <w:ilvl w:val="0"/>
                <w:numId w:val="1"/>
              </w:numPr>
              <w:spacing w:line="360" w:lineRule="auto"/>
              <w:ind w:firstLine="384"/>
              <w:jc w:val="left"/>
              <w:rPr>
                <w:rFonts w:ascii="宋体" w:hAnsi="宋体"/>
                <w:color w:val="auto"/>
              </w:rPr>
            </w:pPr>
            <w:r>
              <w:rPr>
                <w:rFonts w:hint="eastAsia" w:ascii="宋体" w:hAnsi="宋体"/>
                <w:color w:val="auto"/>
                <w:kern w:val="0"/>
                <w:sz w:val="24"/>
              </w:rPr>
              <w:t>全部纸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7</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14.4</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谈判过程中可能发生实质性变动的内容：</w:t>
            </w:r>
            <w:r>
              <w:rPr>
                <w:rFonts w:hint="eastAsia" w:ascii="宋体" w:hAnsi="宋体" w:cs="微软雅黑"/>
                <w:color w:val="auto"/>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8</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信息公告指定媒体（以下简称：“指定媒体”）：</w:t>
            </w:r>
          </w:p>
          <w:p>
            <w:pPr>
              <w:pStyle w:val="33"/>
              <w:widowControl/>
              <w:spacing w:line="360" w:lineRule="auto"/>
              <w:rPr>
                <w:rFonts w:ascii="宋体" w:hAnsi="宋体" w:cs="宋体"/>
                <w:color w:val="auto"/>
              </w:rPr>
            </w:pPr>
            <w:r>
              <w:rPr>
                <w:rFonts w:hint="eastAsia" w:ascii="宋体" w:hAnsi="宋体" w:cs="宋体"/>
                <w:color w:val="auto"/>
              </w:rPr>
              <w:t>中国政府采购网，网址</w:t>
            </w:r>
            <w:r>
              <w:rPr>
                <w:color w:val="auto"/>
              </w:rPr>
              <w:fldChar w:fldCharType="begin"/>
            </w:r>
            <w:r>
              <w:rPr>
                <w:color w:val="auto"/>
              </w:rPr>
              <w:instrText xml:space="preserve"> HYPERLINK "http://www.ccgp.gov.cn/" </w:instrText>
            </w:r>
            <w:r>
              <w:rPr>
                <w:color w:val="auto"/>
              </w:rPr>
              <w:fldChar w:fldCharType="separate"/>
            </w:r>
            <w:r>
              <w:rPr>
                <w:rStyle w:val="43"/>
                <w:rFonts w:hint="eastAsia" w:ascii="宋体" w:hAnsi="宋体" w:cs="宋体"/>
                <w:color w:val="auto"/>
              </w:rPr>
              <w:t>http://www.ccgp.gov.cn</w:t>
            </w:r>
            <w:r>
              <w:rPr>
                <w:rStyle w:val="43"/>
                <w:rFonts w:hint="eastAsia" w:ascii="宋体" w:hAnsi="宋体" w:cs="宋体"/>
                <w:color w:val="auto"/>
              </w:rPr>
              <w:fldChar w:fldCharType="end"/>
            </w:r>
            <w:r>
              <w:rPr>
                <w:rFonts w:hint="eastAsia" w:ascii="宋体" w:hAnsi="宋体" w:cs="微软雅黑"/>
                <w:color w:val="auto"/>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9</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23.1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9"/>
                <w:rFonts w:hint="eastAsia" w:ascii="宋体" w:hAnsi="宋体" w:cs="宋体"/>
                <w:color w:val="auto"/>
              </w:rPr>
              <w:t>本项目监督管理部门：</w:t>
            </w:r>
            <w:r>
              <w:rPr>
                <w:rFonts w:hint="eastAsia" w:ascii="宋体" w:hAnsi="宋体" w:cs="宋体"/>
                <w:b/>
                <w:bCs/>
                <w:color w:val="auto"/>
              </w:rPr>
              <w:t>采购监督管理部门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10</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24.1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48"/>
              <w:spacing w:line="360" w:lineRule="auto"/>
              <w:rPr>
                <w:rFonts w:hint="eastAsia" w:ascii="宋体" w:hAnsi="宋体"/>
                <w:bCs/>
                <w:color w:val="auto"/>
                <w:lang w:val="en-US" w:eastAsia="zh-CN"/>
              </w:rPr>
            </w:pPr>
            <w:r>
              <w:rPr>
                <w:rFonts w:hint="eastAsia" w:ascii="宋体" w:hAnsi="宋体"/>
                <w:bCs/>
                <w:color w:val="auto"/>
              </w:rPr>
              <w:t>是否收取履约保证金：是。履约保证金百分比：2%。说明：</w:t>
            </w:r>
            <w:r>
              <w:rPr>
                <w:rFonts w:hint="eastAsia" w:ascii="宋体" w:hAnsi="宋体"/>
                <w:bCs/>
                <w:color w:val="auto"/>
                <w:lang w:val="en-US" w:eastAsia="zh-CN"/>
              </w:rPr>
              <w:t>成交供应商在签订合同前，应向采购人缴纳合同总金额2%的履约保证金，该保证金在成交供应商供应的货物全部验收合格、合同约定事项全部履行完毕且无未了事项后，30日内一次性无息退还。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25</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Style w:val="39"/>
                <w:rFonts w:ascii="宋体" w:hAnsi="宋体" w:cs="宋体"/>
                <w:color w:val="auto"/>
              </w:rPr>
            </w:pPr>
            <w:r>
              <w:rPr>
                <w:rStyle w:val="39"/>
                <w:rFonts w:hint="eastAsia" w:ascii="宋体" w:hAnsi="宋体" w:cs="宋体"/>
                <w:color w:val="auto"/>
              </w:rPr>
              <w:t>招标代理服务费：</w:t>
            </w:r>
          </w:p>
          <w:p>
            <w:pPr>
              <w:pStyle w:val="33"/>
              <w:widowControl/>
              <w:numPr>
                <w:ilvl w:val="0"/>
                <w:numId w:val="2"/>
              </w:numPr>
              <w:spacing w:line="360" w:lineRule="auto"/>
              <w:rPr>
                <w:rStyle w:val="39"/>
                <w:rFonts w:ascii="宋体" w:hAnsi="宋体" w:cs="宋体"/>
                <w:b w:val="0"/>
                <w:color w:val="auto"/>
              </w:rPr>
            </w:pPr>
            <w:r>
              <w:rPr>
                <w:rStyle w:val="39"/>
                <w:rFonts w:hint="eastAsia" w:ascii="宋体" w:hAnsi="宋体" w:cs="宋体"/>
                <w:b w:val="0"/>
                <w:color w:val="auto"/>
              </w:rPr>
              <w:t>本项目的招标代理服务费由成交供应商支付。</w:t>
            </w:r>
          </w:p>
          <w:p>
            <w:pPr>
              <w:pStyle w:val="33"/>
              <w:widowControl/>
              <w:numPr>
                <w:ilvl w:val="0"/>
                <w:numId w:val="2"/>
              </w:numPr>
              <w:spacing w:line="360" w:lineRule="auto"/>
              <w:rPr>
                <w:rFonts w:ascii="宋体" w:hAnsi="宋体" w:cs="宋体"/>
                <w:color w:val="auto"/>
              </w:rPr>
            </w:pPr>
            <w:r>
              <w:rPr>
                <w:rFonts w:hint="eastAsia" w:ascii="宋体" w:hAnsi="宋体" w:cs="宋体"/>
                <w:color w:val="auto"/>
              </w:rPr>
              <w:t>根据《泉州市政府采购代理行业服务收费指导意见（试行）》标准收取。</w:t>
            </w:r>
          </w:p>
          <w:p>
            <w:pPr>
              <w:pStyle w:val="33"/>
              <w:widowControl/>
              <w:numPr>
                <w:ilvl w:val="0"/>
                <w:numId w:val="2"/>
              </w:numPr>
              <w:spacing w:line="360" w:lineRule="auto"/>
              <w:rPr>
                <w:rFonts w:ascii="宋体" w:hAnsi="宋体" w:cs="宋体"/>
                <w:color w:val="auto"/>
              </w:rPr>
            </w:pPr>
            <w:r>
              <w:rPr>
                <w:rFonts w:hint="eastAsia" w:ascii="宋体" w:hAnsi="宋体" w:cs="宋体"/>
                <w:bCs/>
                <w:color w:val="auto"/>
              </w:rPr>
              <w:t>代理服务费的交纳方式：现金或转账；</w:t>
            </w:r>
          </w:p>
          <w:p>
            <w:pPr>
              <w:pStyle w:val="33"/>
              <w:widowControl/>
              <w:numPr>
                <w:ilvl w:val="0"/>
                <w:numId w:val="2"/>
              </w:numPr>
              <w:spacing w:line="360" w:lineRule="auto"/>
              <w:rPr>
                <w:rFonts w:ascii="宋体" w:hAnsi="宋体" w:cs="宋体"/>
                <w:color w:val="auto"/>
              </w:rPr>
            </w:pPr>
            <w:r>
              <w:rPr>
                <w:rFonts w:hint="eastAsia" w:ascii="宋体" w:hAnsi="宋体" w:cs="宋体"/>
                <w:bCs/>
                <w:color w:val="auto"/>
              </w:rPr>
              <w:t xml:space="preserve"> 电汇请转入公司基本账户：</w:t>
            </w:r>
            <w:r>
              <w:rPr>
                <w:rFonts w:ascii="宋体" w:hAnsi="宋体" w:cs="宋体"/>
                <w:bCs/>
                <w:color w:val="auto"/>
              </w:rPr>
              <w:t xml:space="preserve"> </w:t>
            </w:r>
            <w:r>
              <w:rPr>
                <w:rFonts w:hint="eastAsia" w:ascii="宋体" w:hAnsi="宋体" w:cs="宋体"/>
                <w:bCs/>
                <w:color w:val="auto"/>
              </w:rPr>
              <w:t>开户行：建设银行泉州丰泽支行</w:t>
            </w:r>
          </w:p>
          <w:p>
            <w:pPr>
              <w:pStyle w:val="33"/>
              <w:widowControl/>
              <w:spacing w:line="360" w:lineRule="auto"/>
              <w:rPr>
                <w:rFonts w:ascii="宋体" w:hAnsi="宋体" w:cs="宋体"/>
                <w:color w:val="auto"/>
              </w:rPr>
            </w:pPr>
            <w:r>
              <w:rPr>
                <w:rFonts w:hint="eastAsia" w:ascii="宋体" w:hAnsi="宋体" w:cs="宋体"/>
                <w:bCs/>
                <w:color w:val="auto"/>
              </w:rPr>
              <w:t>户</w:t>
            </w:r>
            <w:r>
              <w:rPr>
                <w:rFonts w:ascii="宋体" w:hAnsi="宋体" w:cs="宋体"/>
                <w:bCs/>
                <w:color w:val="auto"/>
              </w:rPr>
              <w:t xml:space="preserve"> </w:t>
            </w:r>
            <w:r>
              <w:rPr>
                <w:rFonts w:hint="eastAsia" w:ascii="宋体" w:hAnsi="宋体" w:cs="宋体"/>
                <w:bCs/>
                <w:color w:val="auto"/>
              </w:rPr>
              <w:t>名：泉州市大汇招标代理有限公司</w:t>
            </w:r>
            <w:r>
              <w:rPr>
                <w:rFonts w:ascii="宋体" w:hAnsi="宋体" w:cs="宋体"/>
                <w:bCs/>
                <w:color w:val="auto"/>
              </w:rPr>
              <w:t xml:space="preserve"> </w:t>
            </w:r>
            <w:r>
              <w:rPr>
                <w:rFonts w:hint="eastAsia" w:ascii="宋体" w:hAnsi="宋体" w:cs="宋体"/>
                <w:bCs/>
                <w:color w:val="auto"/>
              </w:rPr>
              <w:t>账</w:t>
            </w:r>
            <w:r>
              <w:rPr>
                <w:rFonts w:ascii="宋体" w:hAnsi="宋体" w:cs="宋体"/>
                <w:bCs/>
                <w:color w:val="auto"/>
              </w:rPr>
              <w:t xml:space="preserve"> </w:t>
            </w:r>
            <w:r>
              <w:rPr>
                <w:rFonts w:hint="eastAsia" w:ascii="宋体" w:hAnsi="宋体" w:cs="宋体"/>
                <w:bCs/>
                <w:color w:val="auto"/>
              </w:rPr>
              <w:t>号：</w:t>
            </w:r>
            <w:r>
              <w:rPr>
                <w:rFonts w:ascii="宋体" w:hAnsi="宋体" w:cs="宋体"/>
                <w:bCs/>
                <w:color w:val="auto"/>
              </w:rPr>
              <w:t>35001656007052528961</w:t>
            </w:r>
          </w:p>
        </w:tc>
      </w:tr>
    </w:tbl>
    <w:p>
      <w:pPr>
        <w:pStyle w:val="33"/>
        <w:widowControl/>
        <w:spacing w:before="76" w:after="76" w:line="360" w:lineRule="auto"/>
        <w:rPr>
          <w:rStyle w:val="39"/>
          <w:rFonts w:ascii="宋体" w:hAnsi="宋体" w:cs="宋体"/>
          <w:color w:val="auto"/>
        </w:rPr>
      </w:pPr>
    </w:p>
    <w:p>
      <w:pPr>
        <w:pStyle w:val="33"/>
        <w:widowControl/>
        <w:spacing w:before="76" w:after="76" w:line="360" w:lineRule="auto"/>
        <w:rPr>
          <w:rStyle w:val="39"/>
          <w:rFonts w:ascii="宋体" w:hAnsi="宋体" w:cs="宋体"/>
          <w:color w:val="auto"/>
        </w:rPr>
      </w:pPr>
    </w:p>
    <w:p>
      <w:pPr>
        <w:widowControl/>
        <w:spacing w:line="360" w:lineRule="auto"/>
        <w:jc w:val="center"/>
        <w:rPr>
          <w:rFonts w:ascii="宋体" w:hAnsi="宋体"/>
          <w:color w:val="auto"/>
          <w:sz w:val="32"/>
          <w:szCs w:val="32"/>
        </w:rPr>
      </w:pPr>
      <w:r>
        <w:rPr>
          <w:rStyle w:val="39"/>
          <w:rFonts w:ascii="宋体" w:hAnsi="宋体" w:cs="宋体"/>
          <w:color w:val="auto"/>
        </w:rPr>
        <w:br w:type="page"/>
      </w:r>
      <w:bookmarkStart w:id="4" w:name="_Toc511891581"/>
      <w:r>
        <w:rPr>
          <w:rStyle w:val="39"/>
          <w:rFonts w:hint="eastAsia" w:ascii="宋体" w:hAnsi="宋体" w:cs="宋体"/>
          <w:color w:val="auto"/>
          <w:sz w:val="32"/>
          <w:szCs w:val="32"/>
        </w:rPr>
        <w:t>专项附件：评定成交的标准和方法</w:t>
      </w:r>
      <w:bookmarkEnd w:id="4"/>
    </w:p>
    <w:p>
      <w:pPr>
        <w:pStyle w:val="74"/>
        <w:numPr>
          <w:ilvl w:val="0"/>
          <w:numId w:val="3"/>
        </w:numPr>
        <w:spacing w:before="0" w:after="0" w:line="360" w:lineRule="auto"/>
        <w:ind w:firstLine="2530"/>
        <w:jc w:val="both"/>
        <w:rPr>
          <w:rStyle w:val="39"/>
          <w:rFonts w:ascii="宋体" w:hAnsi="宋体" w:eastAsia="宋体" w:cs="宋体"/>
          <w:color w:val="auto"/>
          <w:sz w:val="28"/>
          <w:szCs w:val="28"/>
        </w:rPr>
      </w:pPr>
      <w:bookmarkStart w:id="5" w:name="_Toc511891582"/>
      <w:r>
        <w:rPr>
          <w:rStyle w:val="39"/>
          <w:rFonts w:hint="eastAsia" w:ascii="宋体" w:hAnsi="宋体" w:eastAsia="宋体" w:cs="宋体"/>
          <w:color w:val="auto"/>
          <w:sz w:val="28"/>
          <w:szCs w:val="28"/>
        </w:rPr>
        <w:t xml:space="preserve"> 谈判小组</w:t>
      </w:r>
      <w:bookmarkEnd w:id="5"/>
    </w:p>
    <w:p>
      <w:pPr>
        <w:pStyle w:val="33"/>
        <w:widowControl/>
        <w:spacing w:line="360" w:lineRule="auto"/>
        <w:ind w:firstLine="240"/>
        <w:rPr>
          <w:rFonts w:ascii="宋体" w:hAnsi="宋体"/>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33"/>
        <w:widowControl/>
        <w:spacing w:line="360" w:lineRule="auto"/>
        <w:ind w:firstLine="240"/>
        <w:rPr>
          <w:rFonts w:ascii="宋体" w:hAnsi="宋体"/>
          <w:color w:val="auto"/>
        </w:rPr>
      </w:pPr>
      <w:r>
        <w:rPr>
          <w:rFonts w:ascii="宋体" w:hAnsi="宋体" w:cs="宋体"/>
          <w:color w:val="auto"/>
        </w:rPr>
        <w:t>1.2</w:t>
      </w:r>
      <w:r>
        <w:rPr>
          <w:rFonts w:hint="eastAsia" w:ascii="宋体" w:hAnsi="宋体" w:cs="宋体"/>
          <w:color w:val="auto"/>
        </w:rPr>
        <w:t>谈判小组由</w:t>
      </w:r>
      <w:r>
        <w:rPr>
          <w:rFonts w:ascii="宋体" w:hAnsi="宋体" w:cs="宋体"/>
          <w:color w:val="auto"/>
          <w:u w:val="single"/>
        </w:rPr>
        <w:t>3</w:t>
      </w:r>
      <w:r>
        <w:rPr>
          <w:rFonts w:hint="eastAsia" w:ascii="宋体" w:hAnsi="宋体" w:cs="宋体"/>
          <w:color w:val="auto"/>
        </w:rPr>
        <w:t>人组成。</w:t>
      </w:r>
    </w:p>
    <w:p>
      <w:pPr>
        <w:pStyle w:val="33"/>
        <w:widowControl/>
        <w:spacing w:line="360" w:lineRule="auto"/>
        <w:ind w:firstLine="240"/>
        <w:rPr>
          <w:rFonts w:ascii="宋体" w:hAnsi="宋体"/>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33"/>
        <w:widowControl/>
        <w:spacing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33"/>
        <w:widowControl/>
        <w:spacing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33"/>
        <w:widowControl/>
        <w:spacing w:line="360" w:lineRule="auto"/>
        <w:ind w:firstLine="480"/>
        <w:rPr>
          <w:rFonts w:ascii="宋体" w:hAnsi="宋体"/>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33"/>
        <w:widowControl/>
        <w:spacing w:line="360" w:lineRule="auto"/>
        <w:ind w:firstLine="480"/>
        <w:rPr>
          <w:rFonts w:ascii="宋体" w:hAnsi="宋体"/>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33"/>
        <w:widowControl/>
        <w:spacing w:line="360" w:lineRule="auto"/>
        <w:ind w:firstLine="480"/>
        <w:rPr>
          <w:rFonts w:ascii="宋体" w:hAnsi="宋体"/>
          <w:color w:val="auto"/>
        </w:rPr>
      </w:pPr>
      <w:r>
        <w:rPr>
          <w:rFonts w:ascii="宋体" w:hAnsi="宋体" w:cs="宋体"/>
          <w:color w:val="auto"/>
        </w:rPr>
        <w:t>1.3.5</w:t>
      </w:r>
      <w:r>
        <w:rPr>
          <w:rFonts w:hint="eastAsia" w:ascii="宋体" w:hAnsi="宋体" w:cs="宋体"/>
          <w:color w:val="auto"/>
        </w:rPr>
        <w:t>评审应遵守下列评审纪律：</w:t>
      </w:r>
    </w:p>
    <w:p>
      <w:pPr>
        <w:pStyle w:val="33"/>
        <w:widowControl/>
        <w:spacing w:line="360" w:lineRule="auto"/>
        <w:ind w:firstLine="480"/>
        <w:rPr>
          <w:rFonts w:ascii="宋体" w:hAnsi="宋体"/>
          <w:color w:val="auto"/>
        </w:rPr>
      </w:pPr>
      <w:r>
        <w:rPr>
          <w:rFonts w:hint="eastAsia" w:ascii="宋体" w:hAnsi="宋体" w:cs="宋体"/>
          <w:color w:val="auto"/>
        </w:rPr>
        <w:t>①评审情况不得私自外泄，有关信息由采购人或其委托的代理机构统一对外发布。</w:t>
      </w:r>
    </w:p>
    <w:p>
      <w:pPr>
        <w:pStyle w:val="33"/>
        <w:widowControl/>
        <w:spacing w:line="360" w:lineRule="auto"/>
        <w:ind w:firstLine="480"/>
        <w:rPr>
          <w:rFonts w:ascii="宋体" w:hAnsi="宋体"/>
          <w:color w:val="auto"/>
        </w:rPr>
      </w:pPr>
      <w:r>
        <w:rPr>
          <w:rFonts w:hint="eastAsia" w:ascii="宋体" w:hAnsi="宋体" w:cs="宋体"/>
          <w:color w:val="auto"/>
        </w:rPr>
        <w:t>②对采购人或供应商提供的要求保密的资料，不得摘记翻印和外传。</w:t>
      </w:r>
    </w:p>
    <w:p>
      <w:pPr>
        <w:pStyle w:val="33"/>
        <w:widowControl/>
        <w:spacing w:line="360" w:lineRule="auto"/>
        <w:ind w:firstLine="480"/>
        <w:rPr>
          <w:rFonts w:ascii="宋体" w:hAnsi="宋体"/>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33"/>
        <w:widowControl/>
        <w:spacing w:line="360" w:lineRule="auto"/>
        <w:ind w:firstLine="480"/>
        <w:rPr>
          <w:rFonts w:ascii="宋体" w:hAnsi="宋体"/>
          <w:color w:val="auto"/>
        </w:rPr>
      </w:pPr>
      <w:r>
        <w:rPr>
          <w:rFonts w:hint="eastAsia" w:ascii="宋体" w:hAnsi="宋体" w:cs="宋体"/>
          <w:color w:val="auto"/>
        </w:rPr>
        <w:t>④全体谈判小组成员应按照谈判文件规定进行评审，一切认定事项应查有实据且不得弄虚作假。</w:t>
      </w:r>
    </w:p>
    <w:p>
      <w:pPr>
        <w:pStyle w:val="33"/>
        <w:widowControl/>
        <w:spacing w:line="360" w:lineRule="auto"/>
        <w:ind w:firstLine="480"/>
        <w:rPr>
          <w:rFonts w:ascii="宋体" w:hAnsi="宋体"/>
          <w:color w:val="auto"/>
        </w:rPr>
      </w:pPr>
      <w:r>
        <w:rPr>
          <w:rFonts w:hint="eastAsia" w:ascii="宋体" w:hAnsi="宋体" w:cs="宋体"/>
          <w:color w:val="auto"/>
        </w:rPr>
        <w:t>⑤评审中应充分发扬民主，推荐成交供应商候选人或根据采购人授权确定成交供应商后要服从评审报告。</w:t>
      </w:r>
    </w:p>
    <w:p>
      <w:pPr>
        <w:pStyle w:val="33"/>
        <w:widowControl/>
        <w:spacing w:line="360" w:lineRule="auto"/>
        <w:ind w:firstLine="480"/>
        <w:rPr>
          <w:rStyle w:val="39"/>
          <w:rFonts w:ascii="宋体" w:hAnsi="宋体" w:cs="宋体"/>
          <w:color w:val="auto"/>
        </w:rPr>
      </w:pPr>
      <w:r>
        <w:rPr>
          <w:rStyle w:val="39"/>
          <w:rFonts w:hint="eastAsia" w:ascii="宋体" w:hAnsi="宋体" w:cs="宋体"/>
          <w:color w:val="auto"/>
        </w:rPr>
        <w:t>※对违反评审纪律的评委，将取消其评委资格，对评审工作造成严重损失者将予以通报批评乃至追究法律责任。</w:t>
      </w:r>
    </w:p>
    <w:p>
      <w:pPr>
        <w:pStyle w:val="33"/>
        <w:widowControl/>
        <w:spacing w:line="360" w:lineRule="auto"/>
        <w:ind w:firstLine="480"/>
        <w:rPr>
          <w:rStyle w:val="39"/>
          <w:rFonts w:ascii="宋体" w:hAnsi="宋体" w:cs="宋体"/>
          <w:color w:val="auto"/>
        </w:rPr>
      </w:pPr>
    </w:p>
    <w:p>
      <w:pPr>
        <w:pStyle w:val="74"/>
        <w:spacing w:before="0" w:after="0" w:line="360" w:lineRule="auto"/>
        <w:rPr>
          <w:rFonts w:ascii="宋体" w:hAnsi="宋体"/>
          <w:color w:val="auto"/>
        </w:rPr>
      </w:pPr>
      <w:bookmarkStart w:id="6" w:name="_Toc511891583"/>
      <w:r>
        <w:rPr>
          <w:rStyle w:val="39"/>
          <w:rFonts w:hint="eastAsia" w:ascii="宋体" w:hAnsi="宋体" w:eastAsia="宋体" w:cs="宋体"/>
          <w:color w:val="auto"/>
          <w:sz w:val="32"/>
          <w:szCs w:val="32"/>
        </w:rPr>
        <w:t>二、谈判程序</w:t>
      </w:r>
      <w:bookmarkEnd w:id="6"/>
    </w:p>
    <w:p>
      <w:pPr>
        <w:pStyle w:val="33"/>
        <w:widowControl/>
        <w:spacing w:line="360" w:lineRule="auto"/>
        <w:ind w:firstLine="240"/>
        <w:rPr>
          <w:rFonts w:ascii="宋体" w:hAnsi="宋体"/>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13</w:t>
      </w:r>
      <w:r>
        <w:rPr>
          <w:rFonts w:hint="eastAsia" w:ascii="宋体" w:hAnsi="宋体" w:cs="宋体"/>
          <w:color w:val="auto"/>
        </w:rPr>
        <w:t>条“谈判程序以及评定成交的标准”的相关条款规定执行。</w:t>
      </w:r>
    </w:p>
    <w:p>
      <w:pPr>
        <w:pStyle w:val="33"/>
        <w:widowControl/>
        <w:spacing w:line="360" w:lineRule="auto"/>
        <w:ind w:firstLine="240"/>
        <w:rPr>
          <w:rFonts w:ascii="宋体" w:hAnsi="宋体"/>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ind w:firstLine="240"/>
        <w:rPr>
          <w:rFonts w:ascii="宋体" w:hAnsi="宋体"/>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3"/>
        <w:widowControl/>
        <w:spacing w:line="360" w:lineRule="auto"/>
        <w:ind w:firstLine="240"/>
        <w:rPr>
          <w:rFonts w:ascii="宋体" w:hAnsi="宋体"/>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33"/>
        <w:widowControl/>
        <w:spacing w:line="360" w:lineRule="auto"/>
        <w:jc w:val="center"/>
        <w:rPr>
          <w:rFonts w:ascii="宋体" w:hAnsi="宋体"/>
          <w:color w:val="auto"/>
          <w:sz w:val="32"/>
          <w:szCs w:val="32"/>
        </w:rPr>
      </w:pPr>
      <w:r>
        <w:rPr>
          <w:rStyle w:val="39"/>
          <w:rFonts w:ascii="宋体" w:hAnsi="宋体" w:cs="宋体"/>
          <w:color w:val="auto"/>
          <w:sz w:val="32"/>
          <w:szCs w:val="32"/>
        </w:rPr>
        <w:t> </w:t>
      </w:r>
    </w:p>
    <w:p>
      <w:pPr>
        <w:pStyle w:val="74"/>
        <w:spacing w:before="0" w:after="0" w:line="360" w:lineRule="auto"/>
        <w:rPr>
          <w:rFonts w:ascii="宋体" w:hAnsi="宋体"/>
          <w:color w:val="auto"/>
        </w:rPr>
      </w:pPr>
      <w:bookmarkStart w:id="7" w:name="_Toc511891584"/>
      <w:r>
        <w:rPr>
          <w:rStyle w:val="39"/>
          <w:rFonts w:hint="eastAsia" w:ascii="宋体" w:hAnsi="宋体" w:eastAsia="宋体" w:cs="宋体"/>
          <w:color w:val="auto"/>
          <w:sz w:val="32"/>
          <w:szCs w:val="32"/>
        </w:rPr>
        <w:t>三、最低评审价法和成交候选人推荐</w:t>
      </w:r>
      <w:bookmarkEnd w:id="7"/>
    </w:p>
    <w:p>
      <w:pPr>
        <w:pStyle w:val="33"/>
        <w:widowControl/>
        <w:spacing w:line="360" w:lineRule="auto"/>
        <w:ind w:firstLine="240"/>
        <w:rPr>
          <w:rFonts w:ascii="宋体" w:hAnsi="宋体"/>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33"/>
        <w:widowControl/>
        <w:spacing w:line="360" w:lineRule="auto"/>
        <w:ind w:firstLine="465"/>
        <w:rPr>
          <w:rFonts w:ascii="宋体" w:hAnsi="宋体"/>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33"/>
        <w:widowControl/>
        <w:spacing w:line="360" w:lineRule="auto"/>
        <w:ind w:firstLine="480"/>
        <w:rPr>
          <w:rFonts w:ascii="宋体" w:hAnsi="宋体"/>
          <w:color w:val="auto"/>
        </w:rPr>
      </w:pPr>
      <w:r>
        <w:rPr>
          <w:rFonts w:hint="eastAsia" w:ascii="宋体" w:hAnsi="宋体" w:cs="宋体"/>
          <w:color w:val="auto"/>
        </w:rPr>
        <w:t>包</w:t>
      </w:r>
      <w:r>
        <w:rPr>
          <w:rFonts w:ascii="宋体" w:hAnsi="宋体" w:cs="宋体"/>
          <w:color w:val="auto"/>
        </w:rPr>
        <w:t xml:space="preserve">1: </w:t>
      </w:r>
    </w:p>
    <w:p>
      <w:pPr>
        <w:pStyle w:val="33"/>
        <w:widowControl/>
        <w:numPr>
          <w:ilvl w:val="0"/>
          <w:numId w:val="4"/>
        </w:numPr>
        <w:spacing w:line="360" w:lineRule="auto"/>
        <w:ind w:firstLine="480"/>
        <w:rPr>
          <w:rFonts w:hint="eastAsia" w:ascii="宋体" w:hAnsi="宋体" w:cs="宋体"/>
          <w:color w:val="auto"/>
          <w:lang w:eastAsia="zh-CN"/>
        </w:rPr>
      </w:pPr>
      <w:r>
        <w:rPr>
          <w:rFonts w:hint="eastAsia" w:ascii="宋体" w:hAnsi="宋体" w:cs="宋体"/>
          <w:color w:val="auto"/>
        </w:rPr>
        <w:t>小型、微型企业产品：</w:t>
      </w:r>
      <w:r>
        <w:rPr>
          <w:rFonts w:hint="eastAsia" w:ascii="宋体" w:hAnsi="宋体" w:cs="宋体"/>
          <w:color w:val="auto"/>
        </w:rPr>
        <w:t>1、对小、微企业报价给予15%的扣除。2、联合协议或分包意向协议约定小微企业的合同份额占到合同总金额 30%以上的，对联合体或者大中型企业的报价给予 5%的扣除。（本项目不适用）3、监狱企业视同上述中小企业享受政府采购扶持政策。4、残疾人福利性单位提供本单位制造的货物、承担的工程或服务，或提供其他残疾人福利性单位制造的货物（不包括使用非残疾人福利性单位注册商标的货物），对报价给予 10%的扣除。</w:t>
      </w:r>
      <w:r>
        <w:rPr>
          <w:rFonts w:ascii="宋体" w:hAnsi="宋体" w:cs="宋体"/>
          <w:color w:val="auto"/>
        </w:rPr>
        <w:t xml:space="preserve"> </w:t>
      </w:r>
    </w:p>
    <w:p>
      <w:pPr>
        <w:pStyle w:val="33"/>
        <w:widowControl/>
        <w:numPr>
          <w:ilvl w:val="0"/>
          <w:numId w:val="0"/>
        </w:numPr>
        <w:spacing w:line="360" w:lineRule="auto"/>
        <w:ind w:firstLine="480" w:firstLineChars="200"/>
        <w:rPr>
          <w:rFonts w:ascii="宋体" w:hAnsi="宋体" w:cs="微软雅黑"/>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无</w:t>
      </w:r>
      <w:r>
        <w:rPr>
          <w:rFonts w:ascii="宋体" w:hAnsi="宋体" w:cs="宋体"/>
          <w:color w:val="auto"/>
        </w:rPr>
        <w:t xml:space="preserve"> </w:t>
      </w:r>
      <w:r>
        <w:rPr>
          <w:rFonts w:hint="eastAsia" w:ascii="宋体" w:hAnsi="宋体" w:cs="宋体"/>
          <w:color w:val="auto"/>
        </w:rPr>
        <w:t>。</w:t>
      </w:r>
      <w:r>
        <w:rPr>
          <w:rFonts w:ascii="宋体" w:hAnsi="宋体" w:cs="微软雅黑"/>
          <w:color w:val="auto"/>
        </w:rPr>
        <w:t xml:space="preserve"> </w:t>
      </w:r>
    </w:p>
    <w:p>
      <w:pPr>
        <w:pStyle w:val="33"/>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2谈判小组将从质量和服务均能满足采购文件实质性响应要求的供应商中，按照最后报价评审价由低到高的顺序提出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ascii="宋体" w:hAnsi="宋体" w:cs="微软雅黑"/>
          <w:color w:val="auto"/>
        </w:rPr>
        <w:t>无。</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33"/>
        <w:widowControl/>
        <w:spacing w:line="360" w:lineRule="auto"/>
        <w:ind w:firstLine="480"/>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33"/>
        <w:widowControl/>
        <w:spacing w:line="360" w:lineRule="auto"/>
        <w:ind w:firstLine="480"/>
        <w:rPr>
          <w:rFonts w:ascii="宋体" w:hAnsi="宋体" w:cs="宋体"/>
          <w:color w:val="auto"/>
        </w:rPr>
      </w:pPr>
    </w:p>
    <w:p>
      <w:pPr>
        <w:pStyle w:val="74"/>
        <w:spacing w:before="0" w:after="0" w:line="360" w:lineRule="auto"/>
        <w:rPr>
          <w:rFonts w:ascii="宋体" w:hAnsi="宋体"/>
          <w:color w:val="auto"/>
        </w:rPr>
      </w:pPr>
      <w:bookmarkStart w:id="8" w:name="_Toc511891585"/>
      <w:r>
        <w:rPr>
          <w:rStyle w:val="39"/>
          <w:rFonts w:hint="eastAsia" w:ascii="宋体" w:hAnsi="宋体" w:eastAsia="宋体" w:cs="宋体"/>
          <w:color w:val="auto"/>
          <w:sz w:val="32"/>
          <w:szCs w:val="32"/>
        </w:rPr>
        <w:t>四、评审报告</w:t>
      </w:r>
      <w:bookmarkEnd w:id="8"/>
    </w:p>
    <w:p>
      <w:pPr>
        <w:pStyle w:val="33"/>
        <w:widowControl/>
        <w:spacing w:line="360" w:lineRule="auto"/>
        <w:ind w:firstLine="240"/>
        <w:rPr>
          <w:rFonts w:ascii="宋体" w:hAnsi="宋体"/>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33"/>
        <w:widowControl/>
        <w:spacing w:line="360" w:lineRule="auto"/>
        <w:ind w:firstLine="240"/>
        <w:rPr>
          <w:rFonts w:ascii="宋体" w:hAnsi="宋体"/>
          <w:color w:val="auto"/>
        </w:rPr>
      </w:pPr>
      <w:r>
        <w:rPr>
          <w:rFonts w:ascii="宋体" w:hAnsi="宋体" w:cs="宋体"/>
          <w:color w:val="auto"/>
        </w:rPr>
        <w:t>4.2</w:t>
      </w:r>
      <w:r>
        <w:rPr>
          <w:rFonts w:hint="eastAsia" w:ascii="宋体" w:hAnsi="宋体" w:cs="宋体"/>
          <w:color w:val="auto"/>
        </w:rPr>
        <w:t>评审报告应当包括以下主要内容：</w:t>
      </w:r>
    </w:p>
    <w:p>
      <w:pPr>
        <w:pStyle w:val="33"/>
        <w:widowControl/>
        <w:spacing w:line="360" w:lineRule="auto"/>
        <w:ind w:firstLine="480"/>
        <w:rPr>
          <w:rFonts w:ascii="宋体" w:hAnsi="宋体"/>
          <w:color w:val="auto"/>
        </w:rPr>
      </w:pPr>
      <w:r>
        <w:rPr>
          <w:rFonts w:hint="eastAsia" w:ascii="宋体" w:hAnsi="宋体" w:cs="宋体"/>
          <w:color w:val="auto"/>
        </w:rPr>
        <w:t>（一）邀请供应商参加采购活动的具体方式和相关情况，以及参加采购活动的供应商名单；</w:t>
      </w:r>
    </w:p>
    <w:p>
      <w:pPr>
        <w:pStyle w:val="33"/>
        <w:widowControl/>
        <w:spacing w:line="360" w:lineRule="auto"/>
        <w:ind w:firstLine="480"/>
        <w:rPr>
          <w:rFonts w:ascii="宋体" w:hAnsi="宋体"/>
          <w:color w:val="auto"/>
        </w:rPr>
      </w:pPr>
      <w:r>
        <w:rPr>
          <w:rFonts w:hint="eastAsia" w:ascii="宋体" w:hAnsi="宋体" w:cs="宋体"/>
          <w:color w:val="auto"/>
        </w:rPr>
        <w:t>（二）评审日期和地点，谈判小组成员名单；</w:t>
      </w:r>
    </w:p>
    <w:p>
      <w:pPr>
        <w:pStyle w:val="33"/>
        <w:widowControl/>
        <w:spacing w:line="360" w:lineRule="auto"/>
        <w:ind w:firstLine="480"/>
        <w:rPr>
          <w:rFonts w:ascii="宋体" w:hAnsi="宋体"/>
          <w:color w:val="auto"/>
        </w:rPr>
      </w:pPr>
      <w:r>
        <w:rPr>
          <w:rFonts w:hint="eastAsia" w:ascii="宋体" w:hAnsi="宋体" w:cs="宋体"/>
          <w:color w:val="auto"/>
        </w:rPr>
        <w:t>（三）评审情况记录和说明，包括对供应商的资格审查情况、供应商响应文件评审情况、谈判情况、报价情况等；</w:t>
      </w:r>
    </w:p>
    <w:p>
      <w:pPr>
        <w:pStyle w:val="33"/>
        <w:widowControl/>
        <w:spacing w:line="360" w:lineRule="auto"/>
        <w:ind w:firstLine="480"/>
        <w:rPr>
          <w:rFonts w:ascii="宋体" w:hAnsi="宋体"/>
          <w:color w:val="auto"/>
        </w:rPr>
      </w:pPr>
      <w:r>
        <w:rPr>
          <w:rFonts w:hint="eastAsia" w:ascii="宋体" w:hAnsi="宋体" w:cs="宋体"/>
          <w:color w:val="auto"/>
        </w:rPr>
        <w:t>（四）提出的成交候选人的名单及理由。</w:t>
      </w:r>
    </w:p>
    <w:p>
      <w:pPr>
        <w:pStyle w:val="33"/>
        <w:widowControl/>
        <w:spacing w:line="360" w:lineRule="auto"/>
        <w:ind w:firstLine="360" w:firstLineChars="150"/>
        <w:rPr>
          <w:rFonts w:ascii="宋体" w:hAnsi="宋体" w:cs="宋体"/>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3"/>
        <w:widowControl/>
        <w:spacing w:line="360" w:lineRule="auto"/>
        <w:ind w:firstLine="360" w:firstLineChars="150"/>
        <w:rPr>
          <w:rFonts w:ascii="宋体" w:hAnsi="宋体" w:cs="宋体"/>
          <w:color w:val="auto"/>
        </w:rPr>
      </w:pPr>
    </w:p>
    <w:p>
      <w:pPr>
        <w:pStyle w:val="74"/>
        <w:spacing w:before="0" w:after="0" w:line="360" w:lineRule="auto"/>
        <w:rPr>
          <w:rFonts w:ascii="宋体" w:hAnsi="宋体"/>
          <w:color w:val="auto"/>
        </w:rPr>
      </w:pPr>
      <w:bookmarkStart w:id="9" w:name="_Toc511891586"/>
      <w:r>
        <w:rPr>
          <w:rStyle w:val="39"/>
          <w:rFonts w:hint="eastAsia" w:ascii="宋体" w:hAnsi="宋体" w:eastAsia="宋体" w:cs="宋体"/>
          <w:color w:val="auto"/>
          <w:sz w:val="32"/>
          <w:szCs w:val="32"/>
        </w:rPr>
        <w:t>五、其他规定</w:t>
      </w:r>
      <w:bookmarkEnd w:id="9"/>
    </w:p>
    <w:p>
      <w:pPr>
        <w:pStyle w:val="33"/>
        <w:widowControl/>
        <w:spacing w:line="360" w:lineRule="auto"/>
        <w:rPr>
          <w:rFonts w:ascii="宋体" w:hAnsi="宋体"/>
          <w:color w:val="auto"/>
        </w:rPr>
      </w:pPr>
      <w:r>
        <w:rPr>
          <w:rFonts w:ascii="宋体" w:hAnsi="宋体" w:cs="宋体"/>
          <w:color w:val="auto"/>
        </w:rPr>
        <w:t> 5.1</w:t>
      </w:r>
      <w:r>
        <w:rPr>
          <w:rFonts w:hint="eastAsia" w:ascii="宋体" w:hAnsi="宋体" w:cs="宋体"/>
          <w:color w:val="auto"/>
        </w:rPr>
        <w:t>其他规定</w:t>
      </w:r>
    </w:p>
    <w:p>
      <w:pPr>
        <w:pStyle w:val="33"/>
        <w:widowControl/>
        <w:spacing w:line="360" w:lineRule="auto"/>
        <w:ind w:firstLine="480"/>
        <w:rPr>
          <w:rFonts w:ascii="宋体" w:hAnsi="宋体"/>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33"/>
        <w:widowControl/>
        <w:spacing w:line="360" w:lineRule="auto"/>
        <w:ind w:firstLine="480"/>
        <w:rPr>
          <w:rFonts w:ascii="宋体" w:hAnsi="宋体"/>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33"/>
        <w:widowControl/>
        <w:spacing w:line="360" w:lineRule="auto"/>
        <w:ind w:firstLine="480"/>
        <w:rPr>
          <w:rFonts w:ascii="宋体" w:hAnsi="宋体"/>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33"/>
        <w:widowControl/>
        <w:spacing w:line="360" w:lineRule="auto"/>
        <w:ind w:firstLine="480"/>
        <w:rPr>
          <w:rFonts w:ascii="宋体" w:hAnsi="宋体"/>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根据采购项目的特点和需要，需要加以详细说明的其他谈判程序规定、要求等内容：无。</w:t>
      </w:r>
    </w:p>
    <w:p>
      <w:pPr>
        <w:widowControl/>
        <w:spacing w:line="360" w:lineRule="auto"/>
        <w:jc w:val="center"/>
        <w:rPr>
          <w:rFonts w:ascii="宋体" w:hAnsi="宋体"/>
          <w:color w:val="auto"/>
          <w:sz w:val="32"/>
          <w:szCs w:val="32"/>
        </w:rPr>
      </w:pPr>
      <w:r>
        <w:rPr>
          <w:rFonts w:ascii="宋体" w:hAnsi="宋体" w:cs="宋体"/>
          <w:color w:val="auto"/>
        </w:rPr>
        <w:br w:type="page"/>
      </w:r>
      <w:bookmarkStart w:id="10" w:name="_Toc511891587"/>
      <w:r>
        <w:rPr>
          <w:rStyle w:val="39"/>
          <w:rFonts w:hint="eastAsia" w:ascii="宋体" w:hAnsi="宋体" w:cs="宋体"/>
          <w:color w:val="auto"/>
          <w:sz w:val="32"/>
          <w:szCs w:val="32"/>
        </w:rPr>
        <w:t>第</w:t>
      </w:r>
      <w:r>
        <w:rPr>
          <w:rStyle w:val="39"/>
          <w:rFonts w:ascii="宋体" w:hAnsi="宋体" w:cs="宋体"/>
          <w:color w:val="auto"/>
          <w:sz w:val="32"/>
          <w:szCs w:val="32"/>
        </w:rPr>
        <w:t>2</w:t>
      </w:r>
      <w:r>
        <w:rPr>
          <w:rStyle w:val="39"/>
          <w:rFonts w:hint="eastAsia" w:ascii="宋体" w:hAnsi="宋体" w:cs="宋体"/>
          <w:color w:val="auto"/>
          <w:sz w:val="32"/>
          <w:szCs w:val="32"/>
        </w:rPr>
        <w:t>节</w:t>
      </w:r>
      <w:r>
        <w:rPr>
          <w:rStyle w:val="39"/>
          <w:rFonts w:ascii="宋体" w:hAnsi="宋体" w:cs="宋体"/>
          <w:color w:val="auto"/>
          <w:sz w:val="32"/>
          <w:szCs w:val="32"/>
        </w:rPr>
        <w:t xml:space="preserve">  </w:t>
      </w:r>
      <w:r>
        <w:rPr>
          <w:rStyle w:val="39"/>
          <w:rFonts w:hint="eastAsia" w:ascii="宋体" w:hAnsi="宋体" w:cs="宋体"/>
          <w:color w:val="auto"/>
          <w:sz w:val="32"/>
          <w:szCs w:val="32"/>
        </w:rPr>
        <w:t>竞争性谈判须知</w:t>
      </w:r>
      <w:bookmarkEnd w:id="10"/>
    </w:p>
    <w:p>
      <w:pPr>
        <w:pStyle w:val="74"/>
        <w:spacing w:before="0" w:after="0" w:line="360" w:lineRule="auto"/>
        <w:rPr>
          <w:rStyle w:val="39"/>
          <w:rFonts w:ascii="宋体" w:hAnsi="宋体" w:eastAsia="宋体" w:cs="宋体"/>
          <w:color w:val="auto"/>
          <w:sz w:val="28"/>
          <w:szCs w:val="28"/>
        </w:rPr>
      </w:pPr>
      <w:bookmarkStart w:id="11" w:name="_Toc511891588"/>
      <w:r>
        <w:rPr>
          <w:rStyle w:val="39"/>
          <w:rFonts w:hint="eastAsia" w:ascii="宋体" w:hAnsi="宋体" w:eastAsia="宋体" w:cs="宋体"/>
          <w:color w:val="auto"/>
          <w:sz w:val="28"/>
          <w:szCs w:val="28"/>
        </w:rPr>
        <w:t>一、总则</w:t>
      </w:r>
      <w:bookmarkEnd w:id="11"/>
    </w:p>
    <w:p>
      <w:pPr>
        <w:pStyle w:val="33"/>
        <w:widowControl/>
        <w:spacing w:line="360" w:lineRule="auto"/>
        <w:rPr>
          <w:rFonts w:ascii="宋体" w:hAnsi="宋体"/>
          <w:color w:val="auto"/>
        </w:rPr>
      </w:pPr>
      <w:r>
        <w:rPr>
          <w:rStyle w:val="39"/>
          <w:rFonts w:ascii="宋体" w:hAnsi="宋体" w:cs="宋体"/>
          <w:color w:val="auto"/>
        </w:rPr>
        <w:t>1.</w:t>
      </w:r>
      <w:r>
        <w:rPr>
          <w:rStyle w:val="39"/>
          <w:rFonts w:hint="eastAsia" w:ascii="宋体" w:hAnsi="宋体" w:cs="宋体"/>
          <w:color w:val="auto"/>
        </w:rPr>
        <w:t>适用范围：</w:t>
      </w:r>
    </w:p>
    <w:p>
      <w:pPr>
        <w:pStyle w:val="33"/>
        <w:widowControl/>
        <w:spacing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33"/>
        <w:widowControl/>
        <w:spacing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定义及要求：</w:t>
      </w:r>
    </w:p>
    <w:p>
      <w:pPr>
        <w:pStyle w:val="33"/>
        <w:widowControl/>
        <w:spacing w:line="360" w:lineRule="auto"/>
        <w:ind w:firstLine="480"/>
        <w:rPr>
          <w:rFonts w:ascii="宋体" w:hAnsi="宋体"/>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33"/>
        <w:widowControl/>
        <w:spacing w:line="360" w:lineRule="auto"/>
        <w:ind w:firstLine="480"/>
        <w:rPr>
          <w:rFonts w:ascii="宋体" w:hAnsi="宋体"/>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33"/>
        <w:widowControl/>
        <w:spacing w:line="360" w:lineRule="auto"/>
        <w:ind w:firstLine="480"/>
        <w:rPr>
          <w:rFonts w:ascii="宋体" w:hAnsi="宋体"/>
          <w:color w:val="auto"/>
        </w:rPr>
      </w:pPr>
      <w:r>
        <w:rPr>
          <w:rFonts w:ascii="宋体" w:hAnsi="宋体" w:cs="宋体"/>
          <w:color w:val="auto"/>
        </w:rPr>
        <w:t>2.3</w:t>
      </w:r>
      <w:r>
        <w:rPr>
          <w:rFonts w:hint="eastAsia" w:ascii="宋体" w:hAnsi="宋体" w:cs="宋体"/>
          <w:color w:val="auto"/>
        </w:rPr>
        <w:t>“潜在供应商”按照谈判文件第一章规定进行获取文件，且有意向参加本项目响应谈判的供应商。</w:t>
      </w:r>
    </w:p>
    <w:p>
      <w:pPr>
        <w:pStyle w:val="33"/>
        <w:widowControl/>
        <w:spacing w:line="360" w:lineRule="auto"/>
        <w:ind w:firstLine="480"/>
        <w:rPr>
          <w:rFonts w:ascii="宋体" w:hAnsi="宋体"/>
          <w:color w:val="auto"/>
        </w:rPr>
      </w:pPr>
      <w:r>
        <w:rPr>
          <w:rFonts w:ascii="宋体" w:hAnsi="宋体" w:cs="宋体"/>
          <w:color w:val="auto"/>
        </w:rPr>
        <w:t>2.4</w:t>
      </w:r>
      <w:r>
        <w:rPr>
          <w:rFonts w:hint="eastAsia" w:ascii="宋体" w:hAnsi="宋体" w:cs="宋体"/>
          <w:color w:val="auto"/>
        </w:rPr>
        <w:t>“供应商”指按照谈判文件第一章规定进行获取文件，且已经提交响应文件的法人或其他组织或自然人。只有适合自然人参与和承接的政府采购项目，供应商才可以是自然人。</w:t>
      </w:r>
    </w:p>
    <w:p>
      <w:pPr>
        <w:pStyle w:val="33"/>
        <w:widowControl/>
        <w:spacing w:line="360" w:lineRule="auto"/>
        <w:ind w:firstLine="480"/>
        <w:rPr>
          <w:rFonts w:ascii="宋体" w:hAnsi="宋体"/>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33"/>
        <w:widowControl/>
        <w:spacing w:line="360" w:lineRule="auto"/>
        <w:ind w:firstLine="480"/>
        <w:rPr>
          <w:rFonts w:ascii="宋体" w:hAnsi="宋体"/>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33"/>
        <w:widowControl/>
        <w:spacing w:line="360" w:lineRule="auto"/>
        <w:rPr>
          <w:rFonts w:ascii="宋体" w:hAnsi="宋体"/>
          <w:color w:val="auto"/>
        </w:rPr>
      </w:pPr>
      <w:r>
        <w:rPr>
          <w:rStyle w:val="39"/>
          <w:rFonts w:ascii="宋体" w:hAnsi="宋体" w:cs="宋体"/>
          <w:color w:val="auto"/>
        </w:rPr>
        <w:t>3.</w:t>
      </w:r>
      <w:r>
        <w:rPr>
          <w:rStyle w:val="39"/>
          <w:rFonts w:hint="eastAsia" w:ascii="宋体" w:hAnsi="宋体" w:cs="宋体"/>
          <w:color w:val="auto"/>
        </w:rPr>
        <w:t>合格的供应商：</w:t>
      </w:r>
    </w:p>
    <w:p>
      <w:pPr>
        <w:pStyle w:val="33"/>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一般规定</w:t>
      </w:r>
    </w:p>
    <w:p>
      <w:pPr>
        <w:pStyle w:val="33"/>
        <w:widowControl/>
        <w:spacing w:line="360" w:lineRule="auto"/>
        <w:ind w:firstLine="480"/>
        <w:rPr>
          <w:rFonts w:ascii="宋体" w:hAnsi="宋体"/>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33"/>
        <w:widowControl/>
        <w:spacing w:line="360" w:lineRule="auto"/>
        <w:ind w:firstLine="480"/>
        <w:rPr>
          <w:rFonts w:ascii="宋体" w:hAnsi="宋体"/>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39"/>
          <w:rFonts w:hint="eastAsia" w:ascii="宋体" w:hAnsi="宋体" w:cs="宋体"/>
          <w:color w:val="auto"/>
        </w:rPr>
        <w:t>。</w:t>
      </w:r>
    </w:p>
    <w:p>
      <w:pPr>
        <w:pStyle w:val="33"/>
        <w:widowControl/>
        <w:spacing w:line="360" w:lineRule="auto"/>
        <w:ind w:firstLine="480"/>
        <w:rPr>
          <w:rFonts w:ascii="宋体" w:hAnsi="宋体"/>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39"/>
          <w:rFonts w:hint="eastAsia" w:ascii="宋体" w:hAnsi="宋体" w:cs="宋体"/>
          <w:color w:val="auto"/>
        </w:rPr>
        <w:t>。</w:t>
      </w:r>
    </w:p>
    <w:p>
      <w:pPr>
        <w:pStyle w:val="33"/>
        <w:widowControl/>
        <w:spacing w:line="360" w:lineRule="auto"/>
        <w:ind w:firstLine="480"/>
        <w:rPr>
          <w:rFonts w:ascii="宋体" w:hAnsi="宋体"/>
          <w:color w:val="auto"/>
        </w:rPr>
      </w:pPr>
      <w:r>
        <w:rPr>
          <w:rStyle w:val="39"/>
          <w:rFonts w:hint="eastAsia" w:ascii="宋体" w:hAnsi="宋体" w:cs="宋体"/>
          <w:color w:val="auto"/>
        </w:rPr>
        <w:t>供应商有责任检查自身情况，在响应文件中对是否违反以上一般规定做出如实声明，否则其响应文件将被否决。</w:t>
      </w:r>
    </w:p>
    <w:p>
      <w:pPr>
        <w:pStyle w:val="33"/>
        <w:widowControl/>
        <w:spacing w:line="360" w:lineRule="auto"/>
        <w:ind w:firstLine="480"/>
        <w:rPr>
          <w:rFonts w:ascii="宋体" w:hAnsi="宋体"/>
          <w:color w:val="auto"/>
        </w:rPr>
      </w:pPr>
      <w:r>
        <w:rPr>
          <w:rFonts w:ascii="宋体" w:hAnsi="宋体" w:cs="宋体"/>
          <w:color w:val="auto"/>
        </w:rPr>
        <w:t>3.2</w:t>
      </w:r>
      <w:r>
        <w:rPr>
          <w:rFonts w:hint="eastAsia" w:ascii="宋体" w:hAnsi="宋体" w:cs="宋体"/>
          <w:color w:val="auto"/>
        </w:rPr>
        <w:t>特别规定</w:t>
      </w:r>
    </w:p>
    <w:p>
      <w:pPr>
        <w:pStyle w:val="33"/>
        <w:widowControl/>
        <w:spacing w:line="360" w:lineRule="auto"/>
        <w:ind w:firstLine="480"/>
        <w:rPr>
          <w:rFonts w:ascii="宋体" w:hAnsi="宋体"/>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33"/>
        <w:widowControl/>
        <w:spacing w:line="360" w:lineRule="auto"/>
        <w:ind w:firstLine="480"/>
        <w:rPr>
          <w:rFonts w:ascii="宋体" w:hAnsi="宋体"/>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33"/>
        <w:widowControl/>
        <w:spacing w:line="360" w:lineRule="auto"/>
        <w:ind w:firstLine="480"/>
        <w:rPr>
          <w:rFonts w:ascii="宋体" w:hAnsi="宋体"/>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3"/>
        <w:widowControl/>
        <w:spacing w:line="360" w:lineRule="auto"/>
        <w:rPr>
          <w:rFonts w:ascii="宋体" w:hAnsi="宋体"/>
          <w:color w:val="auto"/>
        </w:rPr>
      </w:pPr>
      <w:r>
        <w:rPr>
          <w:rStyle w:val="39"/>
          <w:rFonts w:ascii="宋体" w:hAnsi="宋体" w:cs="宋体"/>
          <w:color w:val="auto"/>
        </w:rPr>
        <w:t>4.</w:t>
      </w:r>
      <w:r>
        <w:rPr>
          <w:rStyle w:val="39"/>
          <w:rFonts w:hint="eastAsia" w:ascii="宋体" w:hAnsi="宋体" w:cs="宋体"/>
          <w:color w:val="auto"/>
        </w:rPr>
        <w:t>参与竞争性谈判费用：</w:t>
      </w:r>
    </w:p>
    <w:p>
      <w:pPr>
        <w:pStyle w:val="33"/>
        <w:widowControl/>
        <w:spacing w:line="360" w:lineRule="auto"/>
        <w:ind w:firstLine="480"/>
        <w:rPr>
          <w:rFonts w:ascii="宋体" w:hAnsi="宋体" w:cs="宋体"/>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r>
        <w:rPr>
          <w:rFonts w:ascii="宋体" w:hAnsi="宋体" w:cs="宋体"/>
          <w:color w:val="auto"/>
        </w:rPr>
        <w:t> </w:t>
      </w:r>
      <w:bookmarkStart w:id="12" w:name="_Toc511891589"/>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二、竞争性谈判文件</w:t>
      </w:r>
      <w:bookmarkEnd w:id="12"/>
      <w:r>
        <w:rPr>
          <w:rStyle w:val="39"/>
          <w:rFonts w:ascii="宋体" w:hAnsi="宋体" w:eastAsia="宋体" w:cs="宋体"/>
          <w:color w:val="auto"/>
          <w:sz w:val="32"/>
          <w:szCs w:val="32"/>
        </w:rPr>
        <w:t> </w:t>
      </w:r>
    </w:p>
    <w:p>
      <w:pPr>
        <w:pStyle w:val="33"/>
        <w:widowControl/>
        <w:spacing w:line="360" w:lineRule="auto"/>
        <w:rPr>
          <w:rFonts w:ascii="宋体" w:hAnsi="宋体"/>
          <w:color w:val="auto"/>
        </w:rPr>
      </w:pPr>
      <w:r>
        <w:rPr>
          <w:rStyle w:val="39"/>
          <w:rFonts w:ascii="宋体" w:hAnsi="宋体" w:cs="宋体"/>
          <w:color w:val="auto"/>
        </w:rPr>
        <w:t>5.</w:t>
      </w:r>
      <w:r>
        <w:rPr>
          <w:rStyle w:val="39"/>
          <w:rFonts w:hint="eastAsia" w:ascii="宋体" w:hAnsi="宋体" w:cs="宋体"/>
          <w:color w:val="auto"/>
        </w:rPr>
        <w:t>竞争性谈判文件的组成：</w:t>
      </w:r>
    </w:p>
    <w:p>
      <w:pPr>
        <w:pStyle w:val="33"/>
        <w:widowControl/>
        <w:spacing w:line="360" w:lineRule="auto"/>
        <w:ind w:firstLine="480"/>
        <w:rPr>
          <w:rFonts w:ascii="宋体" w:hAnsi="宋体"/>
          <w:color w:val="auto"/>
        </w:rPr>
      </w:pPr>
      <w:r>
        <w:rPr>
          <w:rFonts w:ascii="宋体" w:hAnsi="宋体" w:cs="宋体"/>
          <w:color w:val="auto"/>
        </w:rPr>
        <w:t>5.1</w:t>
      </w:r>
      <w:r>
        <w:rPr>
          <w:rFonts w:hint="eastAsia" w:ascii="宋体" w:hAnsi="宋体" w:cs="宋体"/>
          <w:color w:val="auto"/>
        </w:rPr>
        <w:t>竞争性谈判文件由下述部分组成：</w:t>
      </w:r>
    </w:p>
    <w:p>
      <w:pPr>
        <w:pStyle w:val="33"/>
        <w:widowControl/>
        <w:spacing w:line="360" w:lineRule="auto"/>
        <w:ind w:firstLine="480"/>
        <w:rPr>
          <w:rFonts w:ascii="宋体" w:hAnsi="宋体"/>
          <w:color w:val="auto"/>
        </w:rPr>
      </w:pPr>
      <w:r>
        <w:rPr>
          <w:rFonts w:hint="eastAsia" w:ascii="宋体" w:hAnsi="宋体" w:cs="宋体"/>
          <w:color w:val="auto"/>
        </w:rPr>
        <w:t>第一章</w:t>
      </w:r>
      <w:r>
        <w:rPr>
          <w:rFonts w:ascii="宋体" w:hAnsi="宋体" w:cs="宋体"/>
          <w:color w:val="auto"/>
        </w:rPr>
        <w:t> </w:t>
      </w:r>
      <w:r>
        <w:rPr>
          <w:rFonts w:hint="eastAsia" w:ascii="宋体" w:hAnsi="宋体" w:cs="宋体"/>
          <w:color w:val="auto"/>
        </w:rPr>
        <w:t>采购公告（或采购邀请书）</w:t>
      </w:r>
    </w:p>
    <w:p>
      <w:pPr>
        <w:pStyle w:val="33"/>
        <w:widowControl/>
        <w:spacing w:line="360" w:lineRule="auto"/>
        <w:ind w:firstLine="480"/>
        <w:rPr>
          <w:rFonts w:ascii="宋体" w:hAnsi="宋体"/>
          <w:color w:val="auto"/>
        </w:rPr>
      </w:pPr>
      <w:r>
        <w:rPr>
          <w:rFonts w:hint="eastAsia" w:ascii="宋体" w:hAnsi="宋体" w:cs="宋体"/>
          <w:color w:val="auto"/>
        </w:rPr>
        <w:t>第二章</w:t>
      </w:r>
      <w:r>
        <w:rPr>
          <w:rFonts w:ascii="宋体" w:hAnsi="宋体" w:cs="宋体"/>
          <w:color w:val="auto"/>
        </w:rPr>
        <w:t> </w:t>
      </w:r>
      <w:r>
        <w:rPr>
          <w:rFonts w:hint="eastAsia" w:ascii="宋体" w:hAnsi="宋体" w:cs="宋体"/>
          <w:color w:val="auto"/>
        </w:rPr>
        <w:t>竞争性谈判须知</w:t>
      </w:r>
    </w:p>
    <w:p>
      <w:pPr>
        <w:pStyle w:val="33"/>
        <w:widowControl/>
        <w:spacing w:line="360" w:lineRule="auto"/>
        <w:ind w:firstLine="480"/>
        <w:rPr>
          <w:rFonts w:ascii="宋体" w:hAnsi="宋体"/>
          <w:color w:val="auto"/>
        </w:rPr>
      </w:pPr>
      <w:r>
        <w:rPr>
          <w:rFonts w:hint="eastAsia" w:ascii="宋体" w:hAnsi="宋体" w:cs="宋体"/>
          <w:color w:val="auto"/>
        </w:rPr>
        <w:t>第三章</w:t>
      </w:r>
      <w:r>
        <w:rPr>
          <w:rFonts w:ascii="宋体" w:hAnsi="宋体" w:cs="宋体"/>
          <w:color w:val="auto"/>
        </w:rPr>
        <w:t> </w:t>
      </w:r>
      <w:r>
        <w:rPr>
          <w:rFonts w:hint="eastAsia" w:ascii="宋体" w:hAnsi="宋体" w:cs="宋体"/>
          <w:color w:val="auto"/>
        </w:rPr>
        <w:t>采购内容及要求</w:t>
      </w:r>
    </w:p>
    <w:p>
      <w:pPr>
        <w:pStyle w:val="33"/>
        <w:widowControl/>
        <w:spacing w:line="360" w:lineRule="auto"/>
        <w:ind w:firstLine="480"/>
        <w:rPr>
          <w:rFonts w:ascii="宋体" w:hAnsi="宋体"/>
          <w:color w:val="auto"/>
        </w:rPr>
      </w:pPr>
      <w:r>
        <w:rPr>
          <w:rFonts w:hint="eastAsia" w:ascii="宋体" w:hAnsi="宋体" w:cs="宋体"/>
          <w:color w:val="auto"/>
        </w:rPr>
        <w:t>第四章</w:t>
      </w:r>
      <w:r>
        <w:rPr>
          <w:rFonts w:ascii="宋体" w:hAnsi="宋体" w:cs="宋体"/>
          <w:color w:val="auto"/>
        </w:rPr>
        <w:t> </w:t>
      </w:r>
      <w:r>
        <w:rPr>
          <w:rFonts w:hint="eastAsia" w:ascii="宋体" w:hAnsi="宋体" w:cs="宋体"/>
          <w:color w:val="auto"/>
        </w:rPr>
        <w:t>合同主要条款及格式</w:t>
      </w:r>
    </w:p>
    <w:p>
      <w:pPr>
        <w:pStyle w:val="33"/>
        <w:widowControl/>
        <w:spacing w:line="360" w:lineRule="auto"/>
        <w:ind w:firstLine="480"/>
        <w:rPr>
          <w:rFonts w:ascii="宋体" w:hAnsi="宋体"/>
          <w:color w:val="auto"/>
        </w:rPr>
      </w:pPr>
      <w:r>
        <w:rPr>
          <w:rFonts w:hint="eastAsia" w:ascii="宋体" w:hAnsi="宋体" w:cs="宋体"/>
          <w:color w:val="auto"/>
        </w:rPr>
        <w:t>第五章</w:t>
      </w:r>
      <w:r>
        <w:rPr>
          <w:rFonts w:ascii="宋体" w:hAnsi="宋体" w:cs="宋体"/>
          <w:color w:val="auto"/>
        </w:rPr>
        <w:t> </w:t>
      </w:r>
      <w:r>
        <w:rPr>
          <w:rFonts w:hint="eastAsia" w:ascii="宋体" w:hAnsi="宋体" w:cs="宋体"/>
          <w:color w:val="auto"/>
        </w:rPr>
        <w:t>首次响应文件格式</w:t>
      </w:r>
    </w:p>
    <w:p>
      <w:pPr>
        <w:pStyle w:val="33"/>
        <w:widowControl/>
        <w:spacing w:line="360" w:lineRule="auto"/>
        <w:ind w:firstLine="480"/>
        <w:rPr>
          <w:rFonts w:ascii="宋体" w:hAnsi="宋体"/>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33"/>
        <w:widowControl/>
        <w:spacing w:line="360" w:lineRule="auto"/>
        <w:rPr>
          <w:rFonts w:ascii="宋体" w:hAnsi="宋体"/>
          <w:color w:val="auto"/>
        </w:rPr>
      </w:pPr>
      <w:r>
        <w:rPr>
          <w:rStyle w:val="39"/>
          <w:rFonts w:ascii="宋体" w:hAnsi="宋体" w:cs="宋体"/>
          <w:color w:val="auto"/>
        </w:rPr>
        <w:t>6.</w:t>
      </w:r>
      <w:r>
        <w:rPr>
          <w:rStyle w:val="39"/>
          <w:rFonts w:hint="eastAsia" w:ascii="宋体" w:hAnsi="宋体" w:cs="宋体"/>
          <w:color w:val="auto"/>
        </w:rPr>
        <w:t>竞争性谈判文件的澄清、补充或修改：</w:t>
      </w:r>
    </w:p>
    <w:p>
      <w:pPr>
        <w:pStyle w:val="33"/>
        <w:widowControl/>
        <w:spacing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33"/>
        <w:widowControl/>
        <w:spacing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3"/>
        <w:widowControl/>
        <w:spacing w:line="360" w:lineRule="auto"/>
        <w:jc w:val="both"/>
        <w:rPr>
          <w:rStyle w:val="39"/>
          <w:rFonts w:ascii="宋体" w:hAnsi="宋体" w:cs="宋体"/>
          <w:color w:val="auto"/>
        </w:rPr>
      </w:pPr>
    </w:p>
    <w:p>
      <w:pPr>
        <w:pStyle w:val="74"/>
        <w:spacing w:before="0" w:after="0" w:line="360" w:lineRule="auto"/>
        <w:rPr>
          <w:rStyle w:val="39"/>
          <w:rFonts w:ascii="宋体" w:hAnsi="宋体" w:eastAsia="宋体" w:cs="宋体"/>
          <w:color w:val="auto"/>
          <w:sz w:val="32"/>
          <w:szCs w:val="32"/>
        </w:rPr>
      </w:pPr>
      <w:bookmarkStart w:id="13" w:name="_Toc511891590"/>
      <w:r>
        <w:rPr>
          <w:rStyle w:val="39"/>
          <w:rFonts w:hint="eastAsia" w:ascii="宋体" w:hAnsi="宋体" w:eastAsia="宋体" w:cs="宋体"/>
          <w:color w:val="auto"/>
          <w:sz w:val="32"/>
          <w:szCs w:val="32"/>
        </w:rPr>
        <w:t>三、响应文件编制</w:t>
      </w:r>
      <w:bookmarkEnd w:id="13"/>
    </w:p>
    <w:p>
      <w:pPr>
        <w:pStyle w:val="33"/>
        <w:widowControl/>
        <w:spacing w:line="360" w:lineRule="auto"/>
        <w:rPr>
          <w:rFonts w:ascii="宋体" w:hAnsi="宋体"/>
          <w:color w:val="auto"/>
        </w:rPr>
      </w:pPr>
      <w:r>
        <w:rPr>
          <w:rStyle w:val="39"/>
          <w:rFonts w:ascii="宋体" w:hAnsi="宋体" w:cs="宋体"/>
          <w:color w:val="auto"/>
        </w:rPr>
        <w:t>7.</w:t>
      </w:r>
      <w:r>
        <w:rPr>
          <w:rStyle w:val="39"/>
          <w:rFonts w:hint="eastAsia" w:ascii="宋体" w:hAnsi="宋体" w:cs="宋体"/>
          <w:color w:val="auto"/>
        </w:rPr>
        <w:t>应标要求</w:t>
      </w:r>
    </w:p>
    <w:p>
      <w:pPr>
        <w:pStyle w:val="33"/>
        <w:widowControl/>
        <w:spacing w:line="360" w:lineRule="auto"/>
        <w:ind w:firstLine="480"/>
        <w:rPr>
          <w:rFonts w:ascii="宋体" w:hAnsi="宋体"/>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39"/>
          <w:rFonts w:hint="eastAsia" w:ascii="宋体" w:hAnsi="宋体" w:cs="宋体"/>
          <w:color w:val="auto"/>
        </w:rPr>
        <w:t>否则其相应合同包的响应文件将被否决。</w:t>
      </w:r>
    </w:p>
    <w:p>
      <w:pPr>
        <w:pStyle w:val="33"/>
        <w:widowControl/>
        <w:spacing w:line="360" w:lineRule="auto"/>
        <w:ind w:firstLine="480"/>
        <w:rPr>
          <w:rFonts w:ascii="宋体" w:hAnsi="宋体"/>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39"/>
          <w:rFonts w:hint="eastAsia" w:ascii="宋体" w:hAnsi="宋体" w:cs="宋体"/>
          <w:color w:val="auto"/>
        </w:rPr>
        <w:t>否则其响应文件将被否决。</w:t>
      </w:r>
    </w:p>
    <w:p>
      <w:pPr>
        <w:pStyle w:val="33"/>
        <w:widowControl/>
        <w:spacing w:line="360" w:lineRule="auto"/>
        <w:ind w:firstLine="480"/>
        <w:rPr>
          <w:rFonts w:ascii="宋体" w:hAnsi="宋体"/>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33"/>
        <w:widowControl/>
        <w:spacing w:line="360" w:lineRule="auto"/>
        <w:ind w:firstLine="480"/>
        <w:rPr>
          <w:rFonts w:ascii="宋体" w:hAnsi="宋体"/>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33"/>
        <w:widowControl/>
        <w:spacing w:line="360" w:lineRule="auto"/>
        <w:ind w:firstLine="480"/>
        <w:rPr>
          <w:rFonts w:ascii="宋体" w:hAnsi="宋体"/>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3"/>
        <w:widowControl/>
        <w:spacing w:line="360" w:lineRule="auto"/>
        <w:ind w:firstLine="480"/>
        <w:rPr>
          <w:rFonts w:ascii="宋体" w:hAnsi="宋体"/>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33"/>
        <w:widowControl/>
        <w:spacing w:line="360" w:lineRule="auto"/>
        <w:rPr>
          <w:rFonts w:ascii="宋体" w:hAnsi="宋体"/>
          <w:color w:val="auto"/>
        </w:rPr>
      </w:pPr>
      <w:r>
        <w:rPr>
          <w:rStyle w:val="39"/>
          <w:rFonts w:ascii="宋体" w:hAnsi="宋体" w:cs="宋体"/>
          <w:color w:val="auto"/>
        </w:rPr>
        <w:t>8.</w:t>
      </w:r>
      <w:r>
        <w:rPr>
          <w:rStyle w:val="39"/>
          <w:rFonts w:hint="eastAsia" w:ascii="宋体" w:hAnsi="宋体" w:cs="宋体"/>
          <w:color w:val="auto"/>
        </w:rPr>
        <w:t>首次响应文件的组成：</w:t>
      </w:r>
    </w:p>
    <w:p>
      <w:pPr>
        <w:pStyle w:val="33"/>
        <w:widowControl/>
        <w:spacing w:line="360" w:lineRule="auto"/>
        <w:ind w:firstLine="480"/>
        <w:rPr>
          <w:rFonts w:ascii="宋体" w:hAnsi="宋体"/>
          <w:color w:val="auto"/>
        </w:rPr>
      </w:pPr>
      <w:r>
        <w:rPr>
          <w:rFonts w:ascii="宋体" w:hAnsi="宋体" w:cs="宋体"/>
          <w:color w:val="auto"/>
        </w:rPr>
        <w:t>8.1</w:t>
      </w:r>
      <w:r>
        <w:rPr>
          <w:rFonts w:hint="eastAsia" w:ascii="宋体" w:hAnsi="宋体" w:cs="宋体"/>
          <w:color w:val="auto"/>
        </w:rPr>
        <w:t>首次响应文件包括但不限于下列部分：</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33"/>
        <w:widowControl/>
        <w:spacing w:line="360" w:lineRule="auto"/>
        <w:rPr>
          <w:rFonts w:ascii="宋体" w:hAnsi="宋体"/>
          <w:color w:val="auto"/>
        </w:rPr>
      </w:pPr>
      <w:r>
        <w:rPr>
          <w:rStyle w:val="39"/>
          <w:rFonts w:ascii="宋体" w:hAnsi="宋体" w:cs="宋体"/>
          <w:color w:val="auto"/>
        </w:rPr>
        <w:t>9.</w:t>
      </w:r>
      <w:r>
        <w:rPr>
          <w:rStyle w:val="39"/>
          <w:rFonts w:hint="eastAsia" w:ascii="宋体" w:hAnsi="宋体" w:cs="宋体"/>
          <w:color w:val="auto"/>
        </w:rPr>
        <w:t>响应文件有效期：</w:t>
      </w:r>
    </w:p>
    <w:p>
      <w:pPr>
        <w:pStyle w:val="33"/>
        <w:widowControl/>
        <w:spacing w:line="360" w:lineRule="auto"/>
        <w:ind w:firstLine="480"/>
        <w:rPr>
          <w:rFonts w:ascii="宋体" w:hAnsi="宋体"/>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39"/>
          <w:rFonts w:hint="eastAsia" w:ascii="宋体" w:hAnsi="宋体" w:cs="宋体"/>
          <w:color w:val="auto"/>
        </w:rPr>
        <w:t>否则其响应文件将被否决。</w:t>
      </w:r>
    </w:p>
    <w:p>
      <w:pPr>
        <w:pStyle w:val="33"/>
        <w:widowControl/>
        <w:spacing w:line="360" w:lineRule="auto"/>
        <w:ind w:firstLine="480"/>
        <w:rPr>
          <w:rFonts w:ascii="宋体" w:hAnsi="宋体"/>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3"/>
        <w:widowControl/>
        <w:spacing w:line="360" w:lineRule="auto"/>
        <w:rPr>
          <w:rFonts w:ascii="宋体" w:hAnsi="宋体"/>
          <w:color w:val="auto"/>
        </w:rPr>
      </w:pPr>
      <w:r>
        <w:rPr>
          <w:rStyle w:val="39"/>
          <w:rFonts w:ascii="宋体" w:hAnsi="宋体" w:cs="宋体"/>
          <w:color w:val="auto"/>
        </w:rPr>
        <w:t>10.</w:t>
      </w:r>
      <w:r>
        <w:rPr>
          <w:rStyle w:val="39"/>
          <w:rFonts w:hint="eastAsia" w:ascii="宋体" w:hAnsi="宋体" w:cs="宋体"/>
          <w:color w:val="auto"/>
        </w:rPr>
        <w:t>谈判保证金：</w:t>
      </w:r>
    </w:p>
    <w:p>
      <w:pPr>
        <w:pStyle w:val="33"/>
        <w:widowControl/>
        <w:spacing w:line="360" w:lineRule="auto"/>
        <w:rPr>
          <w:rFonts w:ascii="宋体" w:hAnsi="宋体"/>
          <w:color w:val="auto"/>
        </w:rPr>
      </w:pPr>
      <w:r>
        <w:rPr>
          <w:rFonts w:ascii="宋体" w:hAnsi="宋体" w:cs="宋体"/>
          <w:color w:val="auto"/>
        </w:rPr>
        <w:t>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33"/>
        <w:widowControl/>
        <w:spacing w:line="360" w:lineRule="auto"/>
        <w:rPr>
          <w:rFonts w:ascii="宋体" w:hAnsi="宋体"/>
          <w:color w:val="auto"/>
        </w:rPr>
      </w:pPr>
      <w:r>
        <w:rPr>
          <w:rFonts w:ascii="宋体" w:hAnsi="宋体" w:cs="宋体"/>
          <w:color w:val="auto"/>
        </w:rPr>
        <w:t>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39"/>
          <w:rFonts w:hint="eastAsia" w:ascii="宋体" w:hAnsi="宋体" w:cs="宋体"/>
          <w:color w:val="auto"/>
        </w:rPr>
        <w:t>其响应文件将被否决。</w:t>
      </w:r>
    </w:p>
    <w:p>
      <w:pPr>
        <w:pStyle w:val="33"/>
        <w:widowControl/>
        <w:spacing w:line="360" w:lineRule="auto"/>
        <w:ind w:firstLine="480"/>
        <w:rPr>
          <w:rFonts w:ascii="宋体" w:hAnsi="宋体"/>
          <w:color w:val="auto"/>
        </w:rPr>
      </w:pPr>
      <w:r>
        <w:rPr>
          <w:rFonts w:ascii="宋体" w:hAnsi="宋体" w:cs="宋体"/>
          <w:color w:val="auto"/>
        </w:rPr>
        <w:t>10.3</w:t>
      </w:r>
      <w:r>
        <w:rPr>
          <w:rFonts w:hint="eastAsia" w:ascii="宋体" w:hAnsi="宋体" w:cs="宋体"/>
          <w:color w:val="auto"/>
        </w:rPr>
        <w:t>谈判保证金退还：</w:t>
      </w:r>
    </w:p>
    <w:p>
      <w:pPr>
        <w:pStyle w:val="33"/>
        <w:widowControl/>
        <w:spacing w:line="360" w:lineRule="auto"/>
        <w:ind w:firstLine="480"/>
        <w:rPr>
          <w:rFonts w:ascii="宋体" w:hAnsi="宋体" w:cs="宋体"/>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w:t>
      </w:r>
      <w:r>
        <w:rPr>
          <w:rFonts w:ascii="宋体" w:hAnsi="宋体" w:cs="宋体"/>
          <w:color w:val="auto"/>
        </w:rPr>
        <w:t>未成交供应商的保证金将在成交通知书发出后5个工作日内退还，成交供应商的保证金将在采购合同签订后5个工作日内退还。关于谈判保证金退还的其它要求见竞争性谈判须知前附表第5项。</w:t>
      </w:r>
    </w:p>
    <w:p>
      <w:pPr>
        <w:pStyle w:val="33"/>
        <w:widowControl/>
        <w:spacing w:line="360" w:lineRule="auto"/>
        <w:ind w:firstLine="480"/>
        <w:rPr>
          <w:rFonts w:ascii="宋体" w:hAnsi="宋体"/>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33"/>
        <w:widowControl/>
        <w:spacing w:line="360" w:lineRule="auto"/>
        <w:ind w:firstLine="480"/>
        <w:rPr>
          <w:rFonts w:ascii="宋体" w:hAnsi="宋体"/>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33"/>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33"/>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供应商在响应文件中提供虚假材料的；</w:t>
      </w:r>
    </w:p>
    <w:p>
      <w:pPr>
        <w:pStyle w:val="33"/>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33"/>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33"/>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33"/>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33"/>
        <w:widowControl/>
        <w:spacing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33"/>
        <w:widowControl/>
        <w:spacing w:line="360" w:lineRule="auto"/>
        <w:rPr>
          <w:rFonts w:ascii="宋体" w:hAnsi="宋体"/>
          <w:color w:val="auto"/>
        </w:rPr>
      </w:pPr>
      <w:r>
        <w:rPr>
          <w:rStyle w:val="39"/>
          <w:rFonts w:ascii="宋体" w:hAnsi="宋体" w:cs="宋体"/>
          <w:color w:val="auto"/>
        </w:rPr>
        <w:t>11.</w:t>
      </w:r>
      <w:r>
        <w:rPr>
          <w:rStyle w:val="39"/>
          <w:rFonts w:hint="eastAsia" w:ascii="宋体" w:hAnsi="宋体" w:cs="宋体"/>
          <w:color w:val="auto"/>
        </w:rPr>
        <w:t>纸质响应文件基本编制要求：</w:t>
      </w:r>
    </w:p>
    <w:p>
      <w:pPr>
        <w:pStyle w:val="33"/>
        <w:widowControl/>
        <w:spacing w:line="360" w:lineRule="auto"/>
        <w:rPr>
          <w:rFonts w:ascii="宋体" w:hAnsi="宋体"/>
          <w:color w:val="auto"/>
        </w:rPr>
      </w:pPr>
      <w:r>
        <w:rPr>
          <w:rFonts w:ascii="宋体" w:hAnsi="宋体" w:cs="宋体"/>
          <w:color w:val="auto"/>
        </w:rPr>
        <w:t>  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33"/>
        <w:widowControl/>
        <w:spacing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33"/>
        <w:widowControl/>
        <w:spacing w:line="360" w:lineRule="auto"/>
        <w:ind w:firstLine="480"/>
        <w:rPr>
          <w:rFonts w:ascii="宋体" w:hAnsi="宋体"/>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33"/>
        <w:widowControl/>
        <w:spacing w:line="360" w:lineRule="auto"/>
        <w:rPr>
          <w:rFonts w:ascii="宋体" w:hAnsi="宋体"/>
          <w:color w:val="auto"/>
        </w:rPr>
      </w:pPr>
      <w:r>
        <w:rPr>
          <w:rFonts w:ascii="宋体" w:hAnsi="宋体" w:cs="宋体"/>
          <w:color w:val="auto"/>
        </w:rPr>
        <w:t>  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33"/>
        <w:widowControl/>
        <w:spacing w:line="360" w:lineRule="auto"/>
        <w:rPr>
          <w:rFonts w:ascii="宋体" w:hAnsi="宋体"/>
          <w:color w:val="auto"/>
        </w:rPr>
      </w:pPr>
      <w:r>
        <w:rPr>
          <w:rStyle w:val="39"/>
          <w:rFonts w:ascii="宋体" w:hAnsi="宋体" w:cs="宋体"/>
          <w:color w:val="auto"/>
        </w:rPr>
        <w:t>12.</w:t>
      </w:r>
      <w:r>
        <w:rPr>
          <w:rStyle w:val="39"/>
          <w:rFonts w:hint="eastAsia" w:ascii="宋体" w:hAnsi="宋体" w:cs="宋体"/>
          <w:color w:val="auto"/>
        </w:rPr>
        <w:t>纸质响应文件的密封、标识、签署和提交</w:t>
      </w:r>
    </w:p>
    <w:p>
      <w:pPr>
        <w:pStyle w:val="33"/>
        <w:widowControl/>
        <w:spacing w:line="360" w:lineRule="auto"/>
        <w:rPr>
          <w:rFonts w:ascii="宋体" w:hAnsi="宋体"/>
          <w:color w:val="auto"/>
        </w:rPr>
      </w:pPr>
      <w:r>
        <w:rPr>
          <w:rFonts w:ascii="宋体" w:hAnsi="宋体" w:cs="宋体"/>
          <w:color w:val="auto"/>
        </w:rPr>
        <w:t>  12.1</w:t>
      </w:r>
      <w:r>
        <w:rPr>
          <w:rFonts w:hint="eastAsia" w:ascii="宋体" w:hAnsi="宋体" w:cs="宋体"/>
          <w:color w:val="auto"/>
        </w:rPr>
        <w:t>供应商应当将响应文件密封包装提交，并在外封套上标识项目名称、项目编号、供应商单位名称以及“于</w:t>
      </w:r>
      <w:r>
        <w:rPr>
          <w:rFonts w:ascii="宋体" w:hAnsi="宋体" w:cs="宋体"/>
          <w:color w:val="auto"/>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3"/>
        <w:widowControl/>
        <w:spacing w:line="360" w:lineRule="auto"/>
        <w:rPr>
          <w:rFonts w:ascii="宋体" w:hAnsi="宋体"/>
          <w:color w:val="auto"/>
        </w:rPr>
      </w:pPr>
      <w:r>
        <w:rPr>
          <w:rFonts w:ascii="宋体" w:hAnsi="宋体" w:cs="宋体"/>
          <w:color w:val="auto"/>
        </w:rPr>
        <w:t>  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3"/>
        <w:widowControl/>
        <w:spacing w:line="360" w:lineRule="auto"/>
        <w:ind w:firstLine="480"/>
        <w:rPr>
          <w:rFonts w:ascii="宋体" w:hAnsi="宋体"/>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3"/>
        <w:widowControl/>
        <w:spacing w:line="360" w:lineRule="auto"/>
        <w:ind w:firstLine="480"/>
        <w:rPr>
          <w:rFonts w:ascii="宋体" w:hAnsi="宋体"/>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3"/>
        <w:widowControl/>
        <w:spacing w:line="360" w:lineRule="auto"/>
        <w:rPr>
          <w:rStyle w:val="39"/>
          <w:rFonts w:ascii="宋体" w:hAnsi="宋体" w:eastAsia="宋体" w:cs="宋体"/>
          <w:color w:val="auto"/>
          <w:sz w:val="32"/>
          <w:szCs w:val="32"/>
        </w:rPr>
      </w:pPr>
      <w:r>
        <w:rPr>
          <w:rFonts w:ascii="宋体" w:hAnsi="宋体" w:cs="宋体"/>
          <w:color w:val="auto"/>
        </w:rPr>
        <w:t>  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bookmarkStart w:id="14" w:name="_Toc511891591"/>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四、竞争性谈判</w:t>
      </w:r>
      <w:bookmarkEnd w:id="14"/>
    </w:p>
    <w:p>
      <w:pPr>
        <w:pStyle w:val="33"/>
        <w:widowControl/>
        <w:spacing w:line="360" w:lineRule="auto"/>
        <w:rPr>
          <w:rFonts w:ascii="宋体" w:hAnsi="宋体"/>
          <w:color w:val="auto"/>
        </w:rPr>
      </w:pPr>
      <w:r>
        <w:rPr>
          <w:rStyle w:val="39"/>
          <w:rFonts w:ascii="宋体" w:hAnsi="宋体" w:cs="宋体"/>
          <w:color w:val="auto"/>
        </w:rPr>
        <w:t>13.</w:t>
      </w:r>
      <w:r>
        <w:rPr>
          <w:rStyle w:val="39"/>
          <w:rFonts w:hint="eastAsia" w:ascii="宋体" w:hAnsi="宋体" w:cs="宋体"/>
          <w:color w:val="auto"/>
        </w:rPr>
        <w:t>评审和谈判基本准则</w:t>
      </w:r>
    </w:p>
    <w:p>
      <w:pPr>
        <w:pStyle w:val="33"/>
        <w:widowControl/>
        <w:spacing w:line="360" w:lineRule="auto"/>
        <w:rPr>
          <w:rFonts w:ascii="宋体" w:hAnsi="宋体"/>
          <w:color w:val="auto"/>
        </w:rPr>
      </w:pPr>
      <w:r>
        <w:rPr>
          <w:rFonts w:ascii="宋体" w:hAnsi="宋体" w:cs="宋体"/>
          <w:color w:val="auto"/>
        </w:rPr>
        <w:t>  13.1</w:t>
      </w:r>
      <w:r>
        <w:rPr>
          <w:rFonts w:hint="eastAsia" w:ascii="宋体" w:hAnsi="宋体" w:cs="宋体"/>
          <w:color w:val="auto"/>
        </w:rPr>
        <w:t>对所有供应商的评审和谈判，都采用相同的程序和标准。</w:t>
      </w:r>
    </w:p>
    <w:p>
      <w:pPr>
        <w:pStyle w:val="33"/>
        <w:widowControl/>
        <w:spacing w:line="360" w:lineRule="auto"/>
        <w:rPr>
          <w:rFonts w:ascii="宋体" w:hAnsi="宋体"/>
          <w:color w:val="auto"/>
        </w:rPr>
      </w:pPr>
      <w:r>
        <w:rPr>
          <w:rFonts w:ascii="宋体" w:hAnsi="宋体" w:cs="宋体"/>
          <w:color w:val="auto"/>
        </w:rPr>
        <w:t>  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33"/>
        <w:widowControl/>
        <w:spacing w:line="360" w:lineRule="auto"/>
        <w:rPr>
          <w:rFonts w:ascii="宋体" w:hAnsi="宋体"/>
          <w:color w:val="auto"/>
        </w:rPr>
      </w:pPr>
      <w:r>
        <w:rPr>
          <w:rStyle w:val="39"/>
          <w:rFonts w:ascii="宋体" w:hAnsi="宋体" w:cs="宋体"/>
          <w:color w:val="auto"/>
        </w:rPr>
        <w:t>14.</w:t>
      </w:r>
      <w:r>
        <w:rPr>
          <w:rStyle w:val="39"/>
          <w:rFonts w:hint="eastAsia" w:ascii="宋体" w:hAnsi="宋体" w:cs="宋体"/>
          <w:color w:val="auto"/>
        </w:rPr>
        <w:t>谈判程序以及评定成交标准</w:t>
      </w:r>
    </w:p>
    <w:p>
      <w:pPr>
        <w:pStyle w:val="33"/>
        <w:widowControl/>
        <w:spacing w:line="360" w:lineRule="auto"/>
        <w:rPr>
          <w:rFonts w:ascii="宋体" w:hAnsi="宋体"/>
          <w:color w:val="auto"/>
        </w:rPr>
      </w:pPr>
      <w:r>
        <w:rPr>
          <w:rFonts w:ascii="宋体" w:hAnsi="宋体" w:cs="宋体"/>
          <w:color w:val="auto"/>
        </w:rPr>
        <w:t>  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33"/>
        <w:widowControl/>
        <w:spacing w:line="360" w:lineRule="auto"/>
        <w:ind w:firstLine="480"/>
        <w:rPr>
          <w:rFonts w:ascii="宋体" w:hAnsi="宋体"/>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3"/>
        <w:widowControl/>
        <w:spacing w:line="360" w:lineRule="auto"/>
        <w:ind w:firstLine="480"/>
        <w:rPr>
          <w:rFonts w:ascii="宋体" w:hAnsi="宋体"/>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33"/>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响应文件中提供的资格证明文件不全的；</w:t>
      </w:r>
    </w:p>
    <w:p>
      <w:pPr>
        <w:pStyle w:val="33"/>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33"/>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33"/>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响应文件有效期不满足谈判文件要求的；</w:t>
      </w:r>
    </w:p>
    <w:p>
      <w:pPr>
        <w:pStyle w:val="33"/>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33"/>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33"/>
        <w:widowControl/>
        <w:spacing w:line="360" w:lineRule="auto"/>
        <w:ind w:firstLine="480"/>
        <w:rPr>
          <w:rFonts w:ascii="宋体" w:hAnsi="宋体" w:cs="宋体"/>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p>
    <w:p>
      <w:pPr>
        <w:pStyle w:val="33"/>
        <w:widowControl/>
        <w:spacing w:line="360" w:lineRule="auto"/>
        <w:ind w:firstLine="480"/>
        <w:rPr>
          <w:rFonts w:ascii="宋体" w:hAnsi="宋体"/>
          <w:color w:val="auto"/>
        </w:rPr>
      </w:pPr>
      <w:r>
        <w:rPr>
          <w:rFonts w:ascii="宋体" w:hAnsi="宋体" w:cs="宋体"/>
          <w:color w:val="auto"/>
        </w:rPr>
        <w:t>  14.2.2</w:t>
      </w:r>
      <w:r>
        <w:rPr>
          <w:rFonts w:hint="eastAsia" w:ascii="宋体" w:hAnsi="宋体" w:cs="宋体"/>
          <w:color w:val="auto"/>
        </w:rPr>
        <w:t>其他情形</w:t>
      </w:r>
      <w:r>
        <w:rPr>
          <w:rStyle w:val="39"/>
          <w:rFonts w:ascii="宋体" w:hAnsi="宋体" w:cs="微软雅黑"/>
          <w:color w:val="auto"/>
        </w:rPr>
        <w:t>  </w:t>
      </w:r>
      <w:r>
        <w:rPr>
          <w:rStyle w:val="39"/>
          <w:rFonts w:hint="eastAsia" w:ascii="宋体" w:hAnsi="宋体" w:cs="微软雅黑"/>
          <w:color w:val="auto"/>
        </w:rPr>
        <w:t>无</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谈判小组决定供应商的响应性只根据响应文件本身的内容，而不寻求其他的外部证据。</w:t>
      </w:r>
    </w:p>
    <w:p>
      <w:pPr>
        <w:pStyle w:val="33"/>
        <w:widowControl/>
        <w:spacing w:line="360" w:lineRule="auto"/>
        <w:rPr>
          <w:rFonts w:ascii="宋体" w:hAnsi="宋体"/>
          <w:color w:val="auto"/>
        </w:rPr>
      </w:pPr>
      <w:r>
        <w:rPr>
          <w:rFonts w:ascii="宋体" w:hAnsi="宋体" w:cs="宋体"/>
          <w:color w:val="auto"/>
        </w:rPr>
        <w:t>  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3"/>
        <w:widowControl/>
        <w:spacing w:line="360" w:lineRule="auto"/>
        <w:rPr>
          <w:rFonts w:ascii="宋体" w:hAnsi="宋体"/>
          <w:color w:val="auto"/>
        </w:rPr>
      </w:pPr>
      <w:r>
        <w:rPr>
          <w:rFonts w:ascii="宋体" w:hAnsi="宋体" w:cs="宋体"/>
          <w:color w:val="auto"/>
        </w:rPr>
        <w:t>  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33"/>
        <w:widowControl/>
        <w:spacing w:line="360" w:lineRule="auto"/>
        <w:rPr>
          <w:rFonts w:ascii="宋体" w:hAnsi="宋体"/>
          <w:color w:val="auto"/>
        </w:rPr>
      </w:pPr>
      <w:r>
        <w:rPr>
          <w:rFonts w:ascii="宋体" w:hAnsi="宋体" w:cs="宋体"/>
          <w:color w:val="auto"/>
        </w:rPr>
        <w:t>  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3"/>
        <w:widowControl/>
        <w:spacing w:line="360" w:lineRule="auto"/>
        <w:rPr>
          <w:rFonts w:ascii="宋体" w:hAnsi="宋体"/>
          <w:color w:val="auto"/>
        </w:rPr>
      </w:pPr>
      <w:r>
        <w:rPr>
          <w:rFonts w:ascii="宋体" w:hAnsi="宋体" w:cs="宋体"/>
          <w:color w:val="auto"/>
        </w:rPr>
        <w:t>  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rPr>
          <w:rFonts w:ascii="宋体" w:hAnsi="宋体"/>
          <w:color w:val="auto"/>
        </w:rPr>
      </w:pPr>
      <w:r>
        <w:rPr>
          <w:rFonts w:ascii="宋体" w:hAnsi="宋体" w:cs="宋体"/>
          <w:color w:val="auto"/>
        </w:rPr>
        <w:t>  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w:t>
      </w:r>
      <w:r>
        <w:rPr>
          <w:rFonts w:hint="eastAsia" w:ascii="宋体" w:hAnsi="宋体" w:cs="宋体"/>
          <w:b/>
          <w:color w:val="auto"/>
        </w:rPr>
        <w:t>争性谈判须知前附表”</w:t>
      </w:r>
      <w:r>
        <w:rPr>
          <w:rFonts w:hint="eastAsia" w:ascii="宋体" w:hAnsi="宋体" w:cs="宋体"/>
          <w:color w:val="auto"/>
        </w:rPr>
        <w:t>中专</w:t>
      </w:r>
      <w:r>
        <w:rPr>
          <w:rFonts w:hint="eastAsia" w:ascii="宋体" w:hAnsi="宋体" w:cs="宋体"/>
          <w:b/>
          <w:color w:val="auto"/>
        </w:rPr>
        <w:t>项附件</w:t>
      </w:r>
      <w:r>
        <w:rPr>
          <w:rFonts w:hint="eastAsia" w:ascii="宋体" w:hAnsi="宋体" w:cs="宋体"/>
          <w:color w:val="auto"/>
        </w:rPr>
        <w:t>：“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ind w:firstLine="480"/>
        <w:rPr>
          <w:rFonts w:ascii="宋体" w:hAnsi="宋体"/>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3"/>
        <w:widowControl/>
        <w:spacing w:line="360" w:lineRule="auto"/>
        <w:ind w:firstLine="480"/>
        <w:rPr>
          <w:rFonts w:ascii="宋体" w:hAnsi="宋体"/>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33"/>
        <w:widowControl/>
        <w:spacing w:line="360" w:lineRule="auto"/>
        <w:ind w:firstLine="480"/>
        <w:rPr>
          <w:rStyle w:val="39"/>
          <w:rFonts w:ascii="宋体" w:hAnsi="宋体" w:eastAsia="宋体" w:cs="宋体"/>
          <w:color w:val="auto"/>
          <w:sz w:val="32"/>
          <w:szCs w:val="32"/>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bookmarkStart w:id="15" w:name="_Toc511891592"/>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五、合同授予</w:t>
      </w:r>
      <w:bookmarkEnd w:id="15"/>
      <w:r>
        <w:rPr>
          <w:rStyle w:val="39"/>
          <w:rFonts w:ascii="宋体" w:hAnsi="宋体" w:eastAsia="宋体" w:cs="宋体"/>
          <w:color w:val="auto"/>
          <w:sz w:val="32"/>
          <w:szCs w:val="32"/>
        </w:rPr>
        <w:t> </w:t>
      </w:r>
    </w:p>
    <w:p>
      <w:pPr>
        <w:pStyle w:val="33"/>
        <w:widowControl/>
        <w:spacing w:line="360" w:lineRule="auto"/>
        <w:rPr>
          <w:rFonts w:ascii="宋体" w:hAnsi="宋体"/>
          <w:color w:val="auto"/>
        </w:rPr>
      </w:pPr>
      <w:r>
        <w:rPr>
          <w:rStyle w:val="39"/>
          <w:rFonts w:ascii="宋体" w:hAnsi="宋体" w:cs="宋体"/>
          <w:color w:val="auto"/>
        </w:rPr>
        <w:t>15.</w:t>
      </w:r>
      <w:r>
        <w:rPr>
          <w:rStyle w:val="39"/>
          <w:rFonts w:hint="eastAsia" w:ascii="宋体" w:hAnsi="宋体" w:cs="宋体"/>
          <w:color w:val="auto"/>
        </w:rPr>
        <w:t>授予合同的准则：</w:t>
      </w:r>
    </w:p>
    <w:p>
      <w:pPr>
        <w:pStyle w:val="33"/>
        <w:widowControl/>
        <w:spacing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除不可抗力等因素外，合同将授予响应文件符合竞争性谈判文件要求，能够圆满地履行合同，且被谈判小组推荐为第一成交候选人的供应商。</w:t>
      </w:r>
    </w:p>
    <w:p>
      <w:pPr>
        <w:pStyle w:val="33"/>
        <w:widowControl/>
        <w:spacing w:line="360" w:lineRule="auto"/>
        <w:ind w:firstLine="480"/>
        <w:rPr>
          <w:rFonts w:ascii="宋体" w:hAnsi="宋体"/>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3"/>
        <w:widowControl/>
        <w:spacing w:line="360" w:lineRule="auto"/>
        <w:ind w:firstLine="480"/>
        <w:rPr>
          <w:rStyle w:val="39"/>
          <w:rFonts w:ascii="宋体" w:hAnsi="宋体" w:cs="宋体"/>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33"/>
        <w:widowControl/>
        <w:spacing w:line="360" w:lineRule="auto"/>
        <w:rPr>
          <w:rFonts w:ascii="宋体" w:hAnsi="宋体"/>
          <w:color w:val="auto"/>
        </w:rPr>
      </w:pPr>
      <w:r>
        <w:rPr>
          <w:rStyle w:val="39"/>
          <w:rFonts w:ascii="宋体" w:hAnsi="宋体" w:cs="宋体"/>
          <w:color w:val="auto"/>
        </w:rPr>
        <w:t>16.</w:t>
      </w:r>
      <w:r>
        <w:rPr>
          <w:rStyle w:val="39"/>
          <w:rFonts w:hint="eastAsia" w:ascii="宋体" w:hAnsi="宋体" w:cs="宋体"/>
          <w:color w:val="auto"/>
        </w:rPr>
        <w:t>确定成交供应商：</w:t>
      </w:r>
    </w:p>
    <w:p>
      <w:pPr>
        <w:pStyle w:val="33"/>
        <w:widowControl/>
        <w:spacing w:line="360" w:lineRule="auto"/>
        <w:ind w:firstLine="480"/>
        <w:rPr>
          <w:rFonts w:ascii="宋体" w:hAnsi="宋体"/>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33"/>
        <w:widowControl/>
        <w:spacing w:line="360" w:lineRule="auto"/>
        <w:ind w:firstLine="480"/>
        <w:rPr>
          <w:rFonts w:ascii="宋体" w:hAnsi="宋体"/>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3"/>
        <w:widowControl/>
        <w:spacing w:line="360" w:lineRule="auto"/>
        <w:rPr>
          <w:rFonts w:ascii="宋体" w:hAnsi="宋体"/>
          <w:color w:val="auto"/>
        </w:rPr>
      </w:pPr>
      <w:r>
        <w:rPr>
          <w:rStyle w:val="39"/>
          <w:rFonts w:ascii="宋体" w:hAnsi="宋体" w:cs="宋体"/>
          <w:color w:val="auto"/>
        </w:rPr>
        <w:t>17.</w:t>
      </w:r>
      <w:r>
        <w:rPr>
          <w:rStyle w:val="39"/>
          <w:rFonts w:hint="eastAsia" w:ascii="宋体" w:hAnsi="宋体" w:cs="宋体"/>
          <w:color w:val="auto"/>
        </w:rPr>
        <w:t>成交通知</w:t>
      </w:r>
      <w:r>
        <w:rPr>
          <w:rStyle w:val="39"/>
          <w:rFonts w:ascii="宋体" w:hAnsi="宋体" w:cs="宋体"/>
          <w:color w:val="auto"/>
        </w:rPr>
        <w:t>:</w:t>
      </w:r>
    </w:p>
    <w:p>
      <w:pPr>
        <w:pStyle w:val="33"/>
        <w:widowControl/>
        <w:spacing w:line="360" w:lineRule="auto"/>
        <w:ind w:firstLine="480"/>
        <w:rPr>
          <w:rFonts w:ascii="宋体" w:hAnsi="宋体"/>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33"/>
        <w:widowControl/>
        <w:spacing w:line="360" w:lineRule="auto"/>
        <w:rPr>
          <w:rFonts w:ascii="宋体" w:hAnsi="宋体"/>
          <w:color w:val="auto"/>
        </w:rPr>
      </w:pPr>
      <w:r>
        <w:rPr>
          <w:rFonts w:ascii="宋体" w:hAnsi="宋体" w:cs="宋体"/>
          <w:color w:val="auto"/>
        </w:rPr>
        <w:t>  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3"/>
        <w:widowControl/>
        <w:spacing w:line="360" w:lineRule="auto"/>
        <w:rPr>
          <w:rFonts w:ascii="宋体" w:hAnsi="宋体"/>
          <w:color w:val="auto"/>
        </w:rPr>
      </w:pPr>
      <w:r>
        <w:rPr>
          <w:rStyle w:val="39"/>
          <w:rFonts w:ascii="宋体" w:hAnsi="宋体" w:cs="宋体"/>
          <w:color w:val="auto"/>
        </w:rPr>
        <w:t>18.</w:t>
      </w:r>
      <w:r>
        <w:rPr>
          <w:rStyle w:val="39"/>
          <w:rFonts w:hint="eastAsia" w:ascii="宋体" w:hAnsi="宋体" w:cs="宋体"/>
          <w:color w:val="auto"/>
        </w:rPr>
        <w:t>签订合同：</w:t>
      </w:r>
    </w:p>
    <w:p>
      <w:pPr>
        <w:pStyle w:val="33"/>
        <w:widowControl/>
        <w:spacing w:line="360" w:lineRule="auto"/>
        <w:rPr>
          <w:rFonts w:ascii="宋体" w:hAnsi="宋体"/>
          <w:color w:val="auto"/>
        </w:rPr>
      </w:pPr>
      <w:r>
        <w:rPr>
          <w:rFonts w:ascii="宋体" w:hAnsi="宋体" w:cs="宋体"/>
          <w:color w:val="auto"/>
        </w:rPr>
        <w:t>  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3"/>
        <w:widowControl/>
        <w:spacing w:line="360" w:lineRule="auto"/>
        <w:ind w:firstLine="480"/>
        <w:rPr>
          <w:rFonts w:ascii="宋体" w:hAnsi="宋体"/>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33"/>
        <w:widowControl/>
        <w:spacing w:line="360" w:lineRule="auto"/>
        <w:rPr>
          <w:rFonts w:ascii="宋体" w:hAnsi="宋体" w:cs="宋体"/>
          <w:color w:val="auto"/>
        </w:rPr>
      </w:pPr>
      <w:r>
        <w:rPr>
          <w:rFonts w:ascii="宋体" w:hAnsi="宋体" w:cs="宋体"/>
          <w:color w:val="auto"/>
        </w:rPr>
        <w:t>  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r>
        <w:rPr>
          <w:rFonts w:ascii="宋体" w:hAnsi="宋体" w:cs="宋体"/>
          <w:color w:val="auto"/>
        </w:rPr>
        <w:t> </w:t>
      </w:r>
    </w:p>
    <w:p>
      <w:pPr>
        <w:pStyle w:val="74"/>
        <w:spacing w:before="0" w:after="0" w:line="360" w:lineRule="auto"/>
        <w:rPr>
          <w:rStyle w:val="39"/>
          <w:rFonts w:ascii="宋体" w:hAnsi="宋体" w:eastAsia="宋体" w:cs="宋体"/>
          <w:color w:val="auto"/>
          <w:sz w:val="32"/>
          <w:szCs w:val="32"/>
        </w:rPr>
      </w:pPr>
      <w:bookmarkStart w:id="16" w:name="_Toc511891593"/>
      <w:r>
        <w:rPr>
          <w:rStyle w:val="39"/>
          <w:rFonts w:hint="eastAsia" w:ascii="宋体" w:hAnsi="宋体" w:eastAsia="宋体" w:cs="宋体"/>
          <w:color w:val="auto"/>
          <w:sz w:val="32"/>
          <w:szCs w:val="32"/>
        </w:rPr>
        <w:t>六、询问、质疑与投诉</w:t>
      </w:r>
      <w:bookmarkEnd w:id="16"/>
    </w:p>
    <w:p>
      <w:pPr>
        <w:pStyle w:val="33"/>
        <w:widowControl/>
        <w:spacing w:line="360" w:lineRule="auto"/>
        <w:rPr>
          <w:rFonts w:ascii="宋体" w:hAnsi="宋体"/>
          <w:color w:val="auto"/>
        </w:rPr>
      </w:pPr>
      <w:r>
        <w:rPr>
          <w:rFonts w:ascii="宋体" w:hAnsi="宋体" w:cs="宋体"/>
          <w:color w:val="auto"/>
        </w:rPr>
        <w:t> </w:t>
      </w:r>
      <w:r>
        <w:rPr>
          <w:rStyle w:val="39"/>
          <w:rFonts w:ascii="宋体" w:hAnsi="宋体" w:cs="宋体"/>
          <w:color w:val="auto"/>
        </w:rPr>
        <w:t>19.</w:t>
      </w:r>
      <w:r>
        <w:rPr>
          <w:rStyle w:val="39"/>
          <w:rFonts w:hint="eastAsia" w:ascii="宋体" w:hAnsi="宋体" w:cs="宋体"/>
          <w:color w:val="auto"/>
        </w:rPr>
        <w:t>询问</w:t>
      </w:r>
    </w:p>
    <w:p>
      <w:pPr>
        <w:pStyle w:val="33"/>
        <w:widowControl/>
        <w:spacing w:line="360" w:lineRule="auto"/>
        <w:rPr>
          <w:rFonts w:ascii="宋体" w:hAnsi="宋体"/>
          <w:color w:val="auto"/>
        </w:rPr>
      </w:pPr>
      <w:r>
        <w:rPr>
          <w:rFonts w:ascii="宋体" w:hAnsi="宋体" w:cs="宋体"/>
          <w:color w:val="auto"/>
        </w:rPr>
        <w:t>  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33"/>
        <w:widowControl/>
        <w:spacing w:line="360" w:lineRule="auto"/>
        <w:rPr>
          <w:rFonts w:ascii="宋体" w:hAnsi="宋体"/>
          <w:color w:val="auto"/>
        </w:rPr>
      </w:pPr>
      <w:r>
        <w:rPr>
          <w:rStyle w:val="39"/>
          <w:rFonts w:ascii="宋体" w:hAnsi="宋体" w:cs="宋体"/>
          <w:color w:val="auto"/>
        </w:rPr>
        <w:t>20.</w:t>
      </w:r>
      <w:r>
        <w:rPr>
          <w:rStyle w:val="39"/>
          <w:rFonts w:hint="eastAsia" w:ascii="宋体" w:hAnsi="宋体" w:cs="宋体"/>
          <w:color w:val="auto"/>
        </w:rPr>
        <w:t>质疑</w:t>
      </w:r>
    </w:p>
    <w:p>
      <w:pPr>
        <w:pStyle w:val="33"/>
        <w:widowControl/>
        <w:spacing w:line="360" w:lineRule="auto"/>
        <w:rPr>
          <w:rFonts w:ascii="宋体" w:hAnsi="宋体"/>
          <w:color w:val="auto"/>
        </w:rPr>
      </w:pPr>
      <w:r>
        <w:rPr>
          <w:rFonts w:ascii="宋体" w:hAnsi="宋体" w:cs="宋体"/>
          <w:color w:val="auto"/>
        </w:rPr>
        <w:t>  20.1</w:t>
      </w:r>
      <w:r>
        <w:rPr>
          <w:rFonts w:hint="eastAsia" w:ascii="宋体" w:hAnsi="宋体" w:cs="宋体"/>
          <w:color w:val="auto"/>
        </w:rPr>
        <w:t>质疑应在政府采购法及实施条例规定的时效内提出，并符合下列条件：</w:t>
      </w:r>
    </w:p>
    <w:p>
      <w:pPr>
        <w:pStyle w:val="33"/>
        <w:widowControl/>
        <w:spacing w:line="360" w:lineRule="auto"/>
        <w:rPr>
          <w:rFonts w:ascii="宋体" w:hAnsi="宋体"/>
          <w:color w:val="auto"/>
        </w:rPr>
      </w:pPr>
      <w:r>
        <w:rPr>
          <w:rFonts w:ascii="宋体" w:hAnsi="宋体" w:cs="宋体"/>
          <w:color w:val="auto"/>
        </w:rPr>
        <w:t>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3"/>
        <w:widowControl/>
        <w:spacing w:line="360" w:lineRule="auto"/>
        <w:rPr>
          <w:rFonts w:ascii="宋体" w:hAnsi="宋体"/>
          <w:color w:val="auto"/>
        </w:rPr>
      </w:pPr>
      <w:r>
        <w:rPr>
          <w:rFonts w:ascii="宋体" w:hAnsi="宋体" w:cs="宋体"/>
          <w:color w:val="auto"/>
        </w:rPr>
        <w:t>  20.1.2</w:t>
      </w:r>
      <w:r>
        <w:rPr>
          <w:rFonts w:hint="eastAsia" w:ascii="宋体" w:hAnsi="宋体" w:cs="宋体"/>
          <w:color w:val="auto"/>
        </w:rPr>
        <w:t>质疑人应提交质疑函原件。</w:t>
      </w:r>
    </w:p>
    <w:p>
      <w:pPr>
        <w:pStyle w:val="33"/>
        <w:widowControl/>
        <w:spacing w:line="360" w:lineRule="auto"/>
        <w:rPr>
          <w:rFonts w:ascii="宋体" w:hAnsi="宋体"/>
          <w:color w:val="auto"/>
        </w:rPr>
      </w:pPr>
      <w:r>
        <w:rPr>
          <w:rFonts w:ascii="宋体" w:hAnsi="宋体" w:cs="宋体"/>
          <w:color w:val="auto"/>
        </w:rPr>
        <w:t>  20.1.3</w:t>
      </w:r>
      <w:r>
        <w:rPr>
          <w:rFonts w:hint="eastAsia" w:ascii="宋体" w:hAnsi="宋体" w:cs="宋体"/>
          <w:color w:val="auto"/>
        </w:rPr>
        <w:t>质疑函应包括下列主要内容：</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②所质疑项目的基本信息，至少包括：项目编号、项目名称等；</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③所质疑的具体事项（以下简称：“质疑事项”）；</w:t>
      </w:r>
    </w:p>
    <w:p>
      <w:pPr>
        <w:pStyle w:val="33"/>
        <w:widowControl/>
        <w:spacing w:line="360" w:lineRule="auto"/>
        <w:ind w:firstLine="480"/>
        <w:rPr>
          <w:rFonts w:ascii="宋体" w:hAnsi="宋体"/>
          <w:color w:val="auto"/>
        </w:rPr>
      </w:pPr>
      <w:r>
        <w:rPr>
          <w:rFonts w:hint="eastAsia" w:ascii="宋体" w:hAnsi="宋体" w:cs="宋体"/>
          <w:color w:val="auto"/>
        </w:rPr>
        <w:t>④质疑人自身权益受到损害的事实依据和证明材料，至少包括：</w:t>
      </w:r>
    </w:p>
    <w:p>
      <w:pPr>
        <w:pStyle w:val="33"/>
        <w:widowControl/>
        <w:spacing w:line="360" w:lineRule="auto"/>
        <w:ind w:firstLine="480"/>
        <w:rPr>
          <w:rFonts w:ascii="宋体" w:hAnsi="宋体"/>
          <w:color w:val="auto"/>
        </w:rPr>
      </w:pPr>
      <w:r>
        <w:rPr>
          <w:rFonts w:ascii="宋体" w:hAnsi="宋体" w:cs="宋体"/>
          <w:color w:val="auto"/>
        </w:rPr>
        <w:t>a1</w:t>
      </w:r>
      <w:r>
        <w:rPr>
          <w:rFonts w:hint="eastAsia" w:ascii="宋体" w:hAnsi="宋体" w:cs="宋体"/>
          <w:color w:val="auto"/>
        </w:rPr>
        <w:t>所质疑的具体事项事实存在的证明材料；</w:t>
      </w:r>
    </w:p>
    <w:p>
      <w:pPr>
        <w:pStyle w:val="33"/>
        <w:widowControl/>
        <w:spacing w:line="360" w:lineRule="auto"/>
        <w:ind w:firstLine="480"/>
        <w:rPr>
          <w:rFonts w:ascii="宋体" w:hAnsi="宋体"/>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3"/>
        <w:widowControl/>
        <w:spacing w:line="360" w:lineRule="auto"/>
        <w:ind w:firstLine="480"/>
        <w:rPr>
          <w:rFonts w:ascii="宋体" w:hAnsi="宋体"/>
          <w:color w:val="auto"/>
        </w:rPr>
      </w:pPr>
      <w:r>
        <w:rPr>
          <w:rFonts w:hint="eastAsia" w:ascii="宋体" w:hAnsi="宋体" w:cs="宋体"/>
          <w:color w:val="auto"/>
        </w:rPr>
        <w:t>⑤针对质疑事项提出的明确请求和法律依据，</w:t>
      </w:r>
    </w:p>
    <w:p>
      <w:pPr>
        <w:pStyle w:val="33"/>
        <w:widowControl/>
        <w:spacing w:line="360" w:lineRule="auto"/>
        <w:ind w:firstLine="480"/>
        <w:rPr>
          <w:rFonts w:ascii="宋体" w:hAnsi="宋体"/>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⑥提出质疑的日期以及质疑人代表联系方式，至少包括：姓名、手机、电子信箱、邮寄地址等。</w:t>
      </w:r>
    </w:p>
    <w:p>
      <w:pPr>
        <w:pStyle w:val="33"/>
        <w:widowControl/>
        <w:spacing w:line="360" w:lineRule="auto"/>
        <w:rPr>
          <w:rFonts w:ascii="宋体" w:hAnsi="宋体"/>
          <w:color w:val="auto"/>
        </w:rPr>
      </w:pPr>
      <w:r>
        <w:rPr>
          <w:rFonts w:ascii="宋体" w:hAnsi="宋体" w:cs="宋体"/>
          <w:color w:val="auto"/>
        </w:rPr>
        <w:t>  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33"/>
        <w:widowControl/>
        <w:spacing w:line="360" w:lineRule="auto"/>
        <w:rPr>
          <w:rFonts w:ascii="宋体" w:hAnsi="宋体"/>
          <w:color w:val="auto"/>
        </w:rPr>
      </w:pPr>
      <w:r>
        <w:rPr>
          <w:rFonts w:ascii="宋体" w:hAnsi="宋体" w:cs="宋体"/>
          <w:color w:val="auto"/>
        </w:rPr>
        <w:t>  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33"/>
        <w:widowControl/>
        <w:spacing w:line="360" w:lineRule="auto"/>
        <w:ind w:firstLine="480"/>
        <w:rPr>
          <w:rFonts w:ascii="宋体" w:hAnsi="宋体"/>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3"/>
        <w:widowControl/>
        <w:spacing w:line="360" w:lineRule="auto"/>
        <w:ind w:firstLine="480"/>
        <w:rPr>
          <w:rFonts w:ascii="宋体" w:hAnsi="宋体"/>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33"/>
        <w:widowControl/>
        <w:spacing w:line="360" w:lineRule="auto"/>
        <w:rPr>
          <w:rFonts w:ascii="宋体" w:hAnsi="宋体"/>
          <w:color w:val="auto"/>
        </w:rPr>
      </w:pPr>
      <w:r>
        <w:rPr>
          <w:rFonts w:ascii="宋体" w:hAnsi="宋体" w:cs="宋体"/>
          <w:color w:val="auto"/>
        </w:rPr>
        <w:t>  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33"/>
        <w:widowControl/>
        <w:spacing w:line="360" w:lineRule="auto"/>
        <w:rPr>
          <w:rFonts w:ascii="宋体" w:hAnsi="宋体"/>
          <w:color w:val="auto"/>
        </w:rPr>
      </w:pPr>
      <w:r>
        <w:rPr>
          <w:rStyle w:val="39"/>
          <w:rFonts w:ascii="宋体" w:hAnsi="宋体" w:cs="宋体"/>
          <w:color w:val="auto"/>
        </w:rPr>
        <w:t>21.</w:t>
      </w:r>
      <w:r>
        <w:rPr>
          <w:rStyle w:val="39"/>
          <w:rFonts w:hint="eastAsia" w:ascii="宋体" w:hAnsi="宋体" w:cs="宋体"/>
          <w:color w:val="auto"/>
        </w:rPr>
        <w:t>投诉</w:t>
      </w:r>
    </w:p>
    <w:p>
      <w:pPr>
        <w:pStyle w:val="33"/>
        <w:widowControl/>
        <w:spacing w:line="360" w:lineRule="auto"/>
        <w:rPr>
          <w:rFonts w:ascii="宋体" w:hAnsi="宋体"/>
          <w:color w:val="auto"/>
        </w:rPr>
      </w:pPr>
      <w:r>
        <w:rPr>
          <w:rFonts w:ascii="宋体" w:hAnsi="宋体" w:cs="宋体"/>
          <w:color w:val="auto"/>
        </w:rPr>
        <w:t>  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33"/>
        <w:widowControl/>
        <w:spacing w:line="360" w:lineRule="auto"/>
        <w:rPr>
          <w:rFonts w:ascii="宋体" w:hAnsi="宋体" w:cs="宋体"/>
          <w:color w:val="auto"/>
        </w:rPr>
      </w:pPr>
      <w:r>
        <w:rPr>
          <w:rFonts w:ascii="宋体" w:hAnsi="宋体" w:cs="宋体"/>
          <w:color w:val="auto"/>
        </w:rPr>
        <w:t>  21.1</w:t>
      </w:r>
      <w:r>
        <w:rPr>
          <w:rFonts w:hint="eastAsia" w:ascii="宋体" w:hAnsi="宋体" w:cs="宋体"/>
          <w:color w:val="auto"/>
        </w:rPr>
        <w:t>投诉应有明确的请求和必要的证明材料，投诉的事项不得超出已质疑事项的范围。</w:t>
      </w:r>
      <w:bookmarkStart w:id="17" w:name="_Toc511891594"/>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七、有关信息公告和监督部门</w:t>
      </w:r>
      <w:bookmarkEnd w:id="17"/>
      <w:r>
        <w:rPr>
          <w:rStyle w:val="39"/>
          <w:rFonts w:ascii="宋体" w:hAnsi="宋体" w:eastAsia="宋体" w:cs="宋体"/>
          <w:color w:val="auto"/>
          <w:sz w:val="32"/>
          <w:szCs w:val="32"/>
        </w:rPr>
        <w:t> </w:t>
      </w:r>
    </w:p>
    <w:p>
      <w:pPr>
        <w:pStyle w:val="33"/>
        <w:widowControl/>
        <w:spacing w:line="360" w:lineRule="auto"/>
        <w:rPr>
          <w:rFonts w:ascii="宋体" w:hAnsi="宋体"/>
          <w:color w:val="auto"/>
        </w:rPr>
      </w:pPr>
      <w:r>
        <w:rPr>
          <w:rStyle w:val="39"/>
          <w:rFonts w:ascii="宋体" w:hAnsi="宋体" w:cs="宋体"/>
          <w:color w:val="auto"/>
        </w:rPr>
        <w:t>22.</w:t>
      </w:r>
      <w:r>
        <w:rPr>
          <w:rStyle w:val="39"/>
          <w:rFonts w:hint="eastAsia" w:ascii="宋体" w:hAnsi="宋体" w:cs="宋体"/>
          <w:color w:val="auto"/>
        </w:rPr>
        <w:t>政府采购信息公告媒体</w:t>
      </w:r>
    </w:p>
    <w:p>
      <w:pPr>
        <w:pStyle w:val="33"/>
        <w:widowControl/>
        <w:spacing w:line="360" w:lineRule="auto"/>
        <w:rPr>
          <w:rFonts w:ascii="宋体" w:hAnsi="宋体"/>
          <w:color w:val="auto"/>
        </w:rPr>
      </w:pPr>
      <w:r>
        <w:rPr>
          <w:rFonts w:ascii="宋体" w:hAnsi="宋体" w:cs="宋体"/>
          <w:color w:val="auto"/>
        </w:rPr>
        <w:t>  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3"/>
        <w:widowControl/>
        <w:spacing w:line="360" w:lineRule="auto"/>
        <w:rPr>
          <w:rFonts w:ascii="宋体" w:hAnsi="宋体"/>
          <w:color w:val="auto"/>
        </w:rPr>
      </w:pPr>
      <w:r>
        <w:rPr>
          <w:rFonts w:ascii="宋体" w:hAnsi="宋体" w:cs="宋体"/>
          <w:color w:val="auto"/>
        </w:rPr>
        <w:t>  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33"/>
        <w:widowControl/>
        <w:spacing w:line="360" w:lineRule="auto"/>
        <w:rPr>
          <w:rFonts w:ascii="宋体" w:hAnsi="宋体"/>
          <w:color w:val="auto"/>
        </w:rPr>
      </w:pPr>
      <w:r>
        <w:rPr>
          <w:rStyle w:val="39"/>
          <w:rFonts w:ascii="宋体" w:hAnsi="宋体" w:cs="宋体"/>
          <w:color w:val="auto"/>
        </w:rPr>
        <w:t>23.</w:t>
      </w:r>
      <w:r>
        <w:rPr>
          <w:rStyle w:val="39"/>
          <w:rFonts w:hint="eastAsia" w:ascii="宋体" w:hAnsi="宋体" w:cs="宋体"/>
          <w:color w:val="auto"/>
        </w:rPr>
        <w:t>监督管理部门</w:t>
      </w:r>
    </w:p>
    <w:p>
      <w:pPr>
        <w:pStyle w:val="33"/>
        <w:widowControl/>
        <w:spacing w:line="360" w:lineRule="auto"/>
        <w:rPr>
          <w:rStyle w:val="39"/>
          <w:rFonts w:ascii="宋体" w:hAnsi="宋体" w:cs="宋体"/>
          <w:color w:val="auto"/>
          <w:sz w:val="32"/>
          <w:szCs w:val="32"/>
        </w:rPr>
      </w:pPr>
      <w:r>
        <w:rPr>
          <w:rFonts w:ascii="宋体" w:hAnsi="宋体" w:cs="宋体"/>
          <w:color w:val="auto"/>
        </w:rPr>
        <w:t>  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r>
        <w:rPr>
          <w:rStyle w:val="39"/>
          <w:rFonts w:ascii="宋体" w:hAnsi="宋体" w:cs="宋体"/>
          <w:color w:val="auto"/>
        </w:rPr>
        <w:t> </w:t>
      </w:r>
      <w:bookmarkStart w:id="18" w:name="_Toc511891595"/>
    </w:p>
    <w:p>
      <w:pPr>
        <w:pStyle w:val="74"/>
        <w:spacing w:before="0" w:after="0" w:line="360" w:lineRule="auto"/>
        <w:rPr>
          <w:rStyle w:val="39"/>
          <w:rFonts w:hint="eastAsia" w:ascii="宋体" w:hAnsi="宋体" w:eastAsia="宋体" w:cs="宋体"/>
          <w:color w:val="auto"/>
          <w:sz w:val="32"/>
          <w:szCs w:val="32"/>
        </w:rPr>
      </w:pPr>
    </w:p>
    <w:p>
      <w:pPr>
        <w:pStyle w:val="74"/>
        <w:spacing w:before="0" w:after="0" w:line="360" w:lineRule="auto"/>
        <w:rPr>
          <w:rStyle w:val="39"/>
          <w:rFonts w:ascii="宋体" w:hAnsi="宋体" w:eastAsia="宋体" w:cs="宋体"/>
          <w:color w:val="auto"/>
          <w:sz w:val="32"/>
          <w:szCs w:val="32"/>
        </w:rPr>
      </w:pPr>
      <w:r>
        <w:rPr>
          <w:rStyle w:val="39"/>
          <w:rFonts w:hint="eastAsia" w:ascii="宋体" w:hAnsi="宋体" w:eastAsia="宋体" w:cs="宋体"/>
          <w:color w:val="auto"/>
          <w:sz w:val="32"/>
          <w:szCs w:val="32"/>
        </w:rPr>
        <w:t>八、根据采购项目特点或政策需要补充的其他内容</w:t>
      </w:r>
      <w:bookmarkEnd w:id="18"/>
    </w:p>
    <w:p>
      <w:pPr>
        <w:pStyle w:val="33"/>
        <w:widowControl/>
        <w:spacing w:line="360" w:lineRule="auto"/>
        <w:rPr>
          <w:rFonts w:ascii="宋体" w:hAnsi="宋体"/>
          <w:color w:val="auto"/>
        </w:rPr>
      </w:pPr>
      <w:r>
        <w:rPr>
          <w:rStyle w:val="39"/>
          <w:rFonts w:ascii="宋体" w:hAnsi="宋体" w:cs="宋体"/>
          <w:color w:val="auto"/>
        </w:rPr>
        <w:t>24.</w:t>
      </w:r>
      <w:r>
        <w:rPr>
          <w:rStyle w:val="39"/>
          <w:rFonts w:hint="eastAsia" w:ascii="宋体" w:hAnsi="宋体" w:cs="宋体"/>
          <w:color w:val="auto"/>
        </w:rPr>
        <w:t>履约保证金</w:t>
      </w:r>
    </w:p>
    <w:p>
      <w:pPr>
        <w:pStyle w:val="33"/>
        <w:widowControl/>
        <w:spacing w:line="360" w:lineRule="auto"/>
        <w:rPr>
          <w:rFonts w:ascii="宋体" w:hAnsi="宋体"/>
          <w:color w:val="auto"/>
        </w:rPr>
      </w:pP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采购人可以根据项目特点和需要，确定是否要求成交供应商在合同签订前，按照谈判文件规定的时间、形式、金额提交履约保证金，履约保证金的数额不超过成交合同金额的5</w:t>
      </w:r>
      <w:r>
        <w:rPr>
          <w:rFonts w:ascii="宋体" w:hAnsi="宋体" w:cs="宋体"/>
          <w:color w:val="auto"/>
        </w:rPr>
        <w:t>%</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33"/>
        <w:widowControl/>
        <w:spacing w:line="360" w:lineRule="auto"/>
        <w:rPr>
          <w:rFonts w:ascii="宋体" w:hAnsi="宋体" w:cs="宋体"/>
          <w:color w:val="auto"/>
        </w:rPr>
      </w:pPr>
      <w:r>
        <w:rPr>
          <w:rFonts w:ascii="宋体" w:hAnsi="宋体" w:cs="宋体"/>
          <w:color w:val="auto"/>
        </w:rPr>
        <w:t>  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tabs>
          <w:tab w:val="left" w:pos="0"/>
          <w:tab w:val="left" w:pos="180"/>
        </w:tabs>
        <w:adjustRightInd w:val="0"/>
        <w:snapToGrid w:val="0"/>
        <w:spacing w:line="360" w:lineRule="auto"/>
        <w:jc w:val="left"/>
        <w:rPr>
          <w:rStyle w:val="39"/>
          <w:rFonts w:ascii="宋体" w:hAnsi="宋体" w:cs="宋体"/>
          <w:color w:val="auto"/>
          <w:kern w:val="0"/>
          <w:szCs w:val="22"/>
        </w:rPr>
      </w:pPr>
      <w:r>
        <w:rPr>
          <w:rStyle w:val="39"/>
          <w:rFonts w:hint="eastAsia" w:ascii="宋体" w:hAnsi="宋体" w:cs="宋体"/>
          <w:color w:val="auto"/>
          <w:kern w:val="0"/>
          <w:sz w:val="24"/>
        </w:rPr>
        <w:t>25.货款结算</w:t>
      </w:r>
    </w:p>
    <w:p>
      <w:pPr>
        <w:pStyle w:val="33"/>
        <w:widowControl/>
        <w:spacing w:line="360" w:lineRule="auto"/>
        <w:rPr>
          <w:rFonts w:ascii="宋体" w:hAnsi="宋体" w:cs="宋体"/>
          <w:color w:val="auto"/>
        </w:rPr>
      </w:pPr>
      <w:r>
        <w:rPr>
          <w:rFonts w:hint="eastAsia" w:ascii="宋体" w:hAnsi="宋体" w:cs="宋体"/>
          <w:color w:val="auto"/>
        </w:rPr>
        <w:t>25.1 以成交供应商的成交价为准。</w:t>
      </w:r>
    </w:p>
    <w:p>
      <w:pPr>
        <w:pStyle w:val="33"/>
        <w:widowControl/>
        <w:spacing w:line="360" w:lineRule="auto"/>
        <w:rPr>
          <w:rFonts w:ascii="宋体" w:hAnsi="宋体" w:cs="宋体"/>
          <w:color w:val="auto"/>
        </w:rPr>
      </w:pPr>
      <w:r>
        <w:rPr>
          <w:rFonts w:hint="eastAsia" w:ascii="宋体" w:hAnsi="宋体" w:cs="宋体"/>
          <w:color w:val="auto"/>
        </w:rPr>
        <w:t>25.2 成交供应商应开具销货税务发票（非本成交供应商开具的销货税务发票无效）。</w:t>
      </w:r>
    </w:p>
    <w:p>
      <w:pPr>
        <w:pStyle w:val="33"/>
        <w:widowControl/>
        <w:spacing w:line="360" w:lineRule="auto"/>
        <w:rPr>
          <w:rFonts w:ascii="宋体" w:hAnsi="宋体" w:cs="宋体"/>
          <w:color w:val="auto"/>
        </w:rPr>
      </w:pPr>
      <w:r>
        <w:rPr>
          <w:rFonts w:hint="eastAsia" w:ascii="宋体" w:hAnsi="宋体" w:cs="宋体"/>
          <w:color w:val="auto"/>
        </w:rPr>
        <w:t>25.3成交的供应商、收款单位、购货票证开票单位三者应一致；成交供应商收款账号应为经人民银行批准的收款单位银行账号。</w:t>
      </w:r>
    </w:p>
    <w:p>
      <w:pPr>
        <w:spacing w:line="360" w:lineRule="auto"/>
        <w:rPr>
          <w:rFonts w:ascii="宋体" w:hAnsi="宋体" w:cs="宋体"/>
          <w:b/>
          <w:color w:val="auto"/>
          <w:szCs w:val="20"/>
        </w:rPr>
      </w:pPr>
      <w:r>
        <w:rPr>
          <w:rStyle w:val="39"/>
          <w:rFonts w:hint="eastAsia" w:ascii="宋体" w:hAnsi="宋体" w:cs="宋体"/>
          <w:color w:val="auto"/>
          <w:kern w:val="0"/>
          <w:sz w:val="24"/>
        </w:rPr>
        <w:t>26.注意事项：</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26.1投标人应遵守国家有关法律、规章，不得提供虚假资料，不得串通报价；成交供应商产生后，不得拒绝签订《采购合同》，否则将没收其投标保证金。</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26.2成交供应商应认真履行《采购合同》做好相关服务工作，否则采购管理部门将按有关规定进行处罚。</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26.3本项目不允许中标人以任何名义和理由进行转包，如有发现，采购人有权单方中止合同，且中标人必须赔偿由此给采购人带来的一切损失。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26.4本询价文件中所发生的一切费用均包含在投标总价中。</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26.5中标人应保证采购人不受到第三方关于侵犯版权和专利权的指控，任何第三方如果提出指控，中标人应与第三方交涉，承担可能发生的一切法律责任、费用和后果，并赔偿采购人的损失。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26.6本次采购不单独提供询价货物使用地自然环境、气候条件、公用设施等情况，投标人被视为熟悉上述与履行合同有关的一切情况。</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26.7响应文件一旦递交，概不退还。</w:t>
      </w:r>
    </w:p>
    <w:p>
      <w:pPr>
        <w:pStyle w:val="33"/>
        <w:widowControl/>
        <w:spacing w:line="360" w:lineRule="auto"/>
        <w:rPr>
          <w:rFonts w:ascii="宋体" w:hAnsi="宋体"/>
          <w:color w:val="auto"/>
        </w:rPr>
      </w:pPr>
      <w:r>
        <w:rPr>
          <w:rStyle w:val="39"/>
          <w:rFonts w:ascii="宋体" w:hAnsi="宋体" w:cs="宋体"/>
          <w:color w:val="auto"/>
        </w:rPr>
        <w:t>2</w:t>
      </w:r>
      <w:r>
        <w:rPr>
          <w:rStyle w:val="39"/>
          <w:rFonts w:hint="eastAsia" w:ascii="宋体" w:hAnsi="宋体" w:cs="宋体"/>
          <w:color w:val="auto"/>
        </w:rPr>
        <w:t>7</w:t>
      </w:r>
      <w:r>
        <w:rPr>
          <w:rStyle w:val="39"/>
          <w:rFonts w:ascii="宋体" w:hAnsi="宋体" w:cs="宋体"/>
          <w:color w:val="auto"/>
        </w:rPr>
        <w:t>.</w:t>
      </w:r>
      <w:r>
        <w:rPr>
          <w:rStyle w:val="39"/>
          <w:rFonts w:hint="eastAsia" w:ascii="宋体" w:hAnsi="宋体" w:cs="宋体"/>
          <w:color w:val="auto"/>
        </w:rPr>
        <w:t>其他新增内容：</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79"/>
        <w:rPr>
          <w:rStyle w:val="39"/>
          <w:rFonts w:ascii="宋体" w:hAnsi="宋体" w:eastAsia="宋体" w:cs="宋体"/>
          <w:color w:val="auto"/>
          <w:sz w:val="32"/>
          <w:szCs w:val="32"/>
        </w:rPr>
      </w:pPr>
      <w:bookmarkStart w:id="19" w:name="_Toc511891596"/>
    </w:p>
    <w:bookmarkEnd w:id="19"/>
    <w:p>
      <w:pPr>
        <w:pStyle w:val="79"/>
        <w:keepNext w:val="0"/>
        <w:keepLines w:val="0"/>
        <w:pageBreakBefore w:val="0"/>
        <w:kinsoku/>
        <w:wordWrap/>
        <w:overflowPunct/>
        <w:topLinePunct w:val="0"/>
        <w:bidi w:val="0"/>
        <w:snapToGrid/>
        <w:spacing w:before="0" w:after="0" w:line="360" w:lineRule="auto"/>
        <w:textAlignment w:val="auto"/>
        <w:rPr>
          <w:rStyle w:val="39"/>
          <w:rFonts w:ascii="宋体" w:hAnsi="宋体" w:eastAsia="宋体" w:cs="宋体"/>
          <w:color w:val="auto"/>
          <w:sz w:val="32"/>
          <w:szCs w:val="32"/>
        </w:rPr>
      </w:pPr>
      <w:bookmarkStart w:id="20" w:name="_Toc511891597"/>
      <w:r>
        <w:rPr>
          <w:rStyle w:val="39"/>
          <w:rFonts w:hint="eastAsia" w:ascii="宋体" w:hAnsi="宋体" w:eastAsia="宋体" w:cs="宋体"/>
          <w:color w:val="auto"/>
          <w:sz w:val="32"/>
          <w:szCs w:val="32"/>
        </w:rPr>
        <w:t>第三章</w:t>
      </w:r>
      <w:r>
        <w:rPr>
          <w:rStyle w:val="39"/>
          <w:rFonts w:ascii="宋体" w:hAnsi="宋体" w:eastAsia="宋体" w:cs="宋体"/>
          <w:color w:val="auto"/>
          <w:sz w:val="32"/>
          <w:szCs w:val="32"/>
        </w:rPr>
        <w:t>  </w:t>
      </w:r>
      <w:r>
        <w:rPr>
          <w:rStyle w:val="39"/>
          <w:rFonts w:hint="eastAsia" w:ascii="宋体" w:hAnsi="宋体" w:eastAsia="宋体" w:cs="宋体"/>
          <w:color w:val="auto"/>
          <w:sz w:val="32"/>
          <w:szCs w:val="32"/>
        </w:rPr>
        <w:t>采购内容及要求</w:t>
      </w:r>
    </w:p>
    <w:p>
      <w:pPr>
        <w:pStyle w:val="48"/>
        <w:keepNext w:val="0"/>
        <w:keepLines w:val="0"/>
        <w:pageBreakBefore w:val="0"/>
        <w:kinsoku/>
        <w:wordWrap/>
        <w:overflowPunct/>
        <w:topLinePunct w:val="0"/>
        <w:bidi w:val="0"/>
        <w:snapToGrid/>
        <w:spacing w:line="360" w:lineRule="auto"/>
        <w:ind w:firstLine="241" w:firstLineChars="100"/>
        <w:textAlignment w:val="auto"/>
        <w:rPr>
          <w:rFonts w:ascii="宋体" w:hAnsi="宋体" w:cs="宋体"/>
          <w:b/>
          <w:color w:val="auto"/>
        </w:rPr>
      </w:pPr>
      <w:r>
        <w:rPr>
          <w:rFonts w:hint="eastAsia"/>
          <w:b/>
          <w:color w:val="auto"/>
        </w:rPr>
        <w:t>一、</w:t>
      </w:r>
      <w:r>
        <w:rPr>
          <w:rFonts w:hint="eastAsia" w:ascii="宋体" w:hAnsi="宋体" w:cs="宋体"/>
          <w:b/>
          <w:color w:val="auto"/>
        </w:rPr>
        <w:t>项目概况</w:t>
      </w:r>
    </w:p>
    <w:p>
      <w:pPr>
        <w:pStyle w:val="3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lang w:val="en-US" w:eastAsia="zh-CN"/>
        </w:rPr>
      </w:pPr>
      <w:r>
        <w:rPr>
          <w:rFonts w:hint="eastAsia" w:ascii="宋体" w:hAnsi="宋体" w:cs="宋体"/>
          <w:b w:val="0"/>
          <w:bCs/>
          <w:color w:val="auto"/>
          <w:lang w:val="en-US" w:eastAsia="zh-CN"/>
        </w:rPr>
        <w:t>本次采购设备可适用于新建第二田径场不可以移动设施设备的配置需求，提高学校师生教学、训练、竞赛的安全性，圆满完成第40届校运动会保障任务。更新有利于提高较为先进的辅助教学训练以及竞赛成绩。对提高体育课堂教学质量，保持和延续学生较高的学习兴趣，增进学生的健康提供有力保障。</w:t>
      </w:r>
    </w:p>
    <w:p>
      <w:pPr>
        <w:pStyle w:val="33"/>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bCs/>
          <w:color w:val="auto"/>
        </w:rPr>
      </w:pPr>
      <w:r>
        <w:rPr>
          <w:rFonts w:hint="eastAsia" w:ascii="宋体" w:hAnsi="宋体" w:cs="宋体"/>
          <w:b/>
          <w:color w:val="auto"/>
        </w:rPr>
        <w:t>二</w:t>
      </w:r>
      <w:r>
        <w:rPr>
          <w:rFonts w:hint="eastAsia" w:ascii="宋体" w:hAnsi="宋体" w:cs="宋体"/>
          <w:b/>
          <w:color w:val="auto"/>
          <w:lang w:eastAsia="zh-CN"/>
        </w:rPr>
        <w:t>、</w:t>
      </w:r>
      <w:r>
        <w:rPr>
          <w:rFonts w:hint="eastAsia" w:ascii="宋体" w:hAnsi="宋体" w:cs="宋体"/>
          <w:b/>
          <w:color w:val="auto"/>
        </w:rPr>
        <w:t>基本技术参数及要求</w:t>
      </w:r>
    </w:p>
    <w:p>
      <w:pPr>
        <w:keepNext w:val="0"/>
        <w:keepLines w:val="0"/>
        <w:pageBreakBefore w:val="0"/>
        <w:kinsoku/>
        <w:wordWrap/>
        <w:overflowPunct/>
        <w:topLinePunct w:val="0"/>
        <w:autoSpaceDE/>
        <w:autoSpaceDN/>
        <w:bidi w:val="0"/>
        <w:adjustRightInd/>
        <w:snapToGrid/>
        <w:spacing w:line="360" w:lineRule="auto"/>
        <w:textAlignment w:val="auto"/>
        <w:rPr>
          <w:color w:val="auto"/>
        </w:rPr>
      </w:pPr>
      <w:r>
        <w:rPr>
          <w:rFonts w:hint="eastAsia" w:ascii="宋体" w:hAnsi="宋体" w:cs="宋体"/>
          <w:b/>
          <w:bCs/>
          <w:color w:val="auto"/>
          <w:sz w:val="24"/>
        </w:rPr>
        <w:t>（一）技术参数</w:t>
      </w:r>
    </w:p>
    <w:tbl>
      <w:tblPr>
        <w:tblStyle w:val="36"/>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31"/>
        <w:gridCol w:w="6862"/>
        <w:gridCol w:w="741"/>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品目号</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商品名称</w:t>
            </w:r>
          </w:p>
        </w:tc>
        <w:tc>
          <w:tcPr>
            <w:tcW w:w="686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参数及规格</w:t>
            </w:r>
          </w:p>
        </w:tc>
        <w:tc>
          <w:tcPr>
            <w:tcW w:w="7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1-1</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r>
              <w:rPr>
                <w:rStyle w:val="109"/>
                <w:rFonts w:hint="eastAsia" w:ascii="宋体" w:hAnsi="宋体" w:eastAsia="宋体" w:cs="宋体"/>
                <w:color w:val="auto"/>
                <w:sz w:val="24"/>
                <w:szCs w:val="24"/>
                <w:lang w:val="en-US" w:eastAsia="zh-CN" w:bidi="ar"/>
              </w:rPr>
              <w:t>跨栏架</w:t>
            </w:r>
          </w:p>
        </w:tc>
        <w:tc>
          <w:tcPr>
            <w:tcW w:w="6862" w:type="dxa"/>
            <w:tcBorders>
              <w:top w:val="single" w:color="auto" w:sz="4" w:space="0"/>
              <w:left w:val="single" w:color="auto" w:sz="4" w:space="0"/>
              <w:bottom w:val="single" w:color="auto" w:sz="4" w:space="0"/>
              <w:right w:val="single" w:color="auto" w:sz="4" w:space="0"/>
            </w:tcBorders>
            <w:vAlign w:val="top"/>
          </w:tcPr>
          <w:p>
            <w:pPr>
              <w:pStyle w:val="2"/>
              <w:ind w:firstLine="0" w:firstLineChars="0"/>
              <w:rPr>
                <w:rFonts w:hint="eastAsia" w:asciiTheme="minorEastAsia" w:hAnsiTheme="minorEastAsia" w:eastAsiaTheme="minorEastAsia"/>
                <w:color w:val="auto"/>
                <w:sz w:val="24"/>
                <w:lang w:bidi="ar"/>
              </w:rPr>
            </w:pPr>
            <w:r>
              <w:rPr>
                <w:rFonts w:asciiTheme="minorEastAsia" w:hAnsiTheme="minorEastAsia" w:eastAsiaTheme="minorEastAsia"/>
                <w:color w:val="auto"/>
                <w:sz w:val="24"/>
                <w:lang w:bidi="ar"/>
              </w:rPr>
              <w:t>1.</w:t>
            </w:r>
            <w:r>
              <w:rPr>
                <w:rFonts w:hint="eastAsia" w:asciiTheme="minorEastAsia" w:hAnsiTheme="minorEastAsia" w:eastAsiaTheme="minorEastAsia"/>
                <w:color w:val="auto"/>
                <w:sz w:val="24"/>
                <w:lang w:bidi="ar"/>
              </w:rPr>
              <w:t>跨栏</w:t>
            </w:r>
            <w:r>
              <w:rPr>
                <w:rFonts w:asciiTheme="minorEastAsia" w:hAnsiTheme="minorEastAsia" w:eastAsiaTheme="minorEastAsia"/>
                <w:color w:val="auto"/>
                <w:sz w:val="24"/>
                <w:lang w:bidi="ar"/>
              </w:rPr>
              <w:t>架</w:t>
            </w:r>
            <w:r>
              <w:rPr>
                <w:rFonts w:hint="eastAsia" w:asciiTheme="minorEastAsia" w:hAnsiTheme="minorEastAsia" w:eastAsiaTheme="minorEastAsia"/>
                <w:color w:val="auto"/>
                <w:sz w:val="24"/>
                <w:lang w:bidi="ar"/>
              </w:rPr>
              <w:t>采用</w:t>
            </w:r>
            <w:r>
              <w:rPr>
                <w:rFonts w:asciiTheme="minorEastAsia" w:hAnsiTheme="minorEastAsia" w:eastAsiaTheme="minorEastAsia"/>
                <w:color w:val="auto"/>
                <w:sz w:val="24"/>
                <w:lang w:bidi="ar"/>
              </w:rPr>
              <w:t>全铝合金材质，</w:t>
            </w:r>
            <w:r>
              <w:rPr>
                <w:rFonts w:hint="eastAsia" w:asciiTheme="minorEastAsia" w:hAnsiTheme="minorEastAsia" w:eastAsiaTheme="minorEastAsia"/>
                <w:color w:val="auto"/>
                <w:sz w:val="24"/>
                <w:lang w:bidi="ar"/>
              </w:rPr>
              <w:t>底座支架为定制</w:t>
            </w:r>
            <w:r>
              <w:rPr>
                <w:rFonts w:asciiTheme="minorEastAsia" w:hAnsiTheme="minorEastAsia" w:eastAsiaTheme="minorEastAsia"/>
                <w:color w:val="auto"/>
                <w:sz w:val="24"/>
                <w:lang w:bidi="ar"/>
              </w:rPr>
              <w:t>铝合金型材，壁厚</w:t>
            </w:r>
            <w:r>
              <w:rPr>
                <w:rFonts w:hint="eastAsia" w:asciiTheme="minorEastAsia" w:hAnsiTheme="minorEastAsia" w:eastAsiaTheme="minorEastAsia"/>
                <w:color w:val="auto"/>
                <w:sz w:val="24"/>
                <w:lang w:bidi="ar"/>
              </w:rPr>
              <w:t>3.5</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横管</w:t>
            </w:r>
            <w:r>
              <w:rPr>
                <w:rFonts w:asciiTheme="minorEastAsia" w:hAnsiTheme="minorEastAsia" w:eastAsiaTheme="minorEastAsia"/>
                <w:color w:val="auto"/>
                <w:sz w:val="24"/>
                <w:lang w:bidi="ar"/>
              </w:rPr>
              <w:t>为</w:t>
            </w:r>
            <w:r>
              <w:rPr>
                <w:rFonts w:hint="eastAsia" w:asciiTheme="minorEastAsia" w:hAnsiTheme="minorEastAsia" w:eastAsiaTheme="minorEastAsia"/>
                <w:color w:val="auto"/>
                <w:sz w:val="24"/>
                <w:lang w:bidi="ar"/>
              </w:rPr>
              <w:t>40*25</w:t>
            </w:r>
            <w:r>
              <w:rPr>
                <w:rFonts w:asciiTheme="minorEastAsia" w:hAnsiTheme="minorEastAsia" w:eastAsiaTheme="minorEastAsia"/>
                <w:color w:val="auto"/>
                <w:sz w:val="24"/>
                <w:lang w:bidi="ar"/>
              </w:rPr>
              <w:t>*</w:t>
            </w:r>
            <w:r>
              <w:rPr>
                <w:rFonts w:hint="eastAsia" w:asciiTheme="minorEastAsia" w:hAnsiTheme="minorEastAsia" w:eastAsiaTheme="minorEastAsia"/>
                <w:color w:val="auto"/>
                <w:sz w:val="24"/>
                <w:lang w:bidi="ar"/>
              </w:rPr>
              <w:t>1.5</w:t>
            </w:r>
            <w:r>
              <w:rPr>
                <w:rFonts w:asciiTheme="minorEastAsia" w:hAnsiTheme="minorEastAsia" w:eastAsiaTheme="minorEastAsia"/>
                <w:color w:val="auto"/>
                <w:sz w:val="24"/>
                <w:lang w:bidi="ar"/>
              </w:rPr>
              <w:t>mm方管，立柱</w:t>
            </w:r>
            <w:r>
              <w:rPr>
                <w:rFonts w:hint="eastAsia" w:asciiTheme="minorEastAsia" w:hAnsiTheme="minorEastAsia" w:eastAsiaTheme="minorEastAsia"/>
                <w:color w:val="auto"/>
                <w:sz w:val="24"/>
                <w:lang w:bidi="ar"/>
              </w:rPr>
              <w:t>为</w:t>
            </w:r>
            <w:r>
              <w:rPr>
                <w:rFonts w:asciiTheme="minorEastAsia" w:hAnsiTheme="minorEastAsia" w:eastAsiaTheme="minorEastAsia"/>
                <w:color w:val="auto"/>
                <w:sz w:val="24"/>
                <w:lang w:bidi="ar"/>
              </w:rPr>
              <w:t>φ32*</w:t>
            </w:r>
            <w:r>
              <w:rPr>
                <w:rFonts w:hint="eastAsia" w:asciiTheme="minorEastAsia" w:hAnsiTheme="minorEastAsia" w:eastAsiaTheme="minorEastAsia"/>
                <w:color w:val="auto"/>
                <w:sz w:val="24"/>
                <w:lang w:bidi="ar"/>
              </w:rPr>
              <w:t>3.5</w:t>
            </w:r>
            <w:r>
              <w:rPr>
                <w:rFonts w:asciiTheme="minorEastAsia" w:hAnsiTheme="minorEastAsia" w:eastAsiaTheme="minorEastAsia"/>
                <w:color w:val="auto"/>
                <w:sz w:val="24"/>
                <w:lang w:bidi="ar"/>
              </w:rPr>
              <w:t>mm圆管，外套管为φ39*1.5mm圆管</w:t>
            </w:r>
          </w:p>
          <w:p>
            <w:pPr>
              <w:pStyle w:val="2"/>
              <w:ind w:firstLine="0" w:firstLineChars="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sz w:val="24"/>
                <w:lang w:bidi="ar"/>
              </w:rPr>
              <w:t>栏板</w:t>
            </w:r>
            <w:r>
              <w:rPr>
                <w:rFonts w:asciiTheme="minorEastAsia" w:hAnsiTheme="minorEastAsia" w:eastAsiaTheme="minorEastAsia"/>
                <w:color w:val="auto"/>
                <w:sz w:val="24"/>
                <w:lang w:bidi="ar"/>
              </w:rPr>
              <w:t>采用</w:t>
            </w:r>
            <w:r>
              <w:rPr>
                <w:rFonts w:hint="eastAsia" w:asciiTheme="minorEastAsia" w:hAnsiTheme="minorEastAsia" w:eastAsiaTheme="minorEastAsia"/>
                <w:color w:val="auto"/>
                <w:sz w:val="24"/>
                <w:lang w:bidi="ar"/>
              </w:rPr>
              <w:t>ABS材质</w:t>
            </w:r>
            <w:r>
              <w:rPr>
                <w:rFonts w:asciiTheme="minorEastAsia" w:hAnsiTheme="minorEastAsia" w:eastAsiaTheme="minorEastAsia"/>
                <w:color w:val="auto"/>
                <w:sz w:val="24"/>
                <w:lang w:bidi="ar"/>
              </w:rPr>
              <w:t>，</w:t>
            </w:r>
            <w:r>
              <w:rPr>
                <w:rFonts w:hint="eastAsia" w:asciiTheme="minorEastAsia" w:hAnsiTheme="minorEastAsia" w:eastAsiaTheme="minorEastAsia"/>
                <w:color w:val="auto"/>
                <w:sz w:val="24"/>
                <w:lang w:bidi="ar"/>
              </w:rPr>
              <w:t>长1200</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高70</w:t>
            </w:r>
            <w:r>
              <w:rPr>
                <w:rFonts w:asciiTheme="minorEastAsia" w:hAnsiTheme="minorEastAsia" w:eastAsiaTheme="minorEastAsia"/>
                <w:color w:val="auto"/>
                <w:sz w:val="24"/>
                <w:lang w:bidi="ar"/>
              </w:rPr>
              <w:t>mm厚</w:t>
            </w:r>
            <w:r>
              <w:rPr>
                <w:rFonts w:hint="eastAsia" w:asciiTheme="minorEastAsia" w:hAnsiTheme="minorEastAsia" w:eastAsiaTheme="minorEastAsia"/>
                <w:color w:val="auto"/>
                <w:sz w:val="24"/>
                <w:lang w:bidi="ar"/>
              </w:rPr>
              <w:t>20</w:t>
            </w:r>
            <w:r>
              <w:rPr>
                <w:rFonts w:asciiTheme="minorEastAsia" w:hAnsiTheme="minorEastAsia" w:eastAsiaTheme="minorEastAsia"/>
                <w:color w:val="auto"/>
                <w:sz w:val="24"/>
                <w:lang w:bidi="ar"/>
              </w:rPr>
              <w:t>mm</w:t>
            </w:r>
          </w:p>
          <w:p>
            <w:pPr>
              <w:pStyle w:val="2"/>
              <w:ind w:firstLine="0" w:firstLineChars="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3</w:t>
            </w:r>
            <w:r>
              <w:rPr>
                <w:rFonts w:asciiTheme="minorEastAsia" w:hAnsiTheme="minorEastAsia" w:eastAsiaTheme="minorEastAsia"/>
                <w:color w:val="auto"/>
                <w:sz w:val="24"/>
                <w:lang w:bidi="ar"/>
              </w:rPr>
              <w:t>.</w:t>
            </w:r>
            <w:r>
              <w:rPr>
                <w:rFonts w:hint="eastAsia" w:asciiTheme="minorEastAsia" w:hAnsiTheme="minorEastAsia" w:eastAsiaTheme="minorEastAsia"/>
                <w:color w:val="auto"/>
                <w:sz w:val="24"/>
                <w:lang w:bidi="ar"/>
              </w:rPr>
              <w:t>底管内</w:t>
            </w:r>
            <w:r>
              <w:rPr>
                <w:rFonts w:asciiTheme="minorEastAsia" w:hAnsiTheme="minorEastAsia" w:eastAsiaTheme="minorEastAsia"/>
                <w:color w:val="auto"/>
                <w:sz w:val="24"/>
                <w:lang w:bidi="ar"/>
              </w:rPr>
              <w:t>置有</w:t>
            </w:r>
            <w:r>
              <w:rPr>
                <w:rFonts w:hint="eastAsia" w:asciiTheme="minorEastAsia" w:hAnsiTheme="minorEastAsia" w:eastAsiaTheme="minorEastAsia"/>
                <w:color w:val="auto"/>
                <w:sz w:val="24"/>
                <w:lang w:bidi="ar"/>
              </w:rPr>
              <w:t>实心</w:t>
            </w:r>
            <w:r>
              <w:rPr>
                <w:rFonts w:asciiTheme="minorEastAsia" w:hAnsiTheme="minorEastAsia" w:eastAsiaTheme="minorEastAsia"/>
                <w:color w:val="auto"/>
                <w:sz w:val="24"/>
                <w:lang w:bidi="ar"/>
              </w:rPr>
              <w:t>圆钢配重，</w:t>
            </w:r>
            <w:r>
              <w:rPr>
                <w:rFonts w:hint="eastAsia" w:asciiTheme="minorEastAsia" w:hAnsiTheme="minorEastAsia" w:eastAsiaTheme="minorEastAsia"/>
                <w:color w:val="auto"/>
                <w:sz w:val="24"/>
                <w:lang w:bidi="ar"/>
              </w:rPr>
              <w:t>满足</w:t>
            </w:r>
            <w:r>
              <w:rPr>
                <w:rFonts w:asciiTheme="minorEastAsia" w:hAnsiTheme="minorEastAsia" w:eastAsiaTheme="minorEastAsia"/>
                <w:color w:val="auto"/>
                <w:sz w:val="24"/>
                <w:lang w:bidi="ar"/>
              </w:rPr>
              <w:t>比赛不同高度的拉倒力。</w:t>
            </w:r>
          </w:p>
          <w:p>
            <w:pPr>
              <w:pStyle w:val="2"/>
              <w:ind w:firstLine="0" w:firstLineChars="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4.</w:t>
            </w:r>
            <w:r>
              <w:rPr>
                <w:rFonts w:hint="eastAsia" w:asciiTheme="minorEastAsia" w:hAnsiTheme="minorEastAsia" w:eastAsiaTheme="minorEastAsia"/>
                <w:color w:val="auto"/>
                <w:sz w:val="24"/>
                <w:lang w:bidi="ar"/>
              </w:rPr>
              <w:t>调节</w:t>
            </w:r>
            <w:r>
              <w:rPr>
                <w:rFonts w:asciiTheme="minorEastAsia" w:hAnsiTheme="minorEastAsia" w:eastAsiaTheme="minorEastAsia"/>
                <w:color w:val="auto"/>
                <w:sz w:val="24"/>
                <w:lang w:bidi="ar"/>
              </w:rPr>
              <w:t>高度</w:t>
            </w:r>
            <w:r>
              <w:rPr>
                <w:rFonts w:hint="eastAsia" w:asciiTheme="minorEastAsia" w:hAnsiTheme="minorEastAsia" w:eastAsiaTheme="minorEastAsia"/>
                <w:color w:val="auto"/>
                <w:sz w:val="24"/>
                <w:lang w:bidi="ar"/>
              </w:rPr>
              <w:t>762</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838</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914</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991</w:t>
            </w:r>
            <w:r>
              <w:rPr>
                <w:rFonts w:asciiTheme="minorEastAsia" w:hAnsiTheme="minorEastAsia" w:eastAsiaTheme="minorEastAsia"/>
                <w:color w:val="auto"/>
                <w:sz w:val="24"/>
                <w:lang w:bidi="ar"/>
              </w:rPr>
              <w:t>mm</w:t>
            </w:r>
            <w:r>
              <w:rPr>
                <w:rFonts w:hint="eastAsia" w:asciiTheme="minorEastAsia" w:hAnsiTheme="minorEastAsia" w:eastAsiaTheme="minorEastAsia"/>
                <w:color w:val="auto"/>
                <w:sz w:val="24"/>
                <w:lang w:bidi="ar"/>
              </w:rPr>
              <w:t>、1067</w:t>
            </w:r>
            <w:r>
              <w:rPr>
                <w:rFonts w:asciiTheme="minorEastAsia" w:hAnsiTheme="minorEastAsia" w:eastAsiaTheme="minorEastAsia"/>
                <w:color w:val="auto"/>
                <w:sz w:val="24"/>
                <w:lang w:bidi="ar"/>
              </w:rPr>
              <w:t>mm，完全符合比赛要求。</w:t>
            </w:r>
          </w:p>
          <w:p>
            <w:pPr>
              <w:keepNext w:val="0"/>
              <w:keepLines w:val="0"/>
              <w:widowControl/>
              <w:suppressLineNumbers w:val="0"/>
              <w:spacing w:line="360" w:lineRule="auto"/>
              <w:jc w:val="left"/>
              <w:textAlignment w:val="top"/>
              <w:rPr>
                <w:rFonts w:hint="eastAsia" w:ascii="宋体" w:hAnsi="宋体" w:eastAsia="宋体" w:cs="宋体"/>
                <w:color w:val="auto"/>
                <w:sz w:val="24"/>
                <w:szCs w:val="24"/>
              </w:rPr>
            </w:pPr>
            <w:r>
              <w:rPr>
                <w:rFonts w:hint="eastAsia" w:asciiTheme="minorEastAsia" w:hAnsiTheme="minorEastAsia" w:eastAsiaTheme="minorEastAsia"/>
                <w:color w:val="auto"/>
                <w:sz w:val="24"/>
                <w:lang w:bidi="ar"/>
              </w:rPr>
              <w:t>5．</w:t>
            </w:r>
            <w:r>
              <w:rPr>
                <w:rFonts w:asciiTheme="minorEastAsia" w:hAnsiTheme="minorEastAsia" w:eastAsiaTheme="minorEastAsia"/>
                <w:color w:val="auto"/>
                <w:sz w:val="24"/>
                <w:lang w:bidi="ar"/>
              </w:rPr>
              <w:t>通过</w:t>
            </w:r>
            <w:r>
              <w:rPr>
                <w:rFonts w:hint="eastAsia" w:asciiTheme="minorEastAsia" w:hAnsiTheme="minorEastAsia" w:eastAsiaTheme="minorEastAsia"/>
                <w:color w:val="auto"/>
                <w:sz w:val="24"/>
                <w:lang w:bidi="ar"/>
              </w:rPr>
              <w:t>国际田联认证</w:t>
            </w:r>
            <w:r>
              <w:rPr>
                <w:rFonts w:asciiTheme="minorEastAsia" w:hAnsiTheme="minorEastAsia" w:eastAsiaTheme="minorEastAsia"/>
                <w:color w:val="auto"/>
                <w:sz w:val="24"/>
                <w:lang w:bidi="ar"/>
              </w:rPr>
              <w:t>。</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起跑器</w:t>
            </w:r>
          </w:p>
        </w:tc>
        <w:tc>
          <w:tcPr>
            <w:tcW w:w="68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1.起跑器主要由底座和踏脚座组成。</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2.起跑器底座采用铝合金制作，通过鞋钉与地面接触，防止移位。</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3.起跑器踏脚座分固定座和活动座，均为铝铸件，活动座面板采用跑道橡胶层，起防滑作用，活动座面板角度可调。</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4.起跑器设置不锈钢把手，移动方便。</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材质：铝合金</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参数：</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踏脚座： 长21cm，宽13cm，高12cm  6档调节</w:t>
            </w:r>
          </w:p>
          <w:p>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踏脚座：12x18cm</w:t>
            </w:r>
          </w:p>
          <w:p>
            <w:pPr>
              <w:widowControl/>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底座槽钢：长85cm,宽8cm，厚7mm 高5cm   净重5.4kg</w:t>
            </w:r>
          </w:p>
          <w:p>
            <w:pPr>
              <w:widowControl/>
              <w:spacing w:line="360" w:lineRule="auto"/>
              <w:jc w:val="left"/>
              <w:textAlignment w:val="center"/>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一付起跑器</w:t>
            </w:r>
            <w:r>
              <w:rPr>
                <w:rFonts w:asciiTheme="minorEastAsia" w:hAnsiTheme="minorEastAsia" w:eastAsiaTheme="minorEastAsia"/>
                <w:color w:val="auto"/>
                <w:sz w:val="24"/>
                <w:lang w:bidi="ar"/>
              </w:rPr>
              <w:t>总重</w:t>
            </w:r>
            <w:r>
              <w:rPr>
                <w:rFonts w:hint="eastAsia" w:asciiTheme="minorEastAsia" w:hAnsiTheme="minorEastAsia" w:eastAsiaTheme="minorEastAsia"/>
                <w:color w:val="auto"/>
                <w:sz w:val="24"/>
                <w:lang w:bidi="ar"/>
              </w:rPr>
              <w:t>1</w:t>
            </w:r>
            <w:r>
              <w:rPr>
                <w:rFonts w:asciiTheme="minorEastAsia" w:hAnsiTheme="minorEastAsia" w:eastAsiaTheme="minorEastAsia"/>
                <w:color w:val="auto"/>
                <w:sz w:val="24"/>
                <w:lang w:bidi="ar"/>
              </w:rPr>
              <w:t>4</w:t>
            </w:r>
            <w:r>
              <w:rPr>
                <w:rFonts w:hint="eastAsia" w:asciiTheme="minorEastAsia" w:hAnsiTheme="minorEastAsia" w:eastAsiaTheme="minorEastAsia"/>
                <w:color w:val="auto"/>
                <w:sz w:val="24"/>
                <w:lang w:bidi="ar"/>
              </w:rPr>
              <w:t>.4</w:t>
            </w:r>
            <w:r>
              <w:rPr>
                <w:rFonts w:asciiTheme="minorEastAsia" w:hAnsiTheme="minorEastAsia" w:eastAsiaTheme="minorEastAsia"/>
                <w:color w:val="auto"/>
                <w:sz w:val="24"/>
                <w:lang w:bidi="ar"/>
              </w:rPr>
              <w:t>kg</w:t>
            </w:r>
          </w:p>
          <w:p>
            <w:pPr>
              <w:keepNext w:val="0"/>
              <w:keepLines w:val="0"/>
              <w:widowControl/>
              <w:suppressLineNumbers w:val="0"/>
              <w:spacing w:line="360" w:lineRule="auto"/>
              <w:jc w:val="left"/>
              <w:textAlignment w:val="center"/>
              <w:rPr>
                <w:rFonts w:hint="eastAsia" w:ascii="宋体" w:hAnsi="宋体" w:eastAsia="宋体" w:cs="宋体"/>
                <w:color w:val="auto"/>
                <w:sz w:val="24"/>
                <w:szCs w:val="24"/>
              </w:rPr>
            </w:pPr>
            <w:r>
              <w:rPr>
                <w:rFonts w:hint="eastAsia" w:asciiTheme="minorEastAsia" w:hAnsiTheme="minorEastAsia" w:eastAsiaTheme="minorEastAsia"/>
                <w:color w:val="auto"/>
                <w:sz w:val="24"/>
                <w:lang w:bidi="ar"/>
              </w:rPr>
              <w:t>5.</w:t>
            </w:r>
            <w:r>
              <w:rPr>
                <w:color w:val="auto"/>
                <w:sz w:val="24"/>
                <w:lang w:bidi="ar"/>
              </w:rPr>
              <w:t>通过国际田联认证。</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1-3</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发令台（烟屏）</w:t>
            </w:r>
          </w:p>
        </w:tc>
        <w:tc>
          <w:tcPr>
            <w:tcW w:w="6862" w:type="dxa"/>
            <w:tcBorders>
              <w:top w:val="single" w:color="auto" w:sz="4" w:space="0"/>
              <w:left w:val="single" w:color="auto" w:sz="4" w:space="0"/>
              <w:bottom w:val="single" w:color="auto" w:sz="4" w:space="0"/>
              <w:right w:val="single" w:color="auto" w:sz="4" w:space="0"/>
            </w:tcBorders>
            <w:vAlign w:val="top"/>
          </w:tcPr>
          <w:p>
            <w:pPr>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移动式发令台；长900mm,宽600mm,高580mm，把手和烟平可拆装，存放运输方便。</w:t>
            </w:r>
          </w:p>
          <w:p>
            <w:pPr>
              <w:keepNext w:val="0"/>
              <w:keepLines w:val="0"/>
              <w:widowControl/>
              <w:suppressLineNumbers w:val="0"/>
              <w:spacing w:line="360" w:lineRule="auto"/>
              <w:jc w:val="both"/>
              <w:textAlignment w:val="center"/>
              <w:rPr>
                <w:rFonts w:hint="eastAsia" w:ascii="宋体" w:hAnsi="宋体" w:eastAsia="宋体" w:cs="宋体"/>
                <w:color w:val="auto"/>
                <w:sz w:val="24"/>
                <w:szCs w:val="24"/>
              </w:rPr>
            </w:pP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台</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1-4</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道次牌</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5"/>
              </w:numPr>
              <w:suppressLineNumbers w:val="0"/>
              <w:spacing w:line="360" w:lineRule="auto"/>
              <w:jc w:val="left"/>
              <w:textAlignment w:val="center"/>
              <w:rPr>
                <w:rFonts w:hint="eastAsia" w:ascii="宋体" w:hAnsi="宋体" w:eastAsia="宋体" w:cs="宋体"/>
                <w:color w:val="auto"/>
                <w:sz w:val="24"/>
                <w:szCs w:val="24"/>
              </w:rPr>
            </w:pPr>
            <w:r>
              <w:rPr>
                <w:rFonts w:hint="eastAsia"/>
                <w:color w:val="auto"/>
                <w:sz w:val="24"/>
                <w:lang w:bidi="ar"/>
              </w:rPr>
              <w:t>四面道次墩高度46cm底长45cm上长30cm玻璃钢材质，</w:t>
            </w:r>
            <w:r>
              <w:rPr>
                <w:color w:val="auto"/>
                <w:sz w:val="24"/>
                <w:lang w:bidi="ar"/>
              </w:rPr>
              <w:t>每套8</w:t>
            </w:r>
            <w:r>
              <w:rPr>
                <w:rFonts w:hint="eastAsia"/>
                <w:color w:val="auto"/>
                <w:sz w:val="24"/>
                <w:lang w:bidi="ar"/>
              </w:rPr>
              <w:t>个</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副</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1-5</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电计发令枪、起点终点屏幕、音箱含软件</w:t>
            </w:r>
          </w:p>
        </w:tc>
        <w:tc>
          <w:tcPr>
            <w:tcW w:w="686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line="360" w:lineRule="auto"/>
              <w:jc w:val="left"/>
              <w:textAlignment w:val="top"/>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KTD-192户外防水、单红高亮显示，显示尺寸</w:t>
            </w:r>
            <w:r>
              <w:rPr>
                <w:rFonts w:hint="eastAsia" w:ascii="宋体" w:hAnsi="宋体" w:eastAsia="宋体" w:cs="宋体"/>
                <w:i w:val="0"/>
                <w:iCs w:val="0"/>
                <w:color w:val="auto"/>
                <w:kern w:val="0"/>
                <w:sz w:val="24"/>
                <w:szCs w:val="24"/>
                <w:u w:val="none"/>
                <w:lang w:val="en-US" w:eastAsia="zh-CN" w:bidi="ar"/>
              </w:rPr>
              <w:t>192*96厘米</w:t>
            </w:r>
            <w:r>
              <w:rPr>
                <w:rFonts w:hint="eastAsia" w:ascii="宋体" w:hAnsi="宋体" w:eastAsia="宋体" w:cs="宋体"/>
                <w:i w:val="0"/>
                <w:iCs w:val="0"/>
                <w:color w:val="auto"/>
                <w:kern w:val="0"/>
                <w:sz w:val="24"/>
                <w:szCs w:val="24"/>
                <w:u w:val="none"/>
                <w:lang w:val="en-US" w:eastAsia="zh-CN" w:bidi="ar"/>
              </w:rPr>
              <w:t>，带底座。KTS-192户外防水、单红高亮显示，显示尺寸</w:t>
            </w:r>
            <w:r>
              <w:rPr>
                <w:rFonts w:hint="eastAsia" w:ascii="宋体" w:hAnsi="宋体" w:eastAsia="宋体" w:cs="宋体"/>
                <w:i w:val="0"/>
                <w:iCs w:val="0"/>
                <w:color w:val="auto"/>
                <w:kern w:val="0"/>
                <w:sz w:val="24"/>
                <w:szCs w:val="24"/>
                <w:u w:val="none"/>
                <w:lang w:val="en-US" w:eastAsia="zh-CN" w:bidi="ar"/>
              </w:rPr>
              <w:t>192*96厘</w:t>
            </w:r>
            <w:r>
              <w:rPr>
                <w:rFonts w:hint="eastAsia" w:ascii="宋体" w:hAnsi="宋体" w:eastAsia="宋体" w:cs="宋体"/>
                <w:i w:val="0"/>
                <w:iCs w:val="0"/>
                <w:color w:val="auto"/>
                <w:kern w:val="0"/>
                <w:sz w:val="24"/>
                <w:szCs w:val="24"/>
                <w:u w:val="none"/>
                <w:lang w:val="en-US" w:eastAsia="zh-CN" w:bidi="ar"/>
              </w:rPr>
              <w:t>米，带底座。HJ-03支持无线发令枪、计时精度</w:t>
            </w:r>
            <w:r>
              <w:rPr>
                <w:rFonts w:hint="eastAsia" w:ascii="宋体" w:hAnsi="宋体" w:eastAsia="宋体" w:cs="宋体"/>
                <w:i w:val="0"/>
                <w:iCs w:val="0"/>
                <w:color w:val="auto"/>
                <w:kern w:val="0"/>
                <w:sz w:val="24"/>
                <w:szCs w:val="24"/>
                <w:u w:val="none"/>
                <w:lang w:val="en-US" w:eastAsia="zh-CN" w:bidi="ar"/>
              </w:rPr>
              <w:t>0.01秒</w:t>
            </w:r>
            <w:r>
              <w:rPr>
                <w:rFonts w:hint="eastAsia" w:ascii="宋体" w:hAnsi="宋体" w:eastAsia="宋体" w:cs="宋体"/>
                <w:i w:val="0"/>
                <w:iCs w:val="0"/>
                <w:color w:val="auto"/>
                <w:kern w:val="0"/>
                <w:sz w:val="24"/>
                <w:szCs w:val="24"/>
                <w:u w:val="none"/>
                <w:lang w:val="en-US" w:eastAsia="zh-CN" w:bidi="ar"/>
              </w:rPr>
              <w:t>、对射距离12米以上，语音播报成绩。FS-P03可以切换3种音效、无线发射距离大于300米，闪光灯阳光下可视距离150米以上。810内置无线语音播放模块，无线通讯距离300米以上，发令音效40米以上。</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套</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1-6</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发令枪</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6"/>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配用标准发令弹，射出安全，发火可靠，在全天候训练及比赛使用。</w:t>
            </w:r>
          </w:p>
          <w:p>
            <w:pPr>
              <w:keepNext w:val="0"/>
              <w:keepLines w:val="0"/>
              <w:widowControl/>
              <w:numPr>
                <w:ilvl w:val="0"/>
                <w:numId w:val="6"/>
              </w:numPr>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每次装弹两发，射出方式为单发。</w:t>
            </w:r>
          </w:p>
          <w:p>
            <w:pPr>
              <w:keepNext w:val="0"/>
              <w:keepLines w:val="0"/>
              <w:widowControl/>
              <w:numPr>
                <w:ilvl w:val="0"/>
                <w:numId w:val="6"/>
              </w:numPr>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枪管、击锤、板机、护圈等零件表面经金属氧化处理，表面无锈迹，握把外贴ABS塑 支 1料，且结合牢圈。</w:t>
            </w:r>
          </w:p>
          <w:p>
            <w:pPr>
              <w:keepNext w:val="0"/>
              <w:keepLines w:val="0"/>
              <w:widowControl/>
              <w:numPr>
                <w:ilvl w:val="0"/>
                <w:numId w:val="6"/>
              </w:numPr>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扳机击发和击锤扳开无过紧、过松或卡死现象</w:t>
            </w:r>
          </w:p>
          <w:p>
            <w:pPr>
              <w:keepNext w:val="0"/>
              <w:keepLines w:val="0"/>
              <w:widowControl/>
              <w:numPr>
                <w:ilvl w:val="0"/>
                <w:numId w:val="6"/>
              </w:numPr>
              <w:suppressLineNumbers w:val="0"/>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板击的两次击发握力均等于1000N</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把</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1-7</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color w:val="auto"/>
                <w:sz w:val="24"/>
                <w:szCs w:val="24"/>
                <w:lang w:eastAsia="zh-Hans"/>
              </w:rPr>
            </w:pPr>
            <w:r>
              <w:rPr>
                <w:rStyle w:val="109"/>
                <w:rFonts w:hint="eastAsia" w:ascii="宋体" w:hAnsi="宋体" w:eastAsia="宋体" w:cs="宋体"/>
                <w:color w:val="auto"/>
                <w:sz w:val="24"/>
                <w:szCs w:val="24"/>
                <w:lang w:val="en-US" w:eastAsia="zh-CN" w:bidi="ar"/>
              </w:rPr>
              <w:t>发令弹</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金属100粒装、</w:t>
            </w:r>
            <w:r>
              <w:rPr>
                <w:rFonts w:hint="eastAsia" w:ascii="宋体" w:hAnsi="宋体" w:eastAsia="宋体" w:cs="宋体"/>
                <w:i w:val="0"/>
                <w:iCs w:val="0"/>
                <w:color w:val="auto"/>
                <w:kern w:val="0"/>
                <w:sz w:val="24"/>
                <w:szCs w:val="24"/>
                <w:u w:val="none"/>
                <w:lang w:val="en-US" w:eastAsia="zh-CN" w:bidi="ar"/>
              </w:rPr>
              <w:t>5.6*16mm</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盒</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1-8</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秒表</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7"/>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秒表功能</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9小时59分59.99秒，清零后，首8(10/30/60/90/120/150/180)及最后成绩仍可在存储记忆中调出。</w:t>
            </w:r>
          </w:p>
          <w:p>
            <w:pPr>
              <w:keepNext w:val="0"/>
              <w:keepLines w:val="0"/>
              <w:widowControl/>
              <w:numPr>
                <w:ilvl w:val="0"/>
                <w:numId w:val="7"/>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定时器：10小时 倒数计时</w:t>
            </w:r>
          </w:p>
          <w:p>
            <w:pPr>
              <w:keepNext w:val="0"/>
              <w:keepLines w:val="0"/>
              <w:widowControl/>
              <w:numPr>
                <w:ilvl w:val="0"/>
                <w:numId w:val="7"/>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节拍器10种节拍可选(10/20/30/40/60/80/120/160/240/320)</w:t>
            </w:r>
          </w:p>
          <w:p>
            <w:pPr>
              <w:keepNext w:val="0"/>
              <w:keepLines w:val="0"/>
              <w:widowControl/>
              <w:numPr>
                <w:ilvl w:val="0"/>
                <w:numId w:val="7"/>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时钟日历能</w:t>
            </w:r>
          </w:p>
          <w:p>
            <w:pPr>
              <w:keepNext w:val="0"/>
              <w:keepLines w:val="0"/>
              <w:widowControl/>
              <w:numPr>
                <w:ilvl w:val="0"/>
                <w:numId w:val="7"/>
              </w:numPr>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分段次数记录器00-1996.定闹功能显示排数：2显精度：1/100 秒日历和时间功能大屏幕示：</w:t>
            </w:r>
            <w:r>
              <w:rPr>
                <w:rFonts w:hint="eastAsia" w:ascii="宋体" w:hAnsi="宋体" w:eastAsia="宋体" w:cs="宋体"/>
                <w:i w:val="0"/>
                <w:iCs w:val="0"/>
                <w:color w:val="auto"/>
                <w:kern w:val="0"/>
                <w:sz w:val="24"/>
                <w:szCs w:val="24"/>
                <w:u w:val="none"/>
                <w:lang w:val="en-US" w:eastAsia="zh-CN" w:bidi="ar"/>
              </w:rPr>
              <w:t>38*23mm壳体尺寸：¢65*76*16mm</w:t>
            </w:r>
            <w:r>
              <w:rPr>
                <w:rFonts w:hint="eastAsia" w:ascii="宋体" w:hAnsi="宋体" w:eastAsia="宋体" w:cs="宋体"/>
                <w:i w:val="0"/>
                <w:iCs w:val="0"/>
                <w:color w:val="auto"/>
                <w:kern w:val="0"/>
                <w:sz w:val="24"/>
                <w:szCs w:val="24"/>
                <w:u w:val="none"/>
                <w:lang w:val="en-US" w:eastAsia="zh-CN" w:bidi="ar"/>
              </w:rPr>
              <w:t>电池：AG13/LR44/SR44型锂电池</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1-9</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计圈摇铃</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支架使用全钢架构、</w:t>
            </w:r>
            <w:r>
              <w:rPr>
                <w:rFonts w:hint="eastAsia" w:ascii="宋体" w:hAnsi="宋体" w:eastAsia="宋体" w:cs="宋体"/>
                <w:i w:val="0"/>
                <w:iCs w:val="0"/>
                <w:color w:val="auto"/>
                <w:kern w:val="0"/>
                <w:sz w:val="24"/>
                <w:szCs w:val="24"/>
                <w:u w:val="none"/>
                <w:lang w:val="en-US" w:eastAsia="zh-CN" w:bidi="ar"/>
              </w:rPr>
              <w:t>长73*宽21*高43*</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1-10</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铅球</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kern w:val="0"/>
                <w:sz w:val="24"/>
                <w:lang w:bidi="ar"/>
              </w:rPr>
              <w:t>7.62KG直径约13CM</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1-11</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实心球</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橡胶材质、内填细沙，</w:t>
            </w:r>
            <w:r>
              <w:rPr>
                <w:rFonts w:hint="eastAsia" w:ascii="宋体" w:hAnsi="宋体" w:eastAsia="宋体" w:cs="宋体"/>
                <w:i w:val="0"/>
                <w:iCs w:val="0"/>
                <w:color w:val="auto"/>
                <w:kern w:val="0"/>
                <w:sz w:val="24"/>
                <w:szCs w:val="24"/>
                <w:u w:val="none"/>
                <w:lang w:val="en-US" w:eastAsia="zh-CN" w:bidi="ar"/>
              </w:rPr>
              <w:t>重2KG</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1-12</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跳高架</w:t>
            </w:r>
          </w:p>
        </w:tc>
        <w:tc>
          <w:tcPr>
            <w:tcW w:w="68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auto"/>
                <w:kern w:val="0"/>
                <w:sz w:val="24"/>
                <w:lang w:bidi="ar"/>
              </w:rPr>
            </w:pPr>
            <w:r>
              <w:rPr>
                <w:rFonts w:hint="eastAsia" w:asciiTheme="minorEastAsia" w:hAnsiTheme="minorEastAsia" w:eastAsiaTheme="minorEastAsia"/>
                <w:color w:val="auto"/>
                <w:sz w:val="24"/>
                <w:lang w:bidi="ar"/>
              </w:rPr>
              <w:t>1.跳高架</w:t>
            </w:r>
            <w:r>
              <w:rPr>
                <w:rFonts w:asciiTheme="minorEastAsia" w:hAnsiTheme="minorEastAsia" w:eastAsiaTheme="minorEastAsia"/>
                <w:color w:val="auto"/>
                <w:sz w:val="24"/>
                <w:lang w:bidi="ar"/>
              </w:rPr>
              <w:t>采用</w:t>
            </w:r>
            <w:r>
              <w:rPr>
                <w:rFonts w:hint="eastAsia" w:asciiTheme="minorEastAsia" w:hAnsiTheme="minorEastAsia" w:eastAsiaTheme="minorEastAsia"/>
                <w:color w:val="auto"/>
                <w:sz w:val="24"/>
                <w:lang w:bidi="ar"/>
              </w:rPr>
              <w:t>铝合金双立柱，铸铁底座，</w:t>
            </w:r>
            <w:r>
              <w:rPr>
                <w:rFonts w:asciiTheme="minorEastAsia" w:hAnsiTheme="minorEastAsia" w:eastAsiaTheme="minorEastAsia"/>
                <w:color w:val="auto"/>
                <w:sz w:val="24"/>
                <w:lang w:bidi="ar"/>
              </w:rPr>
              <w:t>铸铝材质横杆托</w:t>
            </w:r>
            <w:r>
              <w:rPr>
                <w:rFonts w:hint="eastAsia" w:asciiTheme="minorEastAsia" w:hAnsiTheme="minorEastAsia" w:eastAsiaTheme="minorEastAsia"/>
                <w:color w:val="auto"/>
                <w:sz w:val="24"/>
                <w:lang w:bidi="ar"/>
              </w:rPr>
              <w:t>。</w:t>
            </w:r>
          </w:p>
          <w:p>
            <w:pPr>
              <w:pStyle w:val="2"/>
              <w:ind w:firstLine="0" w:firstLineChars="0"/>
              <w:jc w:val="left"/>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2.铝合金立柱：可调节高度：600-2600mm</w:t>
            </w:r>
          </w:p>
          <w:p>
            <w:pPr>
              <w:pStyle w:val="2"/>
              <w:ind w:firstLine="0" w:firstLineChars="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固定立柱壁厚：3</w:t>
            </w:r>
            <w:r>
              <w:rPr>
                <w:rFonts w:asciiTheme="minorEastAsia" w:hAnsiTheme="minorEastAsia" w:eastAsiaTheme="minorEastAsia"/>
                <w:color w:val="auto"/>
                <w:sz w:val="24"/>
                <w:lang w:bidi="ar"/>
              </w:rPr>
              <w:t>.5</w:t>
            </w:r>
            <w:r>
              <w:rPr>
                <w:rFonts w:hint="eastAsia" w:asciiTheme="minorEastAsia" w:hAnsiTheme="minorEastAsia" w:eastAsiaTheme="minorEastAsia"/>
                <w:color w:val="auto"/>
                <w:sz w:val="24"/>
                <w:lang w:bidi="ar"/>
              </w:rPr>
              <w:t>mm，壁宽：67mm；</w:t>
            </w:r>
          </w:p>
          <w:p>
            <w:pPr>
              <w:pStyle w:val="2"/>
              <w:ind w:firstLine="0" w:firstLineChars="0"/>
              <w:jc w:val="left"/>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滑动立柱壁厚：2mm，壁宽：28mm；双立柱整体宽度：95mm</w:t>
            </w:r>
          </w:p>
          <w:p>
            <w:pPr>
              <w:pStyle w:val="2"/>
              <w:ind w:firstLine="0" w:firstLineChars="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3.铸铁底座：长380mm宽280mm 高70mm，底座厚度：15mm。</w:t>
            </w:r>
          </w:p>
          <w:p>
            <w:pPr>
              <w:pStyle w:val="2"/>
              <w:ind w:firstLine="0" w:firstLineChars="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4.</w:t>
            </w:r>
            <w:r>
              <w:rPr>
                <w:rFonts w:hint="eastAsia" w:asciiTheme="minorEastAsia" w:hAnsiTheme="minorEastAsia" w:eastAsiaTheme="minorEastAsia"/>
                <w:color w:val="auto"/>
                <w:sz w:val="24"/>
                <w:lang w:bidi="ar"/>
              </w:rPr>
              <w:t>跳高架底座底部设有微调机构，通过调节微调机构可满足场地不平整引起的跳高架的稳定性和横杆的高度要求。底部</w:t>
            </w:r>
            <w:r>
              <w:rPr>
                <w:rFonts w:asciiTheme="minorEastAsia" w:hAnsiTheme="minorEastAsia" w:eastAsiaTheme="minorEastAsia"/>
                <w:color w:val="auto"/>
                <w:sz w:val="24"/>
                <w:lang w:bidi="ar"/>
              </w:rPr>
              <w:t>设有</w:t>
            </w:r>
            <w:r>
              <w:rPr>
                <w:rFonts w:hint="eastAsia" w:asciiTheme="minorEastAsia" w:hAnsiTheme="minorEastAsia" w:eastAsiaTheme="minorEastAsia"/>
                <w:color w:val="auto"/>
                <w:sz w:val="24"/>
                <w:lang w:bidi="ar"/>
              </w:rPr>
              <w:t>PU轮,方便</w:t>
            </w:r>
            <w:r>
              <w:rPr>
                <w:rFonts w:asciiTheme="minorEastAsia" w:hAnsiTheme="minorEastAsia" w:eastAsiaTheme="minorEastAsia"/>
                <w:color w:val="auto"/>
                <w:sz w:val="24"/>
                <w:lang w:bidi="ar"/>
              </w:rPr>
              <w:t>移动</w:t>
            </w:r>
            <w:r>
              <w:rPr>
                <w:rFonts w:hint="eastAsia" w:asciiTheme="minorEastAsia" w:hAnsiTheme="minorEastAsia" w:eastAsiaTheme="minorEastAsia"/>
                <w:color w:val="auto"/>
                <w:sz w:val="24"/>
                <w:lang w:bidi="ar"/>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olor w:val="auto"/>
                <w:sz w:val="24"/>
                <w:lang w:bidi="ar"/>
              </w:rPr>
              <w:t>5.</w:t>
            </w:r>
            <w:r>
              <w:rPr>
                <w:rFonts w:asciiTheme="minorEastAsia" w:hAnsiTheme="minorEastAsia" w:eastAsiaTheme="minorEastAsia"/>
                <w:color w:val="auto"/>
                <w:sz w:val="24"/>
                <w:lang w:bidi="ar"/>
              </w:rPr>
              <w:t>通过国际田联认证。</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副</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1-13</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跨栏搬运车</w:t>
            </w:r>
          </w:p>
        </w:tc>
        <w:tc>
          <w:tcPr>
            <w:tcW w:w="6862"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color w:val="auto"/>
                <w:sz w:val="24"/>
                <w:lang w:bidi="ar"/>
              </w:rPr>
            </w:pPr>
            <w:r>
              <w:rPr>
                <w:rFonts w:hint="eastAsia"/>
                <w:color w:val="auto"/>
                <w:sz w:val="24"/>
                <w:lang w:bidi="ar"/>
              </w:rPr>
              <w:t>1.跨栏架</w:t>
            </w:r>
            <w:r>
              <w:rPr>
                <w:color w:val="auto"/>
                <w:sz w:val="24"/>
                <w:lang w:bidi="ar"/>
              </w:rPr>
              <w:t>搬运车</w:t>
            </w:r>
            <w:r>
              <w:rPr>
                <w:rFonts w:hint="eastAsia"/>
                <w:color w:val="auto"/>
                <w:sz w:val="24"/>
                <w:lang w:bidi="ar"/>
              </w:rPr>
              <w:t>长1500</w:t>
            </w:r>
            <w:r>
              <w:rPr>
                <w:color w:val="auto"/>
                <w:sz w:val="24"/>
                <w:lang w:bidi="ar"/>
              </w:rPr>
              <w:t>mm宽</w:t>
            </w:r>
            <w:r>
              <w:rPr>
                <w:rFonts w:hint="eastAsia"/>
                <w:color w:val="auto"/>
                <w:sz w:val="24"/>
                <w:lang w:bidi="ar"/>
              </w:rPr>
              <w:t>1130</w:t>
            </w:r>
            <w:r>
              <w:rPr>
                <w:color w:val="auto"/>
                <w:sz w:val="24"/>
                <w:lang w:bidi="ar"/>
              </w:rPr>
              <w:t>mm高</w:t>
            </w:r>
            <w:r>
              <w:rPr>
                <w:rFonts w:hint="eastAsia"/>
                <w:color w:val="auto"/>
                <w:sz w:val="24"/>
                <w:lang w:bidi="ar"/>
              </w:rPr>
              <w:t>900</w:t>
            </w:r>
            <w:r>
              <w:rPr>
                <w:color w:val="auto"/>
                <w:sz w:val="24"/>
                <w:lang w:bidi="ar"/>
              </w:rPr>
              <w:t>mm</w:t>
            </w:r>
          </w:p>
          <w:p>
            <w:pPr>
              <w:pStyle w:val="3"/>
              <w:ind w:firstLine="0"/>
              <w:rPr>
                <w:color w:val="auto"/>
                <w:sz w:val="24"/>
                <w:lang w:bidi="ar"/>
              </w:rPr>
            </w:pPr>
            <w:r>
              <w:rPr>
                <w:rFonts w:hint="eastAsia"/>
                <w:color w:val="auto"/>
                <w:sz w:val="24"/>
                <w:lang w:bidi="ar"/>
              </w:rPr>
              <w:t>跨栏</w:t>
            </w:r>
            <w:r>
              <w:rPr>
                <w:color w:val="auto"/>
                <w:sz w:val="24"/>
                <w:lang w:bidi="ar"/>
              </w:rPr>
              <w:t>架搬运车采用宽度</w:t>
            </w:r>
            <w:r>
              <w:rPr>
                <w:rFonts w:hint="eastAsia"/>
                <w:color w:val="auto"/>
                <w:sz w:val="24"/>
                <w:lang w:bidi="ar"/>
              </w:rPr>
              <w:t>10</w:t>
            </w:r>
            <w:r>
              <w:rPr>
                <w:color w:val="auto"/>
                <w:sz w:val="24"/>
                <w:lang w:bidi="ar"/>
              </w:rPr>
              <w:t>0mm</w:t>
            </w:r>
            <w:r>
              <w:rPr>
                <w:rFonts w:hint="eastAsia"/>
                <w:color w:val="auto"/>
                <w:sz w:val="24"/>
                <w:lang w:bidi="ar"/>
              </w:rPr>
              <w:t>高度60</w:t>
            </w:r>
            <w:r>
              <w:rPr>
                <w:color w:val="auto"/>
                <w:sz w:val="24"/>
                <w:lang w:bidi="ar"/>
              </w:rPr>
              <w:t>mm厚度</w:t>
            </w:r>
            <w:r>
              <w:rPr>
                <w:rFonts w:hint="eastAsia"/>
                <w:color w:val="auto"/>
                <w:sz w:val="24"/>
                <w:lang w:bidi="ar"/>
              </w:rPr>
              <w:t>6</w:t>
            </w:r>
            <w:r>
              <w:rPr>
                <w:color w:val="auto"/>
                <w:sz w:val="24"/>
                <w:lang w:bidi="ar"/>
              </w:rPr>
              <w:t>mm</w:t>
            </w:r>
            <w:r>
              <w:rPr>
                <w:rFonts w:hint="eastAsia"/>
                <w:color w:val="auto"/>
                <w:sz w:val="24"/>
                <w:lang w:bidi="ar"/>
              </w:rPr>
              <w:t>铝合金</w:t>
            </w:r>
            <w:r>
              <w:rPr>
                <w:color w:val="auto"/>
                <w:sz w:val="24"/>
                <w:lang w:bidi="ar"/>
              </w:rPr>
              <w:t>槽钢、φ28*2mm铝合金圆管，</w:t>
            </w:r>
            <w:r>
              <w:rPr>
                <w:rFonts w:hint="eastAsia"/>
                <w:color w:val="auto"/>
                <w:sz w:val="24"/>
                <w:lang w:bidi="ar"/>
              </w:rPr>
              <w:t>40*40*2.5</w:t>
            </w:r>
            <w:r>
              <w:rPr>
                <w:color w:val="auto"/>
                <w:sz w:val="24"/>
                <w:lang w:bidi="ar"/>
              </w:rPr>
              <w:t>mm铝合金方管焊接而成。</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Theme="minorEastAsia" w:hAnsiTheme="minorEastAsia" w:eastAsiaTheme="minorEastAsia"/>
                <w:color w:val="auto"/>
                <w:sz w:val="24"/>
                <w:lang w:bidi="ar"/>
              </w:rPr>
              <w:t>3.跨栏架</w:t>
            </w:r>
            <w:r>
              <w:rPr>
                <w:rFonts w:asciiTheme="minorEastAsia" w:hAnsiTheme="minorEastAsia" w:eastAsiaTheme="minorEastAsia"/>
                <w:color w:val="auto"/>
                <w:sz w:val="24"/>
                <w:lang w:bidi="ar"/>
              </w:rPr>
              <w:t>一次可放置</w:t>
            </w:r>
            <w:r>
              <w:rPr>
                <w:rFonts w:hint="eastAsia" w:asciiTheme="minorEastAsia" w:hAnsiTheme="minorEastAsia" w:eastAsiaTheme="minorEastAsia"/>
                <w:color w:val="auto"/>
                <w:sz w:val="24"/>
                <w:lang w:bidi="ar"/>
              </w:rPr>
              <w:t>10付</w:t>
            </w:r>
            <w:r>
              <w:rPr>
                <w:rFonts w:asciiTheme="minorEastAsia" w:hAnsiTheme="minorEastAsia" w:eastAsiaTheme="minorEastAsia"/>
                <w:color w:val="auto"/>
                <w:sz w:val="24"/>
                <w:lang w:bidi="ar"/>
              </w:rPr>
              <w:t>跨栏，底部设有两个</w:t>
            </w:r>
            <w:r>
              <w:rPr>
                <w:rFonts w:hint="eastAsia" w:asciiTheme="minorEastAsia" w:hAnsiTheme="minorEastAsia" w:eastAsiaTheme="minorEastAsia"/>
                <w:color w:val="auto"/>
                <w:sz w:val="24"/>
                <w:lang w:bidi="ar"/>
              </w:rPr>
              <w:t>尼龙</w:t>
            </w:r>
            <w:r>
              <w:rPr>
                <w:rFonts w:asciiTheme="minorEastAsia" w:hAnsiTheme="minorEastAsia" w:eastAsiaTheme="minorEastAsia"/>
                <w:color w:val="auto"/>
                <w:sz w:val="24"/>
                <w:lang w:bidi="ar"/>
              </w:rPr>
              <w:t>万向轮</w:t>
            </w:r>
            <w:r>
              <w:rPr>
                <w:rFonts w:hint="eastAsia" w:asciiTheme="minorEastAsia" w:hAnsiTheme="minorEastAsia" w:eastAsiaTheme="minorEastAsia"/>
                <w:color w:val="auto"/>
                <w:sz w:val="24"/>
                <w:lang w:bidi="ar"/>
              </w:rPr>
              <w:t>和两个尼龙</w:t>
            </w:r>
            <w:r>
              <w:rPr>
                <w:rFonts w:asciiTheme="minorEastAsia" w:hAnsiTheme="minorEastAsia" w:eastAsiaTheme="minorEastAsia"/>
                <w:color w:val="auto"/>
                <w:sz w:val="24"/>
                <w:lang w:bidi="ar"/>
              </w:rPr>
              <w:t>定向轮</w:t>
            </w:r>
            <w:r>
              <w:rPr>
                <w:rFonts w:hint="eastAsia" w:asciiTheme="minorEastAsia" w:hAnsiTheme="minorEastAsia" w:eastAsiaTheme="minorEastAsia"/>
                <w:color w:val="auto"/>
                <w:sz w:val="24"/>
                <w:lang w:bidi="ar"/>
              </w:rPr>
              <w:t>，方便</w:t>
            </w:r>
            <w:r>
              <w:rPr>
                <w:rFonts w:asciiTheme="minorEastAsia" w:hAnsiTheme="minorEastAsia" w:eastAsiaTheme="minorEastAsia"/>
                <w:color w:val="auto"/>
                <w:sz w:val="24"/>
                <w:lang w:bidi="ar"/>
              </w:rPr>
              <w:t>转向</w:t>
            </w:r>
            <w:r>
              <w:rPr>
                <w:rFonts w:hint="eastAsia" w:asciiTheme="minorEastAsia" w:hAnsiTheme="minorEastAsia" w:eastAsiaTheme="minorEastAsia"/>
                <w:color w:val="auto"/>
                <w:sz w:val="24"/>
                <w:lang w:bidi="ar"/>
              </w:rPr>
              <w:t>运输</w:t>
            </w:r>
            <w:r>
              <w:rPr>
                <w:rFonts w:asciiTheme="minorEastAsia" w:hAnsiTheme="minorEastAsia" w:eastAsiaTheme="minorEastAsia"/>
                <w:color w:val="auto"/>
                <w:sz w:val="24"/>
                <w:lang w:bidi="ar"/>
              </w:rPr>
              <w:t>。</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辆</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kern w:val="2"/>
                <w:sz w:val="24"/>
                <w:szCs w:val="24"/>
                <w:lang w:val="en-US" w:eastAsia="zh-CN" w:bidi="ar-SA"/>
              </w:rPr>
              <w:t>1-14</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裁判桌</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长1200mm宽400mm高750mm</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张</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kern w:val="2"/>
                <w:sz w:val="24"/>
                <w:szCs w:val="24"/>
                <w:lang w:val="en-US" w:eastAsia="zh-CN" w:bidi="ar-SA"/>
              </w:rPr>
              <w:t>1-15</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裁判椅</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净重3kg，加厚承重550斤</w:t>
            </w:r>
            <w:r>
              <w:rPr>
                <w:rFonts w:hint="eastAsia" w:ascii="宋体" w:hAnsi="宋体" w:eastAsia="宋体" w:cs="宋体"/>
                <w:i w:val="0"/>
                <w:iCs w:val="0"/>
                <w:color w:val="auto"/>
                <w:kern w:val="0"/>
                <w:sz w:val="24"/>
                <w:szCs w:val="24"/>
                <w:u w:val="none"/>
                <w:lang w:val="en-US" w:eastAsia="zh-CN" w:bidi="ar"/>
              </w:rPr>
              <w:t>，塑料</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张</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1-16</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遮阳伞</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2.8M</w:t>
            </w:r>
            <w:r>
              <w:rPr>
                <w:rFonts w:hint="eastAsia" w:ascii="宋体" w:hAnsi="宋体" w:eastAsia="宋体" w:cs="宋体"/>
                <w:i w:val="0"/>
                <w:iCs w:val="0"/>
                <w:color w:val="auto"/>
                <w:kern w:val="0"/>
                <w:sz w:val="24"/>
                <w:szCs w:val="24"/>
                <w:u w:val="none"/>
                <w:lang w:val="en-US" w:eastAsia="zh-CN" w:bidi="ar"/>
              </w:rPr>
              <w:t>防紫外线含四角底座</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把</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1-17</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足球门</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ZQM-2A、7.32 ×2.44（m）</w:t>
            </w:r>
            <w:r>
              <w:rPr>
                <w:rFonts w:hint="eastAsia" w:ascii="宋体" w:hAnsi="宋体" w:eastAsia="宋体" w:cs="宋体"/>
                <w:i w:val="0"/>
                <w:iCs w:val="0"/>
                <w:color w:val="auto"/>
                <w:kern w:val="0"/>
                <w:sz w:val="24"/>
                <w:szCs w:val="24"/>
                <w:u w:val="none"/>
                <w:lang w:val="en-US" w:eastAsia="zh-CN" w:bidi="ar"/>
              </w:rPr>
              <w:t>（配网）、北京奥运会使用器材</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副</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1-18</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足球门</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ZQM-6A、5×2（m）</w:t>
            </w:r>
            <w:r>
              <w:rPr>
                <w:rFonts w:hint="eastAsia" w:ascii="宋体" w:hAnsi="宋体" w:eastAsia="宋体" w:cs="宋体"/>
                <w:i w:val="0"/>
                <w:iCs w:val="0"/>
                <w:color w:val="auto"/>
                <w:kern w:val="0"/>
                <w:sz w:val="24"/>
                <w:szCs w:val="24"/>
                <w:u w:val="none"/>
                <w:lang w:val="en-US" w:eastAsia="zh-CN" w:bidi="ar"/>
              </w:rPr>
              <w:t>、铝合金（配网）</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副</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1-19</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Style w:val="109"/>
                <w:rFonts w:hint="eastAsia" w:ascii="宋体" w:hAnsi="宋体" w:eastAsia="宋体" w:cs="宋体"/>
                <w:color w:val="auto"/>
                <w:sz w:val="24"/>
                <w:szCs w:val="24"/>
                <w:lang w:val="en-US" w:eastAsia="zh-CN" w:bidi="ar"/>
              </w:rPr>
              <w:t>器材存放铁架</w:t>
            </w:r>
          </w:p>
        </w:tc>
        <w:tc>
          <w:tcPr>
            <w:tcW w:w="6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高1.5米*长1.5米*宽0.5米</w:t>
            </w:r>
          </w:p>
        </w:tc>
        <w:tc>
          <w:tcPr>
            <w:tcW w:w="7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个</w:t>
            </w:r>
          </w:p>
        </w:tc>
        <w:tc>
          <w:tcPr>
            <w:tcW w:w="6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r>
    </w:tbl>
    <w:p>
      <w:pPr>
        <w:pStyle w:val="4"/>
        <w:spacing w:before="0" w:after="0"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备注：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.以上货物涉及到的尺寸允许±1%。</w:t>
      </w:r>
    </w:p>
    <w:p>
      <w:pPr>
        <w:pStyle w:val="4"/>
        <w:spacing w:before="0" w:after="0" w:line="360" w:lineRule="auto"/>
        <w:ind w:firstLine="964" w:firstLineChars="4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 xml:space="preserve">.本项目核心产品是：跨栏架、电计发令枪、起点终点屏幕、音箱含软件。   </w:t>
      </w:r>
    </w:p>
    <w:p>
      <w:pPr>
        <w:pStyle w:val="4"/>
        <w:spacing w:before="0" w:after="0" w:line="360" w:lineRule="auto"/>
        <w:jc w:val="left"/>
        <w:rPr>
          <w:rFonts w:hint="eastAsia" w:ascii="宋体" w:hAnsi="宋体" w:eastAsia="宋体" w:cs="宋体"/>
          <w:color w:val="auto"/>
          <w:sz w:val="24"/>
          <w:szCs w:val="24"/>
          <w:lang w:eastAsia="zh-CN"/>
        </w:rPr>
      </w:pPr>
    </w:p>
    <w:p>
      <w:pPr>
        <w:pStyle w:val="4"/>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（二）售后服务要求</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1.投标人对提供的货物或服务，因产品及服务质量、或知识产权纠纷等问题，必须提供保修、包换、包退等服务。</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2.货物安装调试合格后，投标人负责对采购人技术人员进行免费现场培训，培训内容包括系统的功能、原理、使用与维护等，培训日程视实际情况另定。</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6.履行所承诺的其他服务条款。</w:t>
      </w:r>
    </w:p>
    <w:p>
      <w:pPr>
        <w:pStyle w:val="4"/>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（三）验收要求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1.项目具备验收条件后，投标人应向采购人提出验收请求并提供完整的项目交接资料及交接报告。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3.投标人在接到采购人的修改意见后，应在10天内（当事人另行商定的时间除外）负责处理，否则，即视为默认采购人提出的异议和处理意见。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4.验收标准：招标文件和合同规定的技术要求、规格质量及其它要求，生产厂家的产品说明书、合格证书及技术资料等；国家现行规范；当地监督管理部门要求的安全规范以及采购文件的规定。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验收小组：需3人以上（含3人）单数。</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6.验收程序：货物验收分出厂检验、货到初步验收、安装调试验收三阶段：</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widowControl/>
        <w:spacing w:line="360" w:lineRule="auto"/>
        <w:jc w:val="left"/>
        <w:rPr>
          <w:rFonts w:hint="eastAsia" w:ascii="宋体" w:hAnsi="宋体" w:cs="宋体"/>
          <w:b/>
          <w:color w:val="auto"/>
          <w:kern w:val="0"/>
          <w:sz w:val="24"/>
        </w:rPr>
      </w:pPr>
      <w:r>
        <w:rPr>
          <w:rFonts w:hint="eastAsia" w:ascii="宋体" w:hAnsi="宋体" w:cs="宋体"/>
          <w:b/>
          <w:color w:val="auto"/>
          <w:kern w:val="0"/>
          <w:sz w:val="24"/>
        </w:rPr>
        <w:t>备注：以上招标内容及要求为基本要求，投标供应商须全部满足，否则不得推荐为成交候选人。</w:t>
      </w:r>
    </w:p>
    <w:p>
      <w:pPr>
        <w:pStyle w:val="14"/>
        <w:ind w:left="0" w:leftChars="0" w:firstLine="0" w:firstLineChars="0"/>
        <w:rPr>
          <w:color w:val="auto"/>
        </w:rPr>
      </w:pPr>
    </w:p>
    <w:p>
      <w:pPr>
        <w:widowControl/>
        <w:spacing w:line="360" w:lineRule="auto"/>
        <w:jc w:val="left"/>
        <w:rPr>
          <w:rFonts w:ascii="宋体" w:hAnsi="宋体" w:cs="宋体"/>
          <w:b/>
          <w:color w:val="auto"/>
          <w:sz w:val="24"/>
        </w:rPr>
      </w:pPr>
      <w:r>
        <w:rPr>
          <w:rFonts w:hint="eastAsia" w:ascii="宋体" w:hAnsi="宋体" w:cs="宋体"/>
          <w:b/>
          <w:color w:val="auto"/>
          <w:kern w:val="0"/>
          <w:sz w:val="24"/>
        </w:rPr>
        <w:t>三、</w:t>
      </w:r>
      <w:r>
        <w:rPr>
          <w:rFonts w:hint="eastAsia" w:ascii="宋体" w:hAnsi="宋体" w:cs="宋体"/>
          <w:b/>
          <w:color w:val="auto"/>
          <w:sz w:val="24"/>
        </w:rPr>
        <w:t>商务条件</w:t>
      </w:r>
    </w:p>
    <w:p>
      <w:pPr>
        <w:pStyle w:val="33"/>
        <w:widowControl/>
        <w:spacing w:before="60" w:after="60" w:line="360" w:lineRule="auto"/>
        <w:rPr>
          <w:rFonts w:ascii="宋体" w:hAnsi="宋体" w:cs="宋体"/>
          <w:color w:val="auto"/>
        </w:rPr>
      </w:pPr>
      <w:r>
        <w:rPr>
          <w:rFonts w:hint="eastAsia" w:ascii="宋体" w:hAnsi="宋体" w:cs="宋体"/>
          <w:color w:val="auto"/>
        </w:rPr>
        <w:t xml:space="preserve">1、交付地点：采购人指定地点。 </w:t>
      </w:r>
    </w:p>
    <w:p>
      <w:pPr>
        <w:pStyle w:val="33"/>
        <w:widowControl/>
        <w:spacing w:before="60" w:after="60" w:line="360" w:lineRule="auto"/>
        <w:rPr>
          <w:rFonts w:ascii="宋体" w:hAnsi="宋体" w:cs="宋体"/>
          <w:color w:val="auto"/>
        </w:rPr>
      </w:pPr>
      <w:r>
        <w:rPr>
          <w:rFonts w:hint="eastAsia" w:ascii="宋体" w:hAnsi="宋体" w:cs="宋体"/>
          <w:color w:val="auto"/>
        </w:rPr>
        <w:t>2、交付时间：签订合同</w:t>
      </w:r>
      <w:r>
        <w:rPr>
          <w:rFonts w:hint="eastAsia" w:ascii="宋体" w:hAnsi="宋体" w:cs="宋体"/>
          <w:color w:val="auto"/>
          <w:lang w:val="en-US" w:eastAsia="zh-CN"/>
        </w:rPr>
        <w:t>50</w:t>
      </w:r>
      <w:r>
        <w:rPr>
          <w:rFonts w:hint="eastAsia" w:ascii="宋体" w:hAnsi="宋体" w:cs="宋体"/>
          <w:color w:val="auto"/>
        </w:rPr>
        <w:t xml:space="preserve">天内完成安装及调试。 </w:t>
      </w:r>
    </w:p>
    <w:p>
      <w:pPr>
        <w:pStyle w:val="33"/>
        <w:widowControl/>
        <w:spacing w:before="60" w:after="60" w:line="360" w:lineRule="auto"/>
        <w:rPr>
          <w:rFonts w:ascii="宋体" w:hAnsi="宋体" w:cs="宋体"/>
          <w:color w:val="auto"/>
        </w:rPr>
      </w:pPr>
      <w:r>
        <w:rPr>
          <w:rFonts w:hint="eastAsia" w:ascii="宋体" w:hAnsi="宋体" w:cs="宋体"/>
          <w:color w:val="auto"/>
        </w:rPr>
        <w:t>3、交付条件：</w:t>
      </w:r>
      <w:r>
        <w:rPr>
          <w:rFonts w:hint="eastAsia" w:ascii="宋体" w:hAnsi="宋体" w:cs="宋体"/>
          <w:color w:val="auto"/>
          <w:shd w:val="clear" w:color="auto" w:fill="FFFFFF"/>
        </w:rPr>
        <w:t>符合国家标准和采购文件要求，经采购单位验收合格</w:t>
      </w:r>
      <w:r>
        <w:rPr>
          <w:rFonts w:hint="eastAsia" w:ascii="宋体" w:hAnsi="宋体" w:cs="宋体"/>
          <w:color w:val="auto"/>
        </w:rPr>
        <w:t>。</w:t>
      </w:r>
    </w:p>
    <w:p>
      <w:pPr>
        <w:pStyle w:val="48"/>
        <w:keepNext w:val="0"/>
        <w:keepLines w:val="0"/>
        <w:pageBreakBefore w:val="0"/>
        <w:kinsoku/>
        <w:wordWrap/>
        <w:overflowPunct/>
        <w:topLinePunct w:val="0"/>
        <w:bidi w:val="0"/>
        <w:snapToGrid/>
        <w:spacing w:line="360" w:lineRule="auto"/>
        <w:textAlignment w:val="auto"/>
        <w:rPr>
          <w:rFonts w:ascii="宋体" w:hAnsi="宋体" w:cs="宋体"/>
          <w:color w:val="auto"/>
        </w:rPr>
      </w:pPr>
      <w:r>
        <w:rPr>
          <w:rFonts w:hint="eastAsia" w:ascii="宋体" w:hAnsi="宋体" w:cs="宋体"/>
          <w:color w:val="auto"/>
        </w:rPr>
        <w:t>4、是否收取履约保证金：是。履约保证金百分比：2%。说明：</w:t>
      </w:r>
      <w:r>
        <w:rPr>
          <w:rFonts w:hint="eastAsia" w:ascii="宋体" w:hAnsi="宋体" w:cs="宋体"/>
          <w:color w:val="auto"/>
          <w:lang w:val="en-US" w:eastAsia="zh-CN"/>
        </w:rPr>
        <w:t>成交供应商在签订合同前，应向采购人缴纳合同总金额2%的履约保证金，该保证金在成交供应商供应的货物全部验收合格、合同约定事项全部履行完毕且无未了事项后，30日内一次性无息退还。</w:t>
      </w:r>
      <w:r>
        <w:rPr>
          <w:rFonts w:hint="eastAsia" w:ascii="宋体" w:hAnsi="宋体"/>
          <w:bCs/>
          <w:color w:val="auto"/>
          <w:lang w:val="en-US" w:eastAsia="zh-CN"/>
        </w:rPr>
        <w:t>履约保证金以支票、汇票、本票或者金融机构、担保机构出具的保函等非现金形式向采购人缴交。</w:t>
      </w:r>
    </w:p>
    <w:p>
      <w:pPr>
        <w:pStyle w:val="33"/>
        <w:keepNext w:val="0"/>
        <w:keepLines w:val="0"/>
        <w:pageBreakBefore w:val="0"/>
        <w:widowControl/>
        <w:kinsoku/>
        <w:wordWrap/>
        <w:overflowPunct/>
        <w:topLinePunct w:val="0"/>
        <w:bidi w:val="0"/>
        <w:snapToGrid/>
        <w:spacing w:line="360" w:lineRule="auto"/>
        <w:textAlignment w:val="auto"/>
        <w:rPr>
          <w:rFonts w:ascii="宋体" w:hAnsi="宋体" w:cs="宋体"/>
          <w:color w:val="auto"/>
        </w:rPr>
      </w:pPr>
      <w:r>
        <w:rPr>
          <w:rFonts w:hint="eastAsia" w:ascii="宋体" w:hAnsi="宋体" w:cs="宋体"/>
          <w:color w:val="auto"/>
        </w:rPr>
        <w:t>5、是否邀请投标人参与验收：否。</w:t>
      </w:r>
    </w:p>
    <w:p>
      <w:pPr>
        <w:pStyle w:val="33"/>
        <w:keepNext w:val="0"/>
        <w:keepLines w:val="0"/>
        <w:pageBreakBefore w:val="0"/>
        <w:widowControl/>
        <w:kinsoku/>
        <w:wordWrap/>
        <w:overflowPunct/>
        <w:topLinePunct w:val="0"/>
        <w:bidi w:val="0"/>
        <w:snapToGrid/>
        <w:spacing w:line="360" w:lineRule="auto"/>
        <w:textAlignment w:val="auto"/>
        <w:rPr>
          <w:color w:val="auto"/>
        </w:rPr>
      </w:pPr>
      <w:r>
        <w:rPr>
          <w:rFonts w:hint="eastAsia" w:ascii="宋体" w:hAnsi="宋体" w:cs="宋体"/>
          <w:color w:val="auto"/>
        </w:rPr>
        <w:t xml:space="preserve">6、验收方式数据表格 </w:t>
      </w:r>
    </w:p>
    <w:tbl>
      <w:tblPr>
        <w:tblStyle w:val="36"/>
        <w:tblW w:w="90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39"/>
        <w:gridCol w:w="7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kern w:val="0"/>
                <w:sz w:val="24"/>
              </w:rPr>
            </w:pPr>
            <w:r>
              <w:rPr>
                <w:rFonts w:hint="eastAsia" w:ascii="宋体" w:hAnsi="宋体" w:cs="微软雅黑"/>
                <w:color w:val="auto"/>
                <w:kern w:val="0"/>
                <w:sz w:val="24"/>
              </w:rPr>
              <w:t>按采购文件要求及国家行业标准验收合格。</w:t>
            </w:r>
          </w:p>
        </w:tc>
      </w:tr>
    </w:tbl>
    <w:p>
      <w:pPr>
        <w:widowControl/>
        <w:spacing w:line="360" w:lineRule="auto"/>
        <w:jc w:val="left"/>
        <w:rPr>
          <w:rFonts w:ascii="宋体" w:hAnsi="宋体"/>
          <w:color w:val="auto"/>
          <w:sz w:val="24"/>
        </w:rPr>
      </w:pPr>
      <w:r>
        <w:rPr>
          <w:rFonts w:ascii="宋体" w:hAnsi="宋体" w:cs="微软雅黑"/>
          <w:color w:val="auto"/>
          <w:kern w:val="0"/>
          <w:sz w:val="24"/>
        </w:rPr>
        <w:t xml:space="preserve">7、支付方式数据表格 </w:t>
      </w:r>
    </w:p>
    <w:tbl>
      <w:tblPr>
        <w:tblStyle w:val="36"/>
        <w:tblW w:w="93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44"/>
        <w:gridCol w:w="1561"/>
        <w:gridCol w:w="61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54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支付比例</w:t>
            </w:r>
            <w:r>
              <w:rPr>
                <w:rFonts w:ascii="宋体" w:hAnsi="宋体" w:cs="微软雅黑"/>
                <w:color w:val="auto"/>
                <w:kern w:val="0"/>
                <w:sz w:val="24"/>
              </w:rPr>
              <w:t>(%)</w:t>
            </w:r>
          </w:p>
        </w:tc>
        <w:tc>
          <w:tcPr>
            <w:tcW w:w="619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9" w:hRule="atLeast"/>
          <w:jc w:val="center"/>
        </w:trPr>
        <w:tc>
          <w:tcPr>
            <w:tcW w:w="154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100</w:t>
            </w:r>
          </w:p>
        </w:tc>
        <w:tc>
          <w:tcPr>
            <w:tcW w:w="6199" w:type="dxa"/>
            <w:tcBorders>
              <w:top w:val="outset" w:color="auto" w:sz="6" w:space="0"/>
              <w:left w:val="outset" w:color="auto" w:sz="6" w:space="0"/>
              <w:bottom w:val="outset" w:color="auto" w:sz="6" w:space="0"/>
              <w:right w:val="outset" w:color="auto" w:sz="6" w:space="0"/>
            </w:tcBorders>
            <w:vAlign w:val="center"/>
          </w:tcPr>
          <w:p>
            <w:pPr>
              <w:widowControl/>
              <w:spacing w:line="360" w:lineRule="auto"/>
              <w:textAlignment w:val="top"/>
              <w:rPr>
                <w:rFonts w:ascii="宋体" w:hAnsi="宋体" w:cs="宋体"/>
                <w:color w:val="auto"/>
                <w:kern w:val="0"/>
                <w:sz w:val="24"/>
              </w:rPr>
            </w:pPr>
            <w:r>
              <w:rPr>
                <w:rFonts w:hint="eastAsia" w:ascii="宋体" w:hAnsi="宋体" w:cs="宋体"/>
                <w:color w:val="auto"/>
                <w:kern w:val="0"/>
                <w:sz w:val="24"/>
              </w:rPr>
              <w:t>1.所有货款均由泉州师范学院支付；</w:t>
            </w:r>
          </w:p>
          <w:p>
            <w:pPr>
              <w:widowControl/>
              <w:spacing w:line="360" w:lineRule="auto"/>
              <w:jc w:val="left"/>
              <w:textAlignment w:val="top"/>
              <w:rPr>
                <w:rFonts w:ascii="宋体" w:hAnsi="宋体" w:cs="宋体"/>
                <w:color w:val="auto"/>
                <w:kern w:val="0"/>
                <w:sz w:val="24"/>
              </w:rPr>
            </w:pPr>
            <w:r>
              <w:rPr>
                <w:rFonts w:hint="eastAsia" w:ascii="宋体" w:hAnsi="宋体" w:cs="宋体"/>
                <w:color w:val="auto"/>
                <w:kern w:val="0"/>
                <w:sz w:val="24"/>
              </w:rPr>
              <w:t>2.支付货款时应提供的资料：《泉州师范学院采购申请表》、成交通知书、采购验收单及合同的原件，正式的完税税务发票复印件（均应加盖财务专用章）和政府采购计划表（政府采购系统上打印）。</w:t>
            </w:r>
          </w:p>
          <w:p>
            <w:pPr>
              <w:pStyle w:val="48"/>
              <w:numPr>
                <w:ilvl w:val="0"/>
                <w:numId w:val="0"/>
              </w:numPr>
              <w:spacing w:line="360" w:lineRule="auto"/>
              <w:rPr>
                <w:rFonts w:ascii="宋体" w:hAnsi="宋体" w:cs="宋体"/>
                <w:color w:val="auto"/>
                <w:kern w:val="0"/>
                <w:sz w:val="24"/>
              </w:rPr>
            </w:pPr>
            <w:r>
              <w:rPr>
                <w:rFonts w:hint="eastAsia" w:ascii="宋体" w:hAnsi="宋体" w:cs="宋体"/>
                <w:color w:val="auto"/>
                <w:kern w:val="0"/>
                <w:sz w:val="24"/>
              </w:rPr>
              <w:t>3.付款：</w:t>
            </w:r>
            <w:r>
              <w:rPr>
                <w:rFonts w:hint="eastAsia" w:ascii="宋体" w:hAnsi="宋体" w:cs="宋体"/>
                <w:color w:val="auto"/>
                <w:kern w:val="0"/>
                <w:sz w:val="24"/>
              </w:rPr>
              <w:t>在合同签订后，中标供应商提交银行出具的预付款保函或启用</w:t>
            </w:r>
            <w:r>
              <w:rPr>
                <w:rFonts w:hint="eastAsia" w:ascii="宋体" w:hAnsi="宋体" w:cs="宋体"/>
                <w:color w:val="auto"/>
                <w:kern w:val="0"/>
                <w:sz w:val="24"/>
                <w:lang w:eastAsia="zh-CN"/>
              </w:rPr>
              <w:t>采购人</w:t>
            </w:r>
            <w:r>
              <w:rPr>
                <w:rFonts w:hint="eastAsia" w:ascii="宋体" w:hAnsi="宋体" w:cs="宋体"/>
                <w:color w:val="auto"/>
                <w:kern w:val="0"/>
                <w:sz w:val="24"/>
              </w:rPr>
              <w:t>指定银行的三方共管账户后，</w:t>
            </w:r>
            <w:r>
              <w:rPr>
                <w:rFonts w:hint="eastAsia" w:ascii="宋体" w:hAnsi="宋体" w:cs="宋体"/>
                <w:color w:val="auto"/>
                <w:kern w:val="0"/>
                <w:sz w:val="24"/>
                <w:lang w:eastAsia="zh-CN"/>
              </w:rPr>
              <w:t>采购人</w:t>
            </w:r>
            <w:r>
              <w:rPr>
                <w:rFonts w:hint="eastAsia" w:ascii="宋体" w:hAnsi="宋体" w:cs="宋体"/>
                <w:color w:val="auto"/>
                <w:kern w:val="0"/>
                <w:sz w:val="24"/>
              </w:rPr>
              <w:t>支付合同总价100%的预付款。预付款保函的有效期需在采购项目验收合格日期之后；启用</w:t>
            </w:r>
            <w:r>
              <w:rPr>
                <w:rFonts w:hint="eastAsia" w:ascii="宋体" w:hAnsi="宋体" w:cs="宋体"/>
                <w:color w:val="auto"/>
                <w:kern w:val="0"/>
                <w:sz w:val="24"/>
                <w:lang w:eastAsia="zh-CN"/>
              </w:rPr>
              <w:t>采购人</w:t>
            </w:r>
            <w:r>
              <w:rPr>
                <w:rFonts w:hint="eastAsia" w:ascii="宋体" w:hAnsi="宋体" w:cs="宋体"/>
                <w:color w:val="auto"/>
                <w:kern w:val="0"/>
                <w:sz w:val="24"/>
              </w:rPr>
              <w:t>指定银行的三方共管账户，采购项目经验收合格后，中标供应商从三方共管账户支取款项。</w:t>
            </w:r>
          </w:p>
          <w:p>
            <w:pPr>
              <w:widowControl/>
              <w:spacing w:line="360" w:lineRule="auto"/>
              <w:jc w:val="left"/>
              <w:textAlignment w:val="top"/>
              <w:rPr>
                <w:rFonts w:ascii="宋体" w:hAnsi="宋体" w:cs="宋体"/>
                <w:color w:val="auto"/>
              </w:rPr>
            </w:pPr>
            <w:r>
              <w:rPr>
                <w:rFonts w:hint="eastAsia" w:ascii="宋体" w:hAnsi="宋体" w:cs="宋体"/>
                <w:color w:val="auto"/>
                <w:kern w:val="0"/>
                <w:sz w:val="24"/>
              </w:rPr>
              <w:t>4.投标人、收款单位、购货票证开票单位三者应一致，投标人收款帐号应为中国人民银行批准的基本帐户。</w:t>
            </w:r>
          </w:p>
        </w:tc>
      </w:tr>
    </w:tbl>
    <w:p>
      <w:pPr>
        <w:pStyle w:val="33"/>
        <w:widowControl/>
        <w:spacing w:line="360" w:lineRule="auto"/>
        <w:rPr>
          <w:rFonts w:ascii="宋体" w:hAnsi="宋体" w:cs="宋体"/>
          <w:color w:val="auto"/>
        </w:rPr>
      </w:pPr>
      <w:r>
        <w:rPr>
          <w:rStyle w:val="39"/>
          <w:rFonts w:hint="eastAsia" w:ascii="宋体" w:hAnsi="宋体" w:cs="宋体"/>
          <w:bCs/>
          <w:color w:val="auto"/>
        </w:rPr>
        <w:t>8、其他商务要求：</w:t>
      </w: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（一）</w:t>
      </w:r>
      <w:r>
        <w:rPr>
          <w:rFonts w:hint="eastAsia" w:ascii="宋体" w:hAnsi="宋体" w:cs="宋体"/>
          <w:color w:val="auto"/>
          <w:kern w:val="0"/>
          <w:sz w:val="24"/>
          <w:lang w:eastAsia="zh-CN"/>
        </w:rPr>
        <w:t>投标人</w:t>
      </w:r>
      <w:r>
        <w:rPr>
          <w:rFonts w:hint="eastAsia" w:ascii="宋体" w:hAnsi="宋体" w:cs="宋体"/>
          <w:color w:val="auto"/>
          <w:kern w:val="0"/>
          <w:sz w:val="24"/>
        </w:rPr>
        <w:t>不得虚报各项技术指标，中标产品若不能符合技术要求，采购人有权解除合同，并向政府采购管理部门通报，因此给采购人造成的一切损失，由</w:t>
      </w:r>
      <w:r>
        <w:rPr>
          <w:rFonts w:hint="eastAsia" w:ascii="宋体" w:hAnsi="宋体" w:cs="宋体"/>
          <w:color w:val="auto"/>
          <w:kern w:val="0"/>
          <w:sz w:val="24"/>
          <w:lang w:eastAsia="zh-CN"/>
        </w:rPr>
        <w:t>投标人</w:t>
      </w:r>
      <w:r>
        <w:rPr>
          <w:rFonts w:hint="eastAsia" w:ascii="宋体" w:hAnsi="宋体" w:cs="宋体"/>
          <w:color w:val="auto"/>
          <w:kern w:val="0"/>
          <w:sz w:val="24"/>
        </w:rPr>
        <w:t>承担。</w:t>
      </w:r>
    </w:p>
    <w:p>
      <w:pPr>
        <w:pStyle w:val="48"/>
        <w:spacing w:line="360" w:lineRule="auto"/>
        <w:ind w:firstLine="480" w:firstLineChars="200"/>
        <w:rPr>
          <w:rFonts w:ascii="宋体" w:hAnsi="宋体" w:cs="宋体"/>
          <w:color w:val="auto"/>
        </w:rPr>
      </w:pPr>
      <w:r>
        <w:rPr>
          <w:rFonts w:hint="eastAsia" w:ascii="宋体" w:hAnsi="宋体" w:cs="宋体"/>
          <w:color w:val="auto"/>
        </w:rPr>
        <w:t>（二）培训：</w:t>
      </w:r>
      <w:r>
        <w:rPr>
          <w:rFonts w:hint="eastAsia" w:ascii="宋体" w:hAnsi="宋体" w:cs="宋体"/>
          <w:color w:val="auto"/>
          <w:lang w:eastAsia="zh-CN"/>
        </w:rPr>
        <w:t>投标人</w:t>
      </w:r>
      <w:r>
        <w:rPr>
          <w:rFonts w:hint="eastAsia" w:ascii="宋体" w:hAnsi="宋体" w:cs="宋体"/>
          <w:color w:val="auto"/>
        </w:rPr>
        <w:t>应结合本次采购的货物，有计划地对采购人派出管理、维护及使用人员进行安装现场的基本知识、使用、维护与保养技术的培训。</w:t>
      </w:r>
    </w:p>
    <w:p>
      <w:pPr>
        <w:pStyle w:val="33"/>
        <w:widowControl/>
        <w:spacing w:line="360" w:lineRule="auto"/>
        <w:rPr>
          <w:rFonts w:ascii="宋体" w:hAnsi="宋体" w:cs="宋体"/>
          <w:color w:val="auto"/>
        </w:rPr>
      </w:pPr>
      <w:r>
        <w:rPr>
          <w:rStyle w:val="39"/>
          <w:rFonts w:hint="eastAsia" w:ascii="宋体" w:hAnsi="宋体" w:cs="宋体"/>
          <w:bCs/>
          <w:color w:val="auto"/>
        </w:rPr>
        <w:t>9、报价要求</w:t>
      </w:r>
    </w:p>
    <w:p>
      <w:pPr>
        <w:pStyle w:val="33"/>
        <w:widowControl/>
        <w:spacing w:line="360" w:lineRule="auto"/>
        <w:ind w:firstLine="384"/>
        <w:rPr>
          <w:rFonts w:ascii="宋体" w:hAnsi="宋体" w:cs="宋体"/>
          <w:color w:val="auto"/>
        </w:rPr>
      </w:pPr>
      <w:r>
        <w:rPr>
          <w:rFonts w:hint="eastAsia" w:ascii="宋体" w:hAnsi="宋体" w:cs="宋体"/>
          <w:color w:val="auto"/>
        </w:rPr>
        <w:t>9.1、根据谈判内容及要求，作出合理报价</w:t>
      </w:r>
      <w:r>
        <w:rPr>
          <w:rFonts w:hint="eastAsia" w:ascii="宋体" w:hAnsi="宋体" w:cs="宋体"/>
          <w:color w:val="auto"/>
          <w:lang w:eastAsia="zh-CN"/>
        </w:rPr>
        <w:t>（总价和分项报价）</w:t>
      </w:r>
      <w:r>
        <w:rPr>
          <w:rFonts w:hint="eastAsia" w:ascii="宋体" w:hAnsi="宋体" w:cs="宋体"/>
          <w:color w:val="auto"/>
        </w:rPr>
        <w:t>。</w:t>
      </w:r>
    </w:p>
    <w:p>
      <w:pPr>
        <w:pStyle w:val="33"/>
        <w:widowControl/>
        <w:spacing w:line="360" w:lineRule="auto"/>
        <w:ind w:firstLine="384"/>
        <w:rPr>
          <w:rFonts w:ascii="宋体" w:hAnsi="宋体" w:cs="宋体"/>
          <w:color w:val="auto"/>
        </w:rPr>
      </w:pPr>
      <w:r>
        <w:rPr>
          <w:rFonts w:hint="eastAsia" w:ascii="宋体" w:hAnsi="宋体" w:cs="宋体"/>
          <w:color w:val="auto"/>
        </w:rPr>
        <w:t>9.2、各供应商报价时应综合考虑日后属政策调整、各种材料市场价格浮动等因素造成的价格变动，上述价格变动不予调整合同金额。</w:t>
      </w:r>
    </w:p>
    <w:p>
      <w:pPr>
        <w:pStyle w:val="33"/>
        <w:widowControl/>
        <w:spacing w:line="360" w:lineRule="auto"/>
        <w:ind w:firstLine="384"/>
        <w:rPr>
          <w:rFonts w:ascii="宋体" w:hAnsi="宋体" w:cs="宋体"/>
          <w:color w:val="auto"/>
        </w:rPr>
      </w:pPr>
      <w:r>
        <w:rPr>
          <w:rFonts w:hint="eastAsia" w:ascii="宋体" w:hAnsi="宋体" w:cs="宋体"/>
          <w:color w:val="auto"/>
        </w:rPr>
        <w:t>9.3、填写响应价格时应注意下列要求：</w:t>
      </w:r>
    </w:p>
    <w:p>
      <w:pPr>
        <w:pStyle w:val="33"/>
        <w:widowControl/>
        <w:spacing w:line="360" w:lineRule="auto"/>
        <w:ind w:firstLine="384"/>
        <w:rPr>
          <w:rFonts w:ascii="宋体" w:hAnsi="宋体" w:cs="宋体"/>
          <w:color w:val="auto"/>
        </w:rPr>
      </w:pPr>
      <w:r>
        <w:rPr>
          <w:rFonts w:hint="eastAsia" w:ascii="宋体" w:hAnsi="宋体" w:cs="宋体"/>
          <w:color w:val="auto"/>
        </w:rPr>
        <w:t>9.3.1供应商对本项目只能提供唯一方案、唯一报价，采购人不接受任何有选择性的报价。</w:t>
      </w:r>
    </w:p>
    <w:p>
      <w:pPr>
        <w:pStyle w:val="33"/>
        <w:widowControl/>
        <w:spacing w:line="360" w:lineRule="auto"/>
        <w:ind w:firstLine="384"/>
        <w:rPr>
          <w:rFonts w:ascii="宋体" w:hAnsi="宋体" w:cs="宋体"/>
          <w:color w:val="auto"/>
        </w:rPr>
      </w:pPr>
      <w:r>
        <w:rPr>
          <w:rFonts w:hint="eastAsia" w:ascii="宋体" w:hAnsi="宋体" w:cs="宋体"/>
          <w:color w:val="auto"/>
        </w:rPr>
        <w:t>9.3.2供应商提供的投标价格单位为人民币元。</w:t>
      </w:r>
    </w:p>
    <w:p>
      <w:pPr>
        <w:pStyle w:val="33"/>
        <w:widowControl/>
        <w:spacing w:line="360" w:lineRule="auto"/>
        <w:rPr>
          <w:rFonts w:ascii="宋体" w:hAnsi="宋体" w:cs="宋体"/>
          <w:color w:val="auto"/>
        </w:rPr>
      </w:pPr>
      <w:r>
        <w:rPr>
          <w:rStyle w:val="39"/>
          <w:rFonts w:hint="eastAsia" w:ascii="宋体" w:hAnsi="宋体" w:cs="宋体"/>
          <w:bCs/>
          <w:color w:val="auto"/>
        </w:rPr>
        <w:t>10、注意事项</w:t>
      </w:r>
    </w:p>
    <w:p>
      <w:pPr>
        <w:pStyle w:val="33"/>
        <w:widowControl/>
        <w:spacing w:line="360" w:lineRule="auto"/>
        <w:ind w:firstLine="384"/>
        <w:rPr>
          <w:rFonts w:ascii="宋体" w:hAnsi="宋体" w:cs="宋体"/>
          <w:color w:val="auto"/>
        </w:rPr>
      </w:pPr>
      <w:r>
        <w:rPr>
          <w:rFonts w:hint="eastAsia" w:ascii="宋体" w:hAnsi="宋体" w:cs="宋体"/>
          <w:color w:val="auto"/>
        </w:rPr>
        <w:t>10.1、本项目不允许成交供应商以任何名义和理由进行转包或分包，如有发现，采购人有权单方中止合同，且成交供应商必须赔偿由此给采购人带来的一切损失。</w:t>
      </w:r>
    </w:p>
    <w:p>
      <w:pPr>
        <w:pStyle w:val="33"/>
        <w:widowControl/>
        <w:spacing w:line="360" w:lineRule="auto"/>
        <w:ind w:firstLine="384"/>
        <w:rPr>
          <w:rFonts w:ascii="宋体" w:hAnsi="宋体" w:cs="宋体"/>
          <w:color w:val="auto"/>
        </w:rPr>
      </w:pPr>
      <w:r>
        <w:rPr>
          <w:rFonts w:hint="eastAsia" w:ascii="宋体" w:hAnsi="宋体" w:cs="宋体"/>
          <w:color w:val="auto"/>
        </w:rPr>
        <w:t>10.2、本谈判文件中所发生的一切费用均包含在报价总价中。</w:t>
      </w:r>
    </w:p>
    <w:p>
      <w:pPr>
        <w:pStyle w:val="33"/>
        <w:widowControl/>
        <w:spacing w:line="360" w:lineRule="auto"/>
        <w:ind w:firstLine="384"/>
        <w:rPr>
          <w:rFonts w:ascii="宋体" w:hAnsi="宋体" w:cs="宋体"/>
          <w:color w:val="auto"/>
        </w:rPr>
      </w:pPr>
      <w:r>
        <w:rPr>
          <w:rFonts w:hint="eastAsia" w:ascii="宋体" w:hAnsi="宋体" w:cs="宋体"/>
          <w:color w:val="auto"/>
        </w:rPr>
        <w:t>10.3、成交供应商应保证采购人不受到第三方关于侵犯版权和专利权的指控，任何第三方如果提出指控，成交供应商应与第三方交涉，承担可能发生的一切法律责任、费用和后果，并赔偿采购人的损失。</w:t>
      </w:r>
    </w:p>
    <w:p>
      <w:pPr>
        <w:pStyle w:val="33"/>
        <w:widowControl/>
        <w:spacing w:line="360" w:lineRule="auto"/>
        <w:ind w:firstLine="384"/>
        <w:rPr>
          <w:rFonts w:ascii="宋体" w:hAnsi="宋体" w:cs="宋体"/>
          <w:color w:val="auto"/>
        </w:rPr>
      </w:pPr>
      <w:r>
        <w:rPr>
          <w:rFonts w:hint="eastAsia" w:ascii="宋体" w:hAnsi="宋体" w:cs="宋体"/>
          <w:color w:val="auto"/>
        </w:rPr>
        <w:t>10.4、谈判供应商应遵守国家有关法律、规章，不得提供虚假资料，不得串通报价。</w:t>
      </w:r>
    </w:p>
    <w:p>
      <w:pPr>
        <w:pStyle w:val="33"/>
        <w:widowControl/>
        <w:spacing w:line="360" w:lineRule="auto"/>
        <w:ind w:firstLine="384"/>
        <w:rPr>
          <w:rFonts w:ascii="宋体" w:hAnsi="宋体" w:cs="宋体"/>
          <w:color w:val="auto"/>
        </w:rPr>
      </w:pPr>
      <w:r>
        <w:rPr>
          <w:rFonts w:hint="eastAsia" w:ascii="宋体" w:hAnsi="宋体" w:cs="宋体"/>
          <w:color w:val="auto"/>
        </w:rPr>
        <w:t>10.5、本次采购不单独提供报价货物使用地自然环境、气候条件、公用设施等情况，供应商被视为熟悉上述与履行合同有关的一切情况。</w:t>
      </w:r>
    </w:p>
    <w:p>
      <w:pPr>
        <w:pStyle w:val="33"/>
        <w:widowControl/>
        <w:spacing w:line="360" w:lineRule="auto"/>
        <w:ind w:firstLine="384"/>
        <w:rPr>
          <w:rFonts w:ascii="宋体" w:hAnsi="宋体" w:cs="宋体"/>
          <w:color w:val="auto"/>
        </w:rPr>
      </w:pPr>
      <w:r>
        <w:rPr>
          <w:rFonts w:hint="eastAsia" w:ascii="宋体" w:hAnsi="宋体" w:cs="宋体"/>
          <w:color w:val="auto"/>
        </w:rPr>
        <w:t>10.6、谈判文件中载明的资格要求，谈判供应商必须在响应文件中提供证明材料，并应在竞争性谈判文件中明确证明材料的种类、名称、数量等要求，供 应 商未按谈判文件要求提供证明材料的应当认定为该项资格条件不符合。</w:t>
      </w:r>
    </w:p>
    <w:p>
      <w:pPr>
        <w:pStyle w:val="33"/>
        <w:widowControl/>
        <w:spacing w:line="360" w:lineRule="auto"/>
        <w:ind w:firstLine="384"/>
        <w:rPr>
          <w:rFonts w:hint="eastAsia" w:ascii="宋体" w:hAnsi="宋体" w:cs="宋体"/>
          <w:color w:val="auto"/>
        </w:rPr>
      </w:pPr>
      <w:r>
        <w:rPr>
          <w:rFonts w:hint="eastAsia" w:ascii="宋体" w:hAnsi="宋体" w:cs="宋体"/>
          <w:color w:val="auto"/>
        </w:rPr>
        <w:t>10.7、谈判文件中载明的技术和商务要求，属于实质性要求，不满足即为无效投标条款的，供应商必须提供证明材料，未按谈判文件要求提供证明材料的，认定为该项技术指标或商务条件不符合。</w:t>
      </w:r>
    </w:p>
    <w:p>
      <w:pPr>
        <w:pStyle w:val="33"/>
        <w:widowControl/>
        <w:spacing w:line="360" w:lineRule="auto"/>
        <w:ind w:firstLine="384"/>
        <w:rPr>
          <w:rFonts w:hint="eastAsia" w:ascii="宋体" w:hAnsi="宋体" w:cs="宋体"/>
          <w:color w:val="auto"/>
        </w:rPr>
      </w:pPr>
      <w:r>
        <w:rPr>
          <w:rFonts w:hint="eastAsia" w:ascii="宋体" w:hAnsi="宋体" w:cs="宋体"/>
          <w:color w:val="auto"/>
        </w:rPr>
        <w:t>10.8、响应文件一旦递交，概不退还。</w:t>
      </w:r>
    </w:p>
    <w:p>
      <w:pPr>
        <w:pStyle w:val="33"/>
        <w:widowControl/>
        <w:spacing w:line="360" w:lineRule="auto"/>
        <w:ind w:firstLine="384"/>
        <w:rPr>
          <w:rFonts w:hint="eastAsia" w:ascii="宋体" w:hAnsi="宋体" w:cs="宋体"/>
          <w:color w:val="auto"/>
        </w:rPr>
      </w:pPr>
    </w:p>
    <w:p>
      <w:pPr>
        <w:pStyle w:val="33"/>
        <w:widowControl/>
        <w:spacing w:line="360" w:lineRule="auto"/>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bookmarkEnd w:id="20"/>
    <w:p>
      <w:pPr>
        <w:pStyle w:val="33"/>
        <w:keepNext w:val="0"/>
        <w:keepLines w:val="0"/>
        <w:widowControl/>
        <w:suppressLineNumbers w:val="0"/>
        <w:spacing w:before="75" w:beforeAutospacing="0" w:after="75" w:afterAutospacing="0" w:line="360" w:lineRule="auto"/>
        <w:ind w:left="0" w:right="0" w:firstLine="0"/>
        <w:jc w:val="center"/>
        <w:rPr>
          <w:rFonts w:ascii="微软雅黑" w:hAnsi="微软雅黑" w:eastAsia="微软雅黑" w:cs="微软雅黑"/>
          <w:i w:val="0"/>
          <w:iCs w:val="0"/>
          <w:caps w:val="0"/>
          <w:color w:val="auto"/>
          <w:spacing w:val="0"/>
          <w:sz w:val="27"/>
          <w:szCs w:val="27"/>
        </w:rPr>
      </w:pPr>
      <w:r>
        <w:rPr>
          <w:rStyle w:val="39"/>
          <w:rFonts w:ascii="宋体" w:hAnsi="宋体" w:eastAsia="宋体" w:cs="宋体"/>
          <w:i w:val="0"/>
          <w:iCs w:val="0"/>
          <w:caps w:val="0"/>
          <w:color w:val="auto"/>
          <w:spacing w:val="0"/>
          <w:sz w:val="24"/>
          <w:szCs w:val="24"/>
        </w:rPr>
        <w:t>第四章</w:t>
      </w:r>
      <w:r>
        <w:rPr>
          <w:rStyle w:val="39"/>
          <w:rFonts w:hint="eastAsia" w:ascii="宋体" w:hAnsi="宋体" w:eastAsia="宋体" w:cs="宋体"/>
          <w:i w:val="0"/>
          <w:iCs w:val="0"/>
          <w:caps w:val="0"/>
          <w:color w:val="auto"/>
          <w:spacing w:val="0"/>
          <w:sz w:val="24"/>
          <w:szCs w:val="24"/>
        </w:rPr>
        <w:t>  合同主要条款及格式</w:t>
      </w:r>
    </w:p>
    <w:p>
      <w:pPr>
        <w:pStyle w:val="33"/>
        <w:keepNext w:val="0"/>
        <w:keepLines w:val="0"/>
        <w:widowControl/>
        <w:suppressLineNumbers w:val="0"/>
        <w:spacing w:before="75" w:beforeAutospacing="0" w:after="75" w:afterAutospacing="0" w:line="360" w:lineRule="auto"/>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center"/>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编制说明</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1、签订合同应遵守《中华人民共和国政府采购法》、《中华人民共和国民法典》。</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9"/>
          <w:rFonts w:hint="eastAsia" w:ascii="宋体" w:hAnsi="宋体" w:eastAsia="宋体" w:cs="宋体"/>
          <w:i w:val="0"/>
          <w:iCs w:val="0"/>
          <w:caps w:val="0"/>
          <w:color w:val="auto"/>
          <w:spacing w:val="0"/>
          <w:sz w:val="24"/>
          <w:szCs w:val="24"/>
        </w:rPr>
        <w:t>3.本章节所附的合同主要条款及格式为参考文本，如果因为项目实际特点不能适用，则可由甲乙双方在合同签订阶段可通过友好协商进行约定。</w:t>
      </w:r>
    </w:p>
    <w:p>
      <w:pPr>
        <w:pStyle w:val="33"/>
        <w:widowControl/>
        <w:spacing w:before="76" w:after="76" w:line="360" w:lineRule="auto"/>
        <w:rPr>
          <w:rFonts w:ascii="宋体" w:hAnsi="宋体"/>
          <w:color w:val="auto"/>
        </w:rPr>
      </w:pPr>
      <w:r>
        <w:rPr>
          <w:rFonts w:hint="eastAsia" w:ascii="宋体" w:hAnsi="宋体" w:cs="宋体"/>
          <w:color w:val="auto"/>
        </w:rPr>
        <w:t>甲方：（采购人全称）</w:t>
      </w:r>
    </w:p>
    <w:p>
      <w:pPr>
        <w:pStyle w:val="33"/>
        <w:widowControl/>
        <w:spacing w:before="76" w:after="76" w:line="360" w:lineRule="auto"/>
        <w:rPr>
          <w:rFonts w:ascii="宋体" w:hAnsi="宋体"/>
          <w:color w:val="auto"/>
        </w:rPr>
      </w:pPr>
      <w:r>
        <w:rPr>
          <w:rFonts w:hint="eastAsia" w:ascii="宋体" w:hAnsi="宋体" w:cs="宋体"/>
          <w:color w:val="auto"/>
        </w:rPr>
        <w:t>乙方：（成交供应商全称）</w:t>
      </w:r>
    </w:p>
    <w:p>
      <w:pPr>
        <w:pStyle w:val="33"/>
        <w:widowControl/>
        <w:spacing w:before="76" w:after="76" w:line="360" w:lineRule="auto"/>
        <w:ind w:firstLine="480"/>
        <w:rPr>
          <w:rFonts w:ascii="宋体" w:hAnsi="宋体"/>
          <w:color w:val="auto"/>
        </w:rPr>
      </w:pPr>
      <w:r>
        <w:rPr>
          <w:rFonts w:hint="eastAsia" w:ascii="宋体" w:hAnsi="宋体" w:cs="宋体"/>
          <w:color w:val="auto"/>
        </w:rPr>
        <w:t>根据项目编号为</w:t>
      </w:r>
      <w:r>
        <w:rPr>
          <w:rFonts w:ascii="宋体" w:hAnsi="宋体" w:cs="宋体"/>
          <w:color w:val="auto"/>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33"/>
        <w:widowControl/>
        <w:spacing w:before="76" w:after="76"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33"/>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合同条款；</w:t>
      </w:r>
    </w:p>
    <w:p>
      <w:pPr>
        <w:pStyle w:val="33"/>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谈判文件、乙方的响应文件；</w:t>
      </w:r>
    </w:p>
    <w:p>
      <w:pPr>
        <w:pStyle w:val="33"/>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33"/>
        <w:widowControl/>
        <w:spacing w:before="76" w:after="76"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、合同标的</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3</w:t>
      </w:r>
      <w:r>
        <w:rPr>
          <w:rFonts w:hint="eastAsia" w:ascii="宋体" w:hAnsi="宋体" w:cs="宋体"/>
          <w:color w:val="auto"/>
        </w:rPr>
        <w:t>、合同总金额</w:t>
      </w:r>
    </w:p>
    <w:p>
      <w:pPr>
        <w:pStyle w:val="33"/>
        <w:widowControl/>
        <w:spacing w:before="76" w:after="76"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合同总金额为人民币大写：</w:t>
      </w:r>
      <w:r>
        <w:rPr>
          <w:rFonts w:ascii="宋体" w:hAnsi="宋体" w:cs="宋体"/>
          <w:color w:val="auto"/>
        </w:rPr>
        <w:t>     </w:t>
      </w:r>
      <w:r>
        <w:rPr>
          <w:rFonts w:hint="eastAsia" w:ascii="宋体" w:hAnsi="宋体" w:cs="宋体"/>
          <w:color w:val="auto"/>
        </w:rPr>
        <w:t>元（￥</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、合同标的交付时间、地点和条件</w:t>
      </w:r>
    </w:p>
    <w:p>
      <w:pPr>
        <w:pStyle w:val="33"/>
        <w:widowControl/>
        <w:spacing w:before="76" w:after="76" w:line="360" w:lineRule="auto"/>
        <w:ind w:firstLine="480"/>
        <w:rPr>
          <w:rFonts w:ascii="宋体" w:hAnsi="宋体"/>
          <w:color w:val="auto"/>
        </w:rPr>
      </w:pPr>
      <w:r>
        <w:rPr>
          <w:rFonts w:ascii="宋体" w:hAnsi="宋体" w:cs="宋体"/>
          <w:color w:val="auto"/>
        </w:rPr>
        <w:t>4.1</w:t>
      </w:r>
      <w:r>
        <w:rPr>
          <w:rFonts w:hint="eastAsia" w:ascii="宋体" w:hAnsi="宋体" w:cs="宋体"/>
          <w:color w:val="auto"/>
        </w:rPr>
        <w:t>交付时间：</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4.2</w:t>
      </w:r>
      <w:r>
        <w:rPr>
          <w:rFonts w:hint="eastAsia" w:ascii="宋体" w:hAnsi="宋体" w:cs="宋体"/>
          <w:color w:val="auto"/>
        </w:rPr>
        <w:t>交付地点：</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4.3</w:t>
      </w:r>
      <w:r>
        <w:rPr>
          <w:rFonts w:hint="eastAsia" w:ascii="宋体" w:hAnsi="宋体" w:cs="宋体"/>
          <w:color w:val="auto"/>
        </w:rPr>
        <w:t>交付条件：</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6</w:t>
      </w:r>
      <w:r>
        <w:rPr>
          <w:rFonts w:hint="eastAsia" w:ascii="宋体" w:hAnsi="宋体" w:cs="宋体"/>
          <w:color w:val="auto"/>
        </w:rPr>
        <w:t>、验收</w:t>
      </w:r>
    </w:p>
    <w:p>
      <w:pPr>
        <w:pStyle w:val="33"/>
        <w:widowControl/>
        <w:spacing w:before="76" w:after="76"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本项目是否邀请其他供应商参与验收：</w:t>
      </w:r>
    </w:p>
    <w:p>
      <w:pPr>
        <w:pStyle w:val="33"/>
        <w:widowControl/>
        <w:spacing w:before="76" w:after="76" w:line="360" w:lineRule="auto"/>
        <w:ind w:firstLine="480"/>
        <w:rPr>
          <w:rFonts w:ascii="宋体" w:hAnsi="宋体"/>
          <w:color w:val="auto"/>
        </w:rPr>
      </w:pPr>
      <w:r>
        <w:rPr>
          <w:rFonts w:hint="eastAsia" w:ascii="宋体" w:hAnsi="宋体" w:cs="宋体"/>
          <w:color w:val="auto"/>
        </w:rPr>
        <w:t>□不邀请。□邀请，具体如下：（按照谈判文件规定填写）。</w:t>
      </w:r>
    </w:p>
    <w:p>
      <w:pPr>
        <w:pStyle w:val="33"/>
        <w:widowControl/>
        <w:spacing w:before="76" w:after="76"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（根据实际情况填写，可以是表格或文字描述，包括一次性支付或分期支付等）。</w:t>
      </w:r>
    </w:p>
    <w:p>
      <w:pPr>
        <w:pStyle w:val="33"/>
        <w:widowControl/>
        <w:spacing w:before="76" w:after="76" w:line="360" w:lineRule="auto"/>
        <w:ind w:firstLine="480"/>
        <w:rPr>
          <w:rFonts w:ascii="宋体" w:hAnsi="宋体"/>
          <w:color w:val="auto"/>
        </w:rPr>
      </w:pPr>
      <w:r>
        <w:rPr>
          <w:rFonts w:ascii="宋体" w:hAnsi="宋体" w:cs="宋体"/>
          <w:color w:val="auto"/>
        </w:rPr>
        <w:t>8</w:t>
      </w:r>
      <w:r>
        <w:rPr>
          <w:rFonts w:hint="eastAsia" w:ascii="宋体" w:hAnsi="宋体" w:cs="宋体"/>
          <w:color w:val="auto"/>
        </w:rPr>
        <w:t>、履约保证金</w:t>
      </w:r>
    </w:p>
    <w:p>
      <w:pPr>
        <w:pStyle w:val="33"/>
        <w:widowControl/>
        <w:spacing w:before="76" w:after="76" w:line="360" w:lineRule="auto"/>
        <w:ind w:firstLine="480"/>
        <w:rPr>
          <w:rFonts w:ascii="宋体" w:hAnsi="宋体"/>
          <w:color w:val="auto"/>
        </w:rPr>
      </w:pPr>
      <w:r>
        <w:rPr>
          <w:rFonts w:hint="eastAsia" w:ascii="宋体" w:hAnsi="宋体" w:cs="宋体"/>
          <w:color w:val="auto"/>
        </w:rPr>
        <w:t>□无。□有，具体如下：（按照谈判文件规定填写）。</w:t>
      </w:r>
    </w:p>
    <w:p>
      <w:pPr>
        <w:pStyle w:val="33"/>
        <w:widowControl/>
        <w:spacing w:before="76" w:after="76" w:line="360" w:lineRule="auto"/>
        <w:ind w:firstLine="480"/>
        <w:rPr>
          <w:rFonts w:ascii="宋体" w:hAnsi="宋体"/>
          <w:color w:val="auto"/>
        </w:rPr>
      </w:pPr>
      <w:r>
        <w:rPr>
          <w:rFonts w:ascii="宋体" w:hAnsi="宋体" w:cs="宋体"/>
          <w:color w:val="auto"/>
        </w:rPr>
        <w:t>9</w:t>
      </w:r>
      <w:r>
        <w:rPr>
          <w:rFonts w:hint="eastAsia" w:ascii="宋体" w:hAnsi="宋体" w:cs="宋体"/>
          <w:color w:val="auto"/>
        </w:rPr>
        <w:t>、合同有效期</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10</w:t>
      </w:r>
      <w:r>
        <w:rPr>
          <w:rFonts w:hint="eastAsia" w:ascii="宋体" w:hAnsi="宋体" w:cs="宋体"/>
          <w:color w:val="auto"/>
        </w:rPr>
        <w:t>、违约责任</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、知识产权</w:t>
      </w:r>
    </w:p>
    <w:p>
      <w:pPr>
        <w:pStyle w:val="33"/>
        <w:widowControl/>
        <w:spacing w:before="76" w:after="76" w:line="360" w:lineRule="auto"/>
        <w:ind w:firstLine="480"/>
        <w:rPr>
          <w:rFonts w:ascii="宋体" w:hAnsi="宋体"/>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3"/>
        <w:widowControl/>
        <w:spacing w:before="76" w:after="76"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成交资格将被取消；甲方还将按照有关法律、法规和规章的规定进行处理，具体如下：（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、解决争议的方法</w:t>
      </w:r>
    </w:p>
    <w:p>
      <w:pPr>
        <w:pStyle w:val="33"/>
        <w:widowControl/>
        <w:spacing w:before="76" w:after="76" w:line="360" w:lineRule="auto"/>
        <w:ind w:firstLine="480"/>
        <w:rPr>
          <w:rFonts w:ascii="宋体" w:hAnsi="宋体"/>
          <w:color w:val="auto"/>
        </w:rPr>
      </w:pPr>
      <w:r>
        <w:rPr>
          <w:rFonts w:ascii="宋体" w:hAnsi="宋体" w:cs="宋体"/>
          <w:color w:val="auto"/>
        </w:rPr>
        <w:t>12.1</w:t>
      </w:r>
      <w:r>
        <w:rPr>
          <w:rFonts w:hint="eastAsia" w:ascii="宋体" w:hAnsi="宋体" w:cs="宋体"/>
          <w:color w:val="auto"/>
        </w:rPr>
        <w:t>甲、乙双方协商解决。</w:t>
      </w:r>
    </w:p>
    <w:p>
      <w:pPr>
        <w:pStyle w:val="33"/>
        <w:widowControl/>
        <w:spacing w:before="76" w:after="76" w:line="360" w:lineRule="auto"/>
        <w:ind w:firstLine="480"/>
        <w:rPr>
          <w:rFonts w:ascii="宋体" w:hAnsi="宋体"/>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33"/>
        <w:widowControl/>
        <w:spacing w:before="76" w:after="76" w:line="360" w:lineRule="auto"/>
        <w:ind w:firstLine="480"/>
        <w:rPr>
          <w:rFonts w:ascii="宋体" w:hAnsi="宋体"/>
          <w:color w:val="auto"/>
        </w:rPr>
      </w:pPr>
      <w:r>
        <w:rPr>
          <w:rFonts w:hint="eastAsia" w:ascii="宋体" w:hAnsi="宋体" w:cs="宋体"/>
          <w:color w:val="auto"/>
        </w:rPr>
        <w:t>□提交仲裁委员会仲裁，具体如下：（根据实际情况填写）。</w:t>
      </w:r>
    </w:p>
    <w:p>
      <w:pPr>
        <w:pStyle w:val="33"/>
        <w:widowControl/>
        <w:spacing w:before="76" w:after="76" w:line="360" w:lineRule="auto"/>
        <w:ind w:firstLine="480"/>
        <w:rPr>
          <w:rFonts w:ascii="宋体" w:hAnsi="宋体"/>
          <w:color w:val="auto"/>
        </w:rPr>
      </w:pPr>
      <w:r>
        <w:rPr>
          <w:rFonts w:hint="eastAsia" w:ascii="宋体" w:hAnsi="宋体" w:cs="宋体"/>
          <w:color w:val="auto"/>
        </w:rPr>
        <w:t>□向人民法院提起诉讼，具体如下：（根据实际情况填写）。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、不可抗力</w:t>
      </w:r>
    </w:p>
    <w:p>
      <w:pPr>
        <w:pStyle w:val="33"/>
        <w:widowControl/>
        <w:spacing w:before="76" w:after="76"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33"/>
        <w:widowControl/>
        <w:spacing w:before="76" w:after="76"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33"/>
        <w:widowControl/>
        <w:spacing w:before="76" w:after="76" w:line="360" w:lineRule="auto"/>
        <w:ind w:firstLine="480"/>
        <w:rPr>
          <w:rFonts w:ascii="宋体" w:hAnsi="宋体"/>
          <w:color w:val="auto"/>
        </w:rPr>
      </w:pPr>
      <w:r>
        <w:rPr>
          <w:rFonts w:ascii="宋体" w:hAnsi="宋体" w:cs="宋体"/>
          <w:color w:val="auto"/>
        </w:rPr>
        <w:t>14</w:t>
      </w:r>
      <w:r>
        <w:rPr>
          <w:rFonts w:hint="eastAsia" w:ascii="宋体" w:hAnsi="宋体" w:cs="宋体"/>
          <w:color w:val="auto"/>
        </w:rPr>
        <w:t>、合同条款</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15</w:t>
      </w:r>
      <w:r>
        <w:rPr>
          <w:rFonts w:hint="eastAsia" w:ascii="宋体" w:hAnsi="宋体" w:cs="宋体"/>
          <w:color w:val="auto"/>
        </w:rPr>
        <w:t>、其他约定</w:t>
      </w:r>
    </w:p>
    <w:p>
      <w:pPr>
        <w:pStyle w:val="33"/>
        <w:widowControl/>
        <w:spacing w:before="76" w:after="76"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合同文件与本合同具有同等法律效力。</w:t>
      </w:r>
    </w:p>
    <w:p>
      <w:pPr>
        <w:pStyle w:val="33"/>
        <w:widowControl/>
        <w:spacing w:before="76" w:after="76" w:line="360" w:lineRule="auto"/>
        <w:ind w:firstLine="480"/>
        <w:rPr>
          <w:rFonts w:ascii="宋体" w:hAnsi="宋体"/>
          <w:color w:val="auto"/>
        </w:rPr>
      </w:pPr>
      <w:r>
        <w:rPr>
          <w:rFonts w:ascii="宋体" w:hAnsi="宋体" w:cs="宋体"/>
          <w:color w:val="auto"/>
        </w:rPr>
        <w:t>15.2</w:t>
      </w:r>
      <w:r>
        <w:rPr>
          <w:rFonts w:hint="eastAsia" w:ascii="宋体" w:hAnsi="宋体" w:cs="宋体"/>
          <w:color w:val="auto"/>
        </w:rPr>
        <w:t>本合同未尽事宜，双方可另行补充。</w:t>
      </w:r>
    </w:p>
    <w:p>
      <w:pPr>
        <w:pStyle w:val="33"/>
        <w:widowControl/>
        <w:spacing w:before="76" w:after="76" w:line="360" w:lineRule="auto"/>
        <w:ind w:firstLine="480"/>
        <w:rPr>
          <w:rFonts w:ascii="宋体" w:hAnsi="宋体"/>
          <w:color w:val="auto"/>
        </w:rPr>
      </w:pPr>
      <w:r>
        <w:rPr>
          <w:rFonts w:ascii="宋体" w:hAnsi="宋体" w:cs="宋体"/>
          <w:color w:val="auto"/>
        </w:rPr>
        <w:t>15.3</w:t>
      </w:r>
      <w:r>
        <w:rPr>
          <w:rFonts w:hint="eastAsia" w:ascii="宋体" w:hAnsi="宋体" w:cs="宋体"/>
          <w:color w:val="auto"/>
        </w:rPr>
        <w:t>本合同自签订之日起生效。</w:t>
      </w:r>
    </w:p>
    <w:p>
      <w:pPr>
        <w:pStyle w:val="33"/>
        <w:widowControl/>
        <w:spacing w:before="76" w:after="76" w:line="360" w:lineRule="auto"/>
        <w:ind w:firstLine="480"/>
        <w:rPr>
          <w:rFonts w:ascii="宋体" w:hAnsi="宋体"/>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33"/>
        <w:widowControl/>
        <w:spacing w:before="76" w:after="76" w:line="360" w:lineRule="auto"/>
        <w:rPr>
          <w:rFonts w:ascii="宋体" w:hAnsi="宋体" w:cs="宋体"/>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jc w:val="center"/>
        <w:rPr>
          <w:rFonts w:ascii="宋体" w:hAnsi="宋体" w:cs="宋体"/>
          <w:color w:val="auto"/>
        </w:rPr>
      </w:pPr>
      <w:r>
        <w:rPr>
          <w:rFonts w:hint="eastAsia" w:ascii="宋体" w:hAnsi="宋体" w:cs="宋体"/>
          <w:color w:val="auto"/>
        </w:rPr>
        <w:t>（以下无正文）</w:t>
      </w:r>
    </w:p>
    <w:p>
      <w:pPr>
        <w:pStyle w:val="33"/>
        <w:widowControl/>
        <w:spacing w:before="76" w:after="76" w:line="360" w:lineRule="auto"/>
        <w:jc w:val="center"/>
        <w:rPr>
          <w:rFonts w:ascii="宋体" w:hAnsi="宋体" w:cs="宋体"/>
          <w:color w:val="auto"/>
        </w:rPr>
      </w:pPr>
    </w:p>
    <w:p>
      <w:pPr>
        <w:pStyle w:val="33"/>
        <w:widowControl/>
        <w:spacing w:before="76" w:after="76" w:line="360" w:lineRule="auto"/>
        <w:jc w:val="center"/>
        <w:rPr>
          <w:rFonts w:ascii="宋体" w:hAnsi="宋体" w:cs="宋体"/>
          <w:color w:val="auto"/>
        </w:rPr>
      </w:pPr>
    </w:p>
    <w:p>
      <w:pPr>
        <w:pStyle w:val="33"/>
        <w:widowControl/>
        <w:spacing w:before="76" w:after="76" w:line="360" w:lineRule="auto"/>
        <w:jc w:val="center"/>
        <w:rPr>
          <w:rFonts w:ascii="宋体" w:hAnsi="宋体" w:cs="宋体"/>
          <w:color w:val="auto"/>
        </w:rPr>
      </w:pPr>
    </w:p>
    <w:p>
      <w:pPr>
        <w:pStyle w:val="33"/>
        <w:widowControl/>
        <w:spacing w:before="76" w:after="76" w:line="360" w:lineRule="auto"/>
        <w:ind w:left="240" w:hanging="240" w:hangingChars="100"/>
        <w:rPr>
          <w:rFonts w:ascii="宋体" w:hAnsi="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 xml:space="preserve"> 乙方：</w:t>
      </w:r>
    </w:p>
    <w:p>
      <w:pPr>
        <w:pStyle w:val="33"/>
        <w:widowControl/>
        <w:spacing w:before="76" w:after="76" w:line="360" w:lineRule="auto"/>
        <w:rPr>
          <w:rFonts w:ascii="宋体" w:hAnsi="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 xml:space="preserve"> 住所：</w:t>
      </w:r>
    </w:p>
    <w:p>
      <w:pPr>
        <w:pStyle w:val="33"/>
        <w:widowControl/>
        <w:spacing w:before="76" w:after="76" w:line="360" w:lineRule="auto"/>
        <w:rPr>
          <w:rFonts w:ascii="宋体" w:hAnsi="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 xml:space="preserve"> 单位负责人：</w:t>
      </w:r>
    </w:p>
    <w:p>
      <w:pPr>
        <w:pStyle w:val="33"/>
        <w:widowControl/>
        <w:spacing w:before="76" w:after="76" w:line="360" w:lineRule="auto"/>
        <w:rPr>
          <w:rFonts w:ascii="宋体" w:hAnsi="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 xml:space="preserve"> 委托代理人：</w:t>
      </w:r>
    </w:p>
    <w:p>
      <w:pPr>
        <w:pStyle w:val="33"/>
        <w:widowControl/>
        <w:spacing w:before="76" w:after="76" w:line="360" w:lineRule="auto"/>
        <w:rPr>
          <w:rFonts w:ascii="宋体" w:hAnsi="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 xml:space="preserve"> 联系方法：</w:t>
      </w:r>
    </w:p>
    <w:p>
      <w:pPr>
        <w:pStyle w:val="33"/>
        <w:widowControl/>
        <w:spacing w:before="76" w:after="76" w:line="360" w:lineRule="auto"/>
        <w:rPr>
          <w:rFonts w:ascii="宋体" w:hAnsi="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 xml:space="preserve"> 开户银行：</w:t>
      </w:r>
    </w:p>
    <w:p>
      <w:pPr>
        <w:pStyle w:val="33"/>
        <w:widowControl/>
        <w:spacing w:before="76" w:after="76" w:line="360" w:lineRule="auto"/>
        <w:rPr>
          <w:rFonts w:ascii="宋体" w:hAnsi="宋体"/>
          <w:color w:val="auto"/>
        </w:rPr>
      </w:pPr>
      <w:r>
        <w:rPr>
          <w:rFonts w:hint="eastAsia" w:ascii="宋体" w:hAnsi="宋体" w:cs="宋体"/>
          <w:color w:val="auto"/>
        </w:rPr>
        <w:t>账号：</w:t>
      </w:r>
      <w:r>
        <w:rPr>
          <w:rFonts w:ascii="宋体" w:hAnsi="宋体" w:cs="宋体"/>
          <w:color w:val="auto"/>
        </w:rPr>
        <w:t>                </w:t>
      </w:r>
      <w:r>
        <w:rPr>
          <w:rFonts w:hint="eastAsia" w:ascii="宋体" w:hAnsi="宋体" w:cs="宋体"/>
          <w:color w:val="auto"/>
        </w:rPr>
        <w:t xml:space="preserve">  账号：</w:t>
      </w:r>
    </w:p>
    <w:p>
      <w:pPr>
        <w:pStyle w:val="33"/>
        <w:widowControl/>
        <w:spacing w:before="76" w:after="76" w:line="360" w:lineRule="auto"/>
        <w:rPr>
          <w:rFonts w:ascii="宋体" w:hAnsi="宋体"/>
          <w:color w:val="auto"/>
        </w:rPr>
      </w:pPr>
      <w:r>
        <w:rPr>
          <w:rFonts w:ascii="宋体" w:hAnsi="宋体" w:cs="宋体"/>
          <w:color w:val="auto"/>
        </w:rPr>
        <w:t> </w:t>
      </w:r>
    </w:p>
    <w:p>
      <w:pPr>
        <w:pStyle w:val="33"/>
        <w:widowControl/>
        <w:spacing w:before="76" w:after="76" w:line="360" w:lineRule="auto"/>
        <w:rPr>
          <w:rFonts w:ascii="宋体" w:hAnsi="宋体"/>
          <w:color w:val="auto"/>
        </w:rPr>
      </w:pPr>
      <w:r>
        <w:rPr>
          <w:rFonts w:hint="eastAsia" w:ascii="宋体" w:hAnsi="宋体" w:cs="宋体"/>
          <w:color w:val="auto"/>
        </w:rPr>
        <w:t>签订地点：</w:t>
      </w:r>
      <w:r>
        <w:rPr>
          <w:rFonts w:ascii="宋体" w:hAnsi="宋体" w:cs="宋体"/>
          <w:color w:val="auto"/>
        </w:rPr>
        <w:t>                </w:t>
      </w:r>
    </w:p>
    <w:p>
      <w:pPr>
        <w:pStyle w:val="33"/>
        <w:widowControl/>
        <w:spacing w:before="76" w:after="76" w:line="360" w:lineRule="auto"/>
        <w:rPr>
          <w:rFonts w:ascii="宋体" w:hAnsi="宋体"/>
          <w:color w:val="auto"/>
        </w:rPr>
      </w:pPr>
      <w:r>
        <w:rPr>
          <w:rFonts w:hint="eastAsia" w:ascii="宋体" w:hAnsi="宋体" w:cs="宋体"/>
          <w:color w:val="auto"/>
        </w:rPr>
        <w:t>签订日期：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79"/>
        <w:rPr>
          <w:rFonts w:ascii="宋体" w:hAnsi="宋体" w:cs="宋体"/>
          <w:color w:val="auto"/>
        </w:rPr>
      </w:pPr>
      <w:r>
        <w:rPr>
          <w:rFonts w:ascii="宋体" w:hAnsi="宋体" w:cs="宋体"/>
          <w:color w:val="auto"/>
        </w:rPr>
        <w:t> </w:t>
      </w:r>
      <w:bookmarkStart w:id="21" w:name="_Toc511891598"/>
    </w:p>
    <w:p>
      <w:pPr>
        <w:rPr>
          <w:rFonts w:ascii="宋体" w:hAnsi="宋体" w:cs="宋体"/>
          <w:color w:val="auto"/>
        </w:rPr>
      </w:pPr>
      <w:r>
        <w:rPr>
          <w:rFonts w:ascii="宋体" w:hAnsi="宋体" w:cs="宋体"/>
          <w:color w:val="auto"/>
        </w:rPr>
        <w:br w:type="page"/>
      </w:r>
    </w:p>
    <w:bookmarkEnd w:id="21"/>
    <w:p>
      <w:pPr>
        <w:pStyle w:val="33"/>
        <w:keepNext w:val="0"/>
        <w:keepLines w:val="0"/>
        <w:widowControl/>
        <w:suppressLineNumbers w:val="0"/>
        <w:spacing w:before="75" w:beforeAutospacing="0" w:after="75" w:afterAutospacing="0" w:line="435" w:lineRule="atLeast"/>
        <w:ind w:left="0" w:right="0" w:firstLine="0"/>
        <w:jc w:val="center"/>
        <w:rPr>
          <w:rStyle w:val="39"/>
          <w:rFonts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jc w:val="center"/>
        <w:rPr>
          <w:color w:val="auto"/>
        </w:rPr>
      </w:pPr>
      <w:r>
        <w:rPr>
          <w:rStyle w:val="39"/>
          <w:rFonts w:ascii="宋体" w:hAnsi="宋体" w:eastAsia="宋体" w:cs="宋体"/>
          <w:color w:val="auto"/>
          <w:spacing w:val="0"/>
          <w:sz w:val="24"/>
          <w:szCs w:val="24"/>
        </w:rPr>
        <w:t>第五章</w:t>
      </w:r>
      <w:r>
        <w:rPr>
          <w:rStyle w:val="39"/>
          <w:rFonts w:hint="eastAsia" w:ascii="宋体" w:hAnsi="宋体" w:eastAsia="宋体" w:cs="宋体"/>
          <w:color w:val="auto"/>
          <w:spacing w:val="0"/>
          <w:sz w:val="24"/>
          <w:szCs w:val="24"/>
        </w:rPr>
        <w:t>  首次响应文件格式</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center"/>
        <w:rPr>
          <w:color w:val="auto"/>
        </w:rPr>
      </w:pPr>
      <w:r>
        <w:rPr>
          <w:rStyle w:val="39"/>
          <w:rFonts w:hint="eastAsia" w:ascii="宋体" w:hAnsi="宋体" w:eastAsia="宋体" w:cs="宋体"/>
          <w:color w:val="auto"/>
          <w:spacing w:val="0"/>
          <w:sz w:val="24"/>
          <w:szCs w:val="24"/>
        </w:rPr>
        <w:t>编制说明</w:t>
      </w:r>
    </w:p>
    <w:p>
      <w:pPr>
        <w:pStyle w:val="33"/>
        <w:keepNext w:val="0"/>
        <w:keepLines w:val="0"/>
        <w:widowControl/>
        <w:suppressLineNumbers w:val="0"/>
        <w:spacing w:before="75" w:beforeAutospacing="0" w:after="75" w:afterAutospacing="0" w:line="435" w:lineRule="atLeast"/>
        <w:ind w:left="0" w:right="0" w:firstLine="480"/>
        <w:rPr>
          <w:color w:val="auto"/>
        </w:rPr>
      </w:pPr>
      <w:r>
        <w:rPr>
          <w:rFonts w:hint="eastAsia" w:ascii="宋体" w:hAnsi="宋体" w:eastAsia="宋体" w:cs="宋体"/>
          <w:color w:val="auto"/>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3"/>
        <w:keepNext w:val="0"/>
        <w:keepLines w:val="0"/>
        <w:widowControl/>
        <w:suppressLineNumbers w:val="0"/>
        <w:spacing w:before="75" w:beforeAutospacing="0" w:after="75" w:afterAutospacing="0" w:line="435" w:lineRule="atLeast"/>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sz w:val="52"/>
          <w:szCs w:val="52"/>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z w:val="52"/>
          <w:szCs w:val="52"/>
        </w:rPr>
      </w:pPr>
      <w:r>
        <w:rPr>
          <w:rStyle w:val="39"/>
          <w:rFonts w:hint="eastAsia" w:ascii="宋体" w:hAnsi="宋体" w:eastAsia="宋体" w:cs="宋体"/>
          <w:color w:val="auto"/>
          <w:spacing w:val="0"/>
          <w:sz w:val="52"/>
          <w:szCs w:val="52"/>
        </w:rPr>
        <w:t>福建省政府采购项目竞争性谈判</w:t>
      </w:r>
    </w:p>
    <w:p>
      <w:pPr>
        <w:pStyle w:val="33"/>
        <w:keepNext w:val="0"/>
        <w:keepLines w:val="0"/>
        <w:widowControl/>
        <w:suppressLineNumbers w:val="0"/>
        <w:spacing w:before="75" w:beforeAutospacing="0" w:after="75" w:afterAutospacing="0"/>
        <w:ind w:left="0" w:right="0" w:firstLine="0"/>
        <w:jc w:val="center"/>
        <w:rPr>
          <w:color w:val="auto"/>
          <w:sz w:val="52"/>
          <w:szCs w:val="52"/>
        </w:rPr>
      </w:pPr>
      <w:r>
        <w:rPr>
          <w:rStyle w:val="39"/>
          <w:rFonts w:hint="eastAsia" w:ascii="宋体" w:hAnsi="宋体" w:eastAsia="宋体" w:cs="宋体"/>
          <w:color w:val="auto"/>
          <w:spacing w:val="0"/>
          <w:sz w:val="52"/>
          <w:szCs w:val="52"/>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响应文件</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（首次）</w:t>
      </w:r>
    </w:p>
    <w:p>
      <w:pPr>
        <w:pStyle w:val="33"/>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1260"/>
        <w:rPr>
          <w:color w:val="auto"/>
          <w:sz w:val="28"/>
          <w:szCs w:val="28"/>
        </w:rPr>
      </w:pPr>
      <w:r>
        <w:rPr>
          <w:rStyle w:val="39"/>
          <w:rFonts w:hint="eastAsia" w:ascii="宋体" w:hAnsi="宋体" w:eastAsia="宋体" w:cs="宋体"/>
          <w:color w:val="auto"/>
          <w:spacing w:val="0"/>
          <w:sz w:val="28"/>
          <w:szCs w:val="28"/>
        </w:rPr>
        <w:t>项目名称：               </w:t>
      </w:r>
    </w:p>
    <w:p>
      <w:pPr>
        <w:pStyle w:val="33"/>
        <w:keepNext w:val="0"/>
        <w:keepLines w:val="0"/>
        <w:widowControl/>
        <w:suppressLineNumbers w:val="0"/>
        <w:spacing w:before="75" w:beforeAutospacing="0" w:after="75" w:afterAutospacing="0"/>
        <w:ind w:left="0" w:right="0" w:firstLine="1260"/>
        <w:rPr>
          <w:color w:val="auto"/>
          <w:sz w:val="28"/>
          <w:szCs w:val="28"/>
        </w:rPr>
      </w:pPr>
      <w:r>
        <w:rPr>
          <w:rStyle w:val="39"/>
          <w:rFonts w:hint="eastAsia" w:ascii="宋体" w:hAnsi="宋体" w:eastAsia="宋体" w:cs="宋体"/>
          <w:color w:val="auto"/>
          <w:spacing w:val="0"/>
          <w:sz w:val="28"/>
          <w:szCs w:val="28"/>
        </w:rPr>
        <w:t>项目编号：               </w:t>
      </w:r>
    </w:p>
    <w:p>
      <w:pPr>
        <w:pStyle w:val="33"/>
        <w:keepNext w:val="0"/>
        <w:keepLines w:val="0"/>
        <w:widowControl/>
        <w:suppressLineNumbers w:val="0"/>
        <w:spacing w:before="75" w:beforeAutospacing="0" w:after="75" w:afterAutospacing="0"/>
        <w:ind w:left="0" w:right="0" w:firstLine="1260"/>
        <w:rPr>
          <w:color w:val="auto"/>
        </w:rPr>
      </w:pPr>
      <w:r>
        <w:rPr>
          <w:rStyle w:val="39"/>
          <w:rFonts w:hint="eastAsia" w:ascii="宋体" w:hAnsi="宋体" w:eastAsia="宋体" w:cs="宋体"/>
          <w:color w:val="auto"/>
          <w:spacing w:val="0"/>
          <w:sz w:val="28"/>
          <w:szCs w:val="28"/>
        </w:rPr>
        <w:t>合同包:  </w:t>
      </w: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z w:val="28"/>
          <w:szCs w:val="28"/>
        </w:rPr>
      </w:pPr>
      <w:r>
        <w:rPr>
          <w:rStyle w:val="39"/>
          <w:rFonts w:hint="eastAsia" w:ascii="宋体" w:hAnsi="宋体" w:eastAsia="宋体" w:cs="宋体"/>
          <w:color w:val="auto"/>
          <w:spacing w:val="0"/>
          <w:sz w:val="24"/>
          <w:szCs w:val="24"/>
        </w:rPr>
        <w:t xml:space="preserve">      </w:t>
      </w:r>
      <w:r>
        <w:rPr>
          <w:rStyle w:val="39"/>
          <w:rFonts w:hint="eastAsia" w:ascii="宋体" w:hAnsi="宋体" w:eastAsia="宋体" w:cs="宋体"/>
          <w:color w:val="auto"/>
          <w:spacing w:val="0"/>
          <w:sz w:val="28"/>
          <w:szCs w:val="28"/>
        </w:rPr>
        <w:t>供应商名称 ：               </w:t>
      </w:r>
    </w:p>
    <w:p>
      <w:pPr>
        <w:pStyle w:val="33"/>
        <w:keepNext w:val="0"/>
        <w:keepLines w:val="0"/>
        <w:widowControl/>
        <w:suppressLineNumbers w:val="0"/>
        <w:spacing w:before="75" w:beforeAutospacing="0" w:after="75" w:afterAutospacing="0"/>
        <w:ind w:left="0" w:right="0" w:firstLine="0"/>
        <w:rPr>
          <w:color w:val="auto"/>
        </w:rPr>
      </w:pPr>
      <w:r>
        <w:rPr>
          <w:rStyle w:val="39"/>
          <w:rFonts w:hint="eastAsia" w:ascii="宋体" w:hAnsi="宋体" w:eastAsia="宋体" w:cs="宋体"/>
          <w:color w:val="auto"/>
          <w:spacing w:val="0"/>
          <w:sz w:val="28"/>
          <w:szCs w:val="28"/>
        </w:rPr>
        <w:t>      日   期 ： </w:t>
      </w: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center"/>
        <w:rPr>
          <w:rStyle w:val="39"/>
          <w:rFonts w:hint="eastAsia" w:ascii="宋体" w:hAnsi="宋体" w:eastAsia="宋体" w:cs="宋体"/>
          <w:color w:val="auto"/>
          <w:spacing w:val="0"/>
          <w:sz w:val="28"/>
          <w:szCs w:val="28"/>
          <w:lang w:eastAsia="zh-CN"/>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9"/>
          <w:rFonts w:hint="eastAsia" w:ascii="宋体" w:hAnsi="宋体" w:eastAsia="宋体" w:cs="宋体"/>
          <w:color w:val="auto"/>
          <w:spacing w:val="0"/>
          <w:sz w:val="28"/>
          <w:szCs w:val="28"/>
        </w:rPr>
        <w:t>目  录</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附件1：谈判响应声明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附件2：报价一览表（含详细报价书）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附件4：谈判保证金凭证</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附件5：技术、服务和商务响应表</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附件6：相关技术、商务、服务响应承诺及资料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附件8：要求作为响应文件组成部分的其他内容（若有）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附件1           </w:t>
      </w:r>
      <w:r>
        <w:rPr>
          <w:rFonts w:hint="eastAsia" w:ascii="宋体" w:hAnsi="宋体" w:eastAsia="宋体" w:cs="宋体"/>
          <w:color w:val="auto"/>
          <w:spacing w:val="0"/>
          <w:sz w:val="28"/>
          <w:szCs w:val="28"/>
        </w:rPr>
        <w:t> </w:t>
      </w:r>
      <w:r>
        <w:rPr>
          <w:rStyle w:val="39"/>
          <w:rFonts w:hint="eastAsia" w:ascii="宋体" w:hAnsi="宋体" w:eastAsia="宋体" w:cs="宋体"/>
          <w:color w:val="auto"/>
          <w:spacing w:val="0"/>
          <w:sz w:val="28"/>
          <w:szCs w:val="28"/>
        </w:rPr>
        <w:t>谈判响应声明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0"/>
        <w:jc w:val="left"/>
        <w:rPr>
          <w:color w:val="auto"/>
        </w:rPr>
      </w:pPr>
      <w:r>
        <w:rPr>
          <w:rFonts w:hint="eastAsia" w:ascii="宋体" w:hAnsi="宋体" w:eastAsia="宋体" w:cs="宋体"/>
          <w:color w:val="auto"/>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（1）谈判响应声明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（2）报价一览表（含详细报价书）</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（3）资格证明文件</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（4）谈判保证金凭证</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（5）技术、服务和商务响应表</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（6）相关技术、商务、服务响应承诺及资料</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（7）供应商提交符合政府采购政策的证明材料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（8）按照谈判文件规定，要求作为响应文件组成部分的其他内容（若有）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2.据此函，我方宣布响应承诺如下：</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2.5我方愿意向贵方提供任何与本项目谈判采购有关的数据或资料。若贵方需要，我方愿意提供我方作出的一切承诺的证明材料。</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通信地址：                            .</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邮编：        传真号：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联系电话（固定电话和移动电话）：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供应商代表：     （签字） </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供应商代表电子信箱：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供应商：         （全称并加盖公章）              .</w:t>
      </w:r>
    </w:p>
    <w:p>
      <w:pPr>
        <w:pStyle w:val="33"/>
        <w:keepNext w:val="0"/>
        <w:keepLines w:val="0"/>
        <w:widowControl/>
        <w:suppressLineNumbers w:val="0"/>
        <w:spacing w:before="75" w:beforeAutospacing="0" w:after="75" w:afterAutospacing="0" w:line="435" w:lineRule="atLeast"/>
        <w:ind w:left="0" w:right="0" w:firstLine="480"/>
        <w:rPr>
          <w:color w:val="auto"/>
        </w:rPr>
      </w:pPr>
      <w:r>
        <w:rPr>
          <w:rFonts w:hint="eastAsia" w:ascii="宋体" w:hAnsi="宋体" w:eastAsia="宋体" w:cs="宋体"/>
          <w:color w:val="auto"/>
          <w:spacing w:val="0"/>
          <w:sz w:val="24"/>
          <w:szCs w:val="24"/>
        </w:rPr>
        <w:t> 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附件2</w:t>
      </w:r>
      <w:r>
        <w:rPr>
          <w:rFonts w:hint="eastAsia" w:ascii="宋体" w:hAnsi="宋体" w:eastAsia="宋体" w:cs="宋体"/>
          <w:color w:val="auto"/>
          <w:spacing w:val="0"/>
          <w:sz w:val="28"/>
          <w:szCs w:val="28"/>
        </w:rPr>
        <w:t>            </w:t>
      </w:r>
      <w:r>
        <w:rPr>
          <w:rStyle w:val="39"/>
          <w:rFonts w:hint="eastAsia" w:ascii="宋体" w:hAnsi="宋体" w:eastAsia="宋体" w:cs="宋体"/>
          <w:color w:val="auto"/>
          <w:spacing w:val="0"/>
          <w:sz w:val="28"/>
          <w:szCs w:val="28"/>
        </w:rPr>
        <w:t>报价一览表</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供应商名称：（全称加盖单位公章）项目编号∶          货币单位：元人民币</w:t>
      </w:r>
    </w:p>
    <w:tbl>
      <w:tblPr>
        <w:tblStyle w:val="36"/>
        <w:tblpPr w:leftFromText="180" w:rightFromText="180" w:vertAnchor="text" w:horzAnchor="page" w:tblpX="1149" w:tblpY="456"/>
        <w:tblOverlap w:val="never"/>
        <w:tblW w:w="964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65"/>
        <w:gridCol w:w="3696"/>
        <w:gridCol w:w="1796"/>
        <w:gridCol w:w="1021"/>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合同包</w:t>
            </w:r>
          </w:p>
        </w:tc>
        <w:tc>
          <w:tcPr>
            <w:tcW w:w="3666"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首次报价</w:t>
            </w:r>
          </w:p>
        </w:tc>
        <w:tc>
          <w:tcPr>
            <w:tcW w:w="1766"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交货期/工期/项目完成时间/服务时间</w:t>
            </w:r>
          </w:p>
        </w:tc>
        <w:tc>
          <w:tcPr>
            <w:tcW w:w="99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谈判保证金</w:t>
            </w:r>
          </w:p>
        </w:tc>
        <w:tc>
          <w:tcPr>
            <w:tcW w:w="202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备注：详细报价书另纸详列，格式自拟。</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1"/>
          <w:szCs w:val="21"/>
        </w:rPr>
        <w:t>                                             </w:t>
      </w: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4"/>
          <w:szCs w:val="24"/>
        </w:rPr>
        <w:t>附件2-1       </w:t>
      </w:r>
      <w:r>
        <w:rPr>
          <w:rFonts w:hint="eastAsia" w:ascii="宋体" w:hAnsi="宋体" w:eastAsia="宋体" w:cs="宋体"/>
          <w:color w:val="auto"/>
          <w:spacing w:val="0"/>
          <w:sz w:val="36"/>
          <w:szCs w:val="36"/>
        </w:rPr>
        <w:t> </w:t>
      </w:r>
      <w:r>
        <w:rPr>
          <w:rFonts w:hint="eastAsia" w:ascii="宋体" w:hAnsi="宋体" w:eastAsia="宋体" w:cs="宋体"/>
          <w:color w:val="auto"/>
          <w:spacing w:val="0"/>
          <w:sz w:val="36"/>
          <w:szCs w:val="36"/>
          <w:lang w:val="en-US" w:eastAsia="zh-CN"/>
        </w:rPr>
        <w:t xml:space="preserve">     </w:t>
      </w:r>
      <w:r>
        <w:rPr>
          <w:rStyle w:val="39"/>
          <w:rFonts w:hint="eastAsia" w:ascii="宋体" w:hAnsi="宋体" w:eastAsia="宋体" w:cs="宋体"/>
          <w:color w:val="auto"/>
          <w:spacing w:val="0"/>
          <w:sz w:val="28"/>
          <w:szCs w:val="28"/>
        </w:rPr>
        <w:t>详细报价书</w:t>
      </w:r>
    </w:p>
    <w:p>
      <w:pPr>
        <w:pStyle w:val="33"/>
        <w:keepNext w:val="0"/>
        <w:keepLines w:val="0"/>
        <w:widowControl/>
        <w:suppressLineNumbers w:val="0"/>
        <w:spacing w:before="75" w:beforeAutospacing="0" w:after="75" w:afterAutospacing="0" w:line="495" w:lineRule="atLeast"/>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rPr>
      </w:pPr>
      <w:r>
        <w:rPr>
          <w:rStyle w:val="39"/>
          <w:rFonts w:hint="eastAsia" w:ascii="宋体" w:hAnsi="宋体" w:eastAsia="宋体" w:cs="宋体"/>
          <w:color w:val="auto"/>
          <w:spacing w:val="0"/>
          <w:sz w:val="24"/>
          <w:szCs w:val="24"/>
        </w:rPr>
        <w:t>说明：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3"/>
        <w:keepNext w:val="0"/>
        <w:keepLines w:val="0"/>
        <w:widowControl/>
        <w:suppressLineNumbers w:val="0"/>
        <w:spacing w:before="75" w:beforeAutospacing="0" w:after="75" w:afterAutospacing="0" w:line="49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4"/>
          <w:szCs w:val="24"/>
        </w:rPr>
        <w:t>附件3        </w:t>
      </w:r>
      <w:r>
        <w:rPr>
          <w:rFonts w:hint="eastAsia" w:ascii="宋体" w:hAnsi="宋体" w:eastAsia="宋体" w:cs="宋体"/>
          <w:color w:val="auto"/>
          <w:spacing w:val="0"/>
          <w:sz w:val="28"/>
          <w:szCs w:val="28"/>
        </w:rPr>
        <w:t> </w:t>
      </w:r>
      <w:r>
        <w:rPr>
          <w:rFonts w:hint="eastAsia" w:ascii="宋体" w:hAnsi="宋体" w:eastAsia="宋体" w:cs="宋体"/>
          <w:color w:val="auto"/>
          <w:spacing w:val="0"/>
          <w:sz w:val="28"/>
          <w:szCs w:val="28"/>
          <w:lang w:val="en-US" w:eastAsia="zh-CN"/>
        </w:rPr>
        <w:t xml:space="preserve">     </w:t>
      </w:r>
      <w:r>
        <w:rPr>
          <w:rStyle w:val="39"/>
          <w:rFonts w:hint="eastAsia" w:ascii="宋体" w:hAnsi="宋体" w:eastAsia="宋体" w:cs="宋体"/>
          <w:color w:val="auto"/>
          <w:spacing w:val="0"/>
          <w:sz w:val="28"/>
          <w:szCs w:val="28"/>
        </w:rPr>
        <w:t>资格证明文件</w:t>
      </w: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line="465" w:lineRule="atLeast"/>
        <w:ind w:left="0" w:right="0" w:firstLine="0"/>
        <w:rPr>
          <w:color w:val="auto"/>
          <w:sz w:val="28"/>
          <w:szCs w:val="28"/>
        </w:rPr>
      </w:pPr>
      <w:r>
        <w:rPr>
          <w:rFonts w:hint="eastAsia" w:ascii="宋体" w:hAnsi="宋体" w:eastAsia="宋体" w:cs="宋体"/>
          <w:color w:val="auto"/>
          <w:spacing w:val="0"/>
          <w:sz w:val="28"/>
          <w:szCs w:val="28"/>
        </w:rPr>
        <w:t>附件3-1       </w:t>
      </w:r>
      <w:r>
        <w:rPr>
          <w:rStyle w:val="39"/>
          <w:rFonts w:hint="eastAsia" w:ascii="宋体" w:hAnsi="宋体" w:eastAsia="宋体" w:cs="宋体"/>
          <w:color w:val="auto"/>
          <w:spacing w:val="0"/>
          <w:sz w:val="28"/>
          <w:szCs w:val="28"/>
        </w:rPr>
        <w:t>参加竞争性谈判的声明函</w:t>
      </w: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2、供应商的基本概况：</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2.1供应商单位名称：                     </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2.2注册地址：                           </w:t>
      </w:r>
    </w:p>
    <w:p>
      <w:pPr>
        <w:pStyle w:val="33"/>
        <w:keepNext w:val="0"/>
        <w:keepLines w:val="0"/>
        <w:widowControl/>
        <w:suppressLineNumbers w:val="0"/>
        <w:spacing w:before="75" w:beforeAutospacing="0" w:after="75" w:afterAutospacing="0" w:line="360" w:lineRule="auto"/>
        <w:ind w:left="540" w:right="0" w:firstLine="0"/>
        <w:rPr>
          <w:color w:val="auto"/>
        </w:rPr>
      </w:pPr>
      <w:r>
        <w:rPr>
          <w:rFonts w:hint="eastAsia" w:ascii="宋体" w:hAnsi="宋体" w:eastAsia="宋体" w:cs="宋体"/>
          <w:color w:val="auto"/>
          <w:spacing w:val="0"/>
          <w:sz w:val="24"/>
          <w:szCs w:val="24"/>
        </w:rPr>
        <w:t>2.3单位负责人姓名：    性别：     年龄：     职务：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备注：“单位负责人”指单位法定代表人（供应商为法人的）或法律、法规规定代表单位行使职权的主要负责人（供应商为其他组织的）。</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附件3-2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rPr>
        <w:t>供应商的资格声明</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Style w:val="39"/>
          <w:rFonts w:hint="eastAsia" w:ascii="宋体" w:hAnsi="宋体" w:eastAsia="宋体" w:cs="宋体"/>
          <w:color w:val="auto"/>
          <w:spacing w:val="0"/>
          <w:sz w:val="24"/>
          <w:szCs w:val="24"/>
        </w:rPr>
        <w:t>  1、</w:t>
      </w:r>
      <w:r>
        <w:rPr>
          <w:rFonts w:hint="eastAsia" w:ascii="宋体" w:hAnsi="宋体" w:eastAsia="宋体" w:cs="宋体"/>
          <w:color w:val="auto"/>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36"/>
        <w:tblW w:w="9372"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968"/>
        <w:gridCol w:w="3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《中华人民共和国政府采购法》第二十二条对供应商的要求</w:t>
            </w:r>
          </w:p>
        </w:tc>
        <w:tc>
          <w:tcPr>
            <w:tcW w:w="335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（1）具有独立承担民事责任的能力</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（2）具有良好的商业信誉和健全的财务会计制度</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（3）具有履行合同所必需的设备和专业技术能力</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（4）有依法缴纳税收和社会保障资金的良好记录</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（5）参加政府采购活动前三年内，在经营活动中没有重大违法记录</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（6）法律、行政法规规定的其他条件。</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谈判文件对合格供应商的一般规定</w:t>
            </w:r>
          </w:p>
        </w:tc>
        <w:tc>
          <w:tcPr>
            <w:tcW w:w="335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9"/>
                <w:rFonts w:hint="eastAsia" w:ascii="宋体" w:hAnsi="宋体" w:eastAsia="宋体" w:cs="宋体"/>
                <w:color w:val="auto"/>
                <w:spacing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供应商应当遵守中国的有关法律、法规和规章的规定，参加政府采购活动时已经自觉检查并按照政府采购相关法律规定，主动回避相应利害关系。</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列入失信被执行人、重大税收违法案件当事人名单、政府采购严重违法失信行为记录名单的供应商，不得参加政府采购活动。</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2、我方对上述声明的真实性、合法性、准确性、有效性负责，并愿意根据谈判文件和谈判过程中贵方要求提供全部现有资料、数据、文件等予以证实。</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备注：对于接受联合体形式的谈判且供应商是联合体的，则联合体各成员都应当提交本资格证明文件。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附件3-3         </w:t>
      </w:r>
      <w:r>
        <w:rPr>
          <w:rStyle w:val="39"/>
          <w:rFonts w:hint="eastAsia" w:ascii="宋体" w:hAnsi="宋体" w:eastAsia="宋体" w:cs="宋体"/>
          <w:color w:val="auto"/>
          <w:spacing w:val="0"/>
          <w:sz w:val="24"/>
          <w:szCs w:val="24"/>
        </w:rPr>
        <w:t>单位负责人授权书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供应商代表无转委权。特此授权。</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（以下无正文）</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单位负责人：        身份证号：       手机：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身份证号：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手机：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授权方</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供应商：（全称并加盖单位公章）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单位负责人签字或盖章：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接受授权方</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供应商代表签字：</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签署日期：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附：单位负责人、供应商代表的身份证正反面复印件</w:t>
      </w:r>
    </w:p>
    <w:tbl>
      <w:tblPr>
        <w:tblStyle w:val="36"/>
        <w:tblW w:w="943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48" w:hRule="atLeast"/>
          <w:tblCellSpacing w:w="15" w:type="dxa"/>
        </w:trPr>
        <w:tc>
          <w:tcPr>
            <w:tcW w:w="937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jc w:val="center"/>
              <w:rPr>
                <w:color w:val="auto"/>
              </w:rPr>
            </w:pPr>
            <w:r>
              <w:rPr>
                <w:rStyle w:val="39"/>
                <w:rFonts w:hint="eastAsia" w:ascii="宋体" w:hAnsi="宋体" w:eastAsia="宋体" w:cs="宋体"/>
                <w:color w:val="auto"/>
                <w:spacing w:val="0"/>
                <w:sz w:val="24"/>
                <w:szCs w:val="24"/>
              </w:rPr>
              <w:t>要求：真实、有效、清晰</w:t>
            </w:r>
          </w:p>
          <w:p>
            <w:pPr>
              <w:pStyle w:val="33"/>
              <w:keepNext w:val="0"/>
              <w:keepLines w:val="0"/>
              <w:widowControl/>
              <w:suppressLineNumbers w:val="0"/>
              <w:spacing w:before="0" w:beforeAutospacing="0" w:after="0" w:afterAutospacing="0" w:line="360" w:lineRule="auto"/>
              <w:ind w:left="0" w:right="0"/>
              <w:jc w:val="center"/>
              <w:rPr>
                <w:color w:val="auto"/>
              </w:rPr>
            </w:pPr>
            <w:r>
              <w:rPr>
                <w:rStyle w:val="39"/>
                <w:rFonts w:hint="eastAsia" w:ascii="宋体" w:hAnsi="宋体" w:eastAsia="宋体" w:cs="宋体"/>
                <w:color w:val="auto"/>
                <w:spacing w:val="0"/>
                <w:sz w:val="24"/>
                <w:szCs w:val="24"/>
              </w:rPr>
              <w:t> </w:t>
            </w:r>
          </w:p>
        </w:tc>
      </w:tr>
    </w:tbl>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1、企业（银行、保险、石油石化、电力、电信等行业除外）、事业单位和社会团体法人的“单位负责人”指</w:t>
      </w:r>
      <w:r>
        <w:rPr>
          <w:rStyle w:val="39"/>
          <w:rFonts w:hint="eastAsia" w:ascii="宋体" w:hAnsi="宋体" w:eastAsia="宋体" w:cs="宋体"/>
          <w:color w:val="auto"/>
          <w:spacing w:val="0"/>
          <w:sz w:val="21"/>
          <w:szCs w:val="21"/>
        </w:rPr>
        <w:t>法定代表人</w:t>
      </w:r>
      <w:r>
        <w:rPr>
          <w:rFonts w:hint="eastAsia" w:ascii="宋体" w:hAnsi="宋体" w:eastAsia="宋体" w:cs="宋体"/>
          <w:color w:val="auto"/>
          <w:spacing w:val="0"/>
          <w:sz w:val="21"/>
          <w:szCs w:val="21"/>
        </w:rPr>
        <w:t>，即与实际提交的“营业执照等证明文件”载明的一致。</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2、银行、保险、石油石化、电力、电信等行业：以法人身份参加谈判的，“单位负责人”指</w:t>
      </w:r>
      <w:r>
        <w:rPr>
          <w:rStyle w:val="39"/>
          <w:rFonts w:hint="eastAsia" w:ascii="宋体" w:hAnsi="宋体" w:eastAsia="宋体" w:cs="宋体"/>
          <w:color w:val="auto"/>
          <w:spacing w:val="0"/>
          <w:sz w:val="21"/>
          <w:szCs w:val="21"/>
        </w:rPr>
        <w:t>法定代表人</w:t>
      </w:r>
      <w:r>
        <w:rPr>
          <w:rFonts w:hint="eastAsia" w:ascii="宋体" w:hAnsi="宋体" w:eastAsia="宋体" w:cs="宋体"/>
          <w:color w:val="auto"/>
          <w:spacing w:val="0"/>
          <w:sz w:val="21"/>
          <w:szCs w:val="21"/>
        </w:rPr>
        <w:t>，即与实际提交的“营业执照等证明文件”载明的一致；以非法人身份参加谈判的，“单位负责人”指</w:t>
      </w:r>
      <w:r>
        <w:rPr>
          <w:rStyle w:val="39"/>
          <w:rFonts w:hint="eastAsia" w:ascii="宋体" w:hAnsi="宋体" w:eastAsia="宋体" w:cs="宋体"/>
          <w:color w:val="auto"/>
          <w:spacing w:val="0"/>
          <w:sz w:val="21"/>
          <w:szCs w:val="21"/>
        </w:rPr>
        <w:t>代表单位行使职权的主要负责人</w:t>
      </w:r>
      <w:r>
        <w:rPr>
          <w:rFonts w:hint="eastAsia" w:ascii="宋体" w:hAnsi="宋体" w:eastAsia="宋体" w:cs="宋体"/>
          <w:color w:val="auto"/>
          <w:spacing w:val="0"/>
          <w:sz w:val="21"/>
          <w:szCs w:val="21"/>
        </w:rPr>
        <w:t>，即与实际提交的“营业执照等证明文件”载明的一致。</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4、对于接受联合体形式的谈判且供应商是联合体的，则只需要联合体的牵头方提交本授权书，在纸质响应文件正本中的本授权书应为原件。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附件3-4 </w:t>
      </w:r>
      <w:r>
        <w:rPr>
          <w:rStyle w:val="39"/>
          <w:rFonts w:hint="eastAsia" w:ascii="宋体" w:hAnsi="宋体" w:eastAsia="宋体" w:cs="宋体"/>
          <w:color w:val="auto"/>
          <w:spacing w:val="0"/>
          <w:sz w:val="24"/>
          <w:szCs w:val="24"/>
        </w:rPr>
        <w:t>       营业执照等证明文件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）供应商为法人（包括企业、事业单位和社会团体）的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现附上由（填写“签发机关全称”）签发的我方统一社会信用代码（请填写法人的具体证照名称）复印件，该证明材料真实有效，否则我方负全部责任。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）供应商为非法人（包括其他组织、自然人）的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□现附上由（填写“签发机关全称”）签发的我方（请填写非自然人的非法人的具体证照名称）复印件，该证明材料真实有效，否则我方负全部责任。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□现附上由（填写“签发机关全称”）签发的我方（请填写自然人的身份证件名称）复印件，该证明材料真实有效，否则我方负全部责任。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1、请供应商根据实际情况填写，在相应的（）中打“√”并选择相应的“□”（若有）后，再按照本格式的要求提供相应证明材料的复印件。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4、对于接受联合体形式的谈判且供应商是联合体的，则联合体各成员都应当提交本资格证明文件。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附件3-5             </w:t>
      </w:r>
      <w:r>
        <w:rPr>
          <w:rStyle w:val="39"/>
          <w:rFonts w:hint="eastAsia" w:ascii="宋体" w:hAnsi="宋体" w:eastAsia="宋体" w:cs="宋体"/>
          <w:color w:val="auto"/>
          <w:spacing w:val="0"/>
          <w:sz w:val="24"/>
          <w:szCs w:val="24"/>
        </w:rPr>
        <w:t>财务状况报告</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）供应商提供财务报告的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）供应商提供资信证明的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□非自然人适用：现附上我方银行：（填写“开户银行全称”）出具的资信证明复印件，上述证明材料真实有效，否则我方负全部责任。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□自然人适用：现附上我方银行：（填写自然人的“个人账户的开户银行全称”）出具的资信证明复印件，上述证明材料真实有效，否则我方负全部责任。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）供应商提供投标担保函的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现附上由财政部门认可的政府采购专业担保机构：（填写“担保机构全称”）出具的投标担保函复印件，上述证明材料真实有效，否则我方负全部责任。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★注意事项：</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2、供应商提供的财务报告复印件（成立年限按照首次响应文件递交截止时间推算）应符合下列规定：</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2.1成立年限满1年及以上的供应商，提供经审计的上一年度的年度财务报告。</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2.2成立年限满半年但不足1年的供应商，提供该半年度中任一季度的季度财务报告或该半年度的半年度财务报告。</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9"/>
          <w:rFonts w:hint="eastAsia" w:ascii="宋体" w:hAnsi="宋体" w:eastAsia="宋体" w:cs="宋体"/>
          <w:color w:val="auto"/>
          <w:spacing w:val="0"/>
          <w:sz w:val="21"/>
          <w:szCs w:val="21"/>
        </w:rPr>
        <w:t>※无法按照本格式注意事项第2.1、2.2条规定提供财务报告复印件的供应商，应按照本格式注意事项的要求选择提供资信证明复印件或投标担保函复印件。</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3、“财政部门认可的政府采购专业担保机构”应符合《财政部关于开展政府采购信用担保试点工作方案》（财库[2011]124号）的规定。</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4、供应商提供的相应证明材料复印件均应符合：内容完整、清晰、整洁，并由供应商加盖其单位公章。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Style w:val="39"/>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附件3-6          </w:t>
      </w:r>
      <w:r>
        <w:rPr>
          <w:rStyle w:val="39"/>
          <w:rFonts w:hint="eastAsia" w:ascii="宋体" w:hAnsi="宋体" w:eastAsia="宋体" w:cs="宋体"/>
          <w:color w:val="auto"/>
          <w:spacing w:val="0"/>
          <w:sz w:val="24"/>
          <w:szCs w:val="24"/>
        </w:rPr>
        <w:t>依法缴纳税收证明材料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9"/>
          <w:rFonts w:hint="eastAsia" w:ascii="宋体" w:hAnsi="宋体" w:eastAsia="宋体" w:cs="宋体"/>
          <w:color w:val="auto"/>
          <w:spacing w:val="0"/>
          <w:sz w:val="24"/>
          <w:szCs w:val="24"/>
        </w:rPr>
        <w:t>1、依法缴纳税收的供应商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日期间我方缴纳的（按照供应商实际缴纳的税种名称填写）税收凭据复印件，上述证明材料真实有效，否则我方负全部责任。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9"/>
          <w:rFonts w:hint="eastAsia" w:ascii="宋体" w:hAnsi="宋体" w:eastAsia="宋体" w:cs="宋体"/>
          <w:color w:val="auto"/>
          <w:spacing w:val="0"/>
          <w:sz w:val="24"/>
          <w:szCs w:val="24"/>
        </w:rPr>
        <w:t>2、依法免税的供应商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）现附上我方依法免税证明材料复印件，上述证明材料真实有效，否则我方负全部责任。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1、请供应商根据实际情况填写，在相应的（）中打“√”，并按照本格式的要求提供相应证明材料的复印件。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2、供应商提供的税收凭据复印件应符合下列规定：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2.2首次响应文件递交截止时间的当月成立且已依法缴纳税收的供应商，提供截止时间当月的税收凭据复印件。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2.3首次响应文件递交截止时间的当月成立但因税务机关原因而尚未依法缴纳税收的供应商，提供依法缴纳税收承诺书原件（格式自拟），该承诺书视同税收凭据。</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4、</w:t>
      </w:r>
      <w:r>
        <w:rPr>
          <w:rStyle w:val="39"/>
          <w:rFonts w:hint="eastAsia" w:ascii="宋体" w:hAnsi="宋体" w:eastAsia="宋体" w:cs="宋体"/>
          <w:color w:val="auto"/>
          <w:spacing w:val="0"/>
          <w:sz w:val="21"/>
          <w:szCs w:val="21"/>
        </w:rPr>
        <w:t>“依法缴纳税收证明材料”</w:t>
      </w:r>
      <w:r>
        <w:rPr>
          <w:rFonts w:hint="eastAsia" w:ascii="宋体" w:hAnsi="宋体" w:eastAsia="宋体" w:cs="宋体"/>
          <w:color w:val="auto"/>
          <w:spacing w:val="0"/>
          <w:sz w:val="21"/>
          <w:szCs w:val="21"/>
        </w:rPr>
        <w:t>有欠缴记录的，视为</w:t>
      </w:r>
      <w:r>
        <w:rPr>
          <w:rStyle w:val="39"/>
          <w:rFonts w:hint="eastAsia" w:ascii="宋体" w:hAnsi="宋体" w:eastAsia="宋体" w:cs="宋体"/>
          <w:color w:val="auto"/>
          <w:spacing w:val="0"/>
          <w:sz w:val="21"/>
          <w:szCs w:val="21"/>
        </w:rPr>
        <w:t>未依法缴纳税收</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附件3-7       </w:t>
      </w:r>
      <w:r>
        <w:rPr>
          <w:rStyle w:val="39"/>
          <w:rFonts w:hint="eastAsia" w:ascii="宋体" w:hAnsi="宋体" w:eastAsia="宋体" w:cs="宋体"/>
          <w:color w:val="auto"/>
          <w:spacing w:val="0"/>
          <w:sz w:val="24"/>
          <w:szCs w:val="24"/>
        </w:rPr>
        <w:t>依法缴纳社会保障资金证明材料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9"/>
          <w:rFonts w:hint="eastAsia" w:ascii="宋体" w:hAnsi="宋体" w:eastAsia="宋体" w:cs="宋体"/>
          <w:color w:val="auto"/>
          <w:spacing w:val="0"/>
          <w:sz w:val="24"/>
          <w:szCs w:val="24"/>
        </w:rPr>
        <w:t>1、依法缴纳社会保障资金的供应商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9"/>
          <w:rFonts w:hint="eastAsia" w:ascii="宋体" w:hAnsi="宋体" w:eastAsia="宋体" w:cs="宋体"/>
          <w:color w:val="auto"/>
          <w:spacing w:val="0"/>
          <w:sz w:val="24"/>
          <w:szCs w:val="24"/>
        </w:rPr>
        <w:t>2、依法不需要缴纳社会保障资金的供应商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）现附上我方依法不需要缴纳社会保障资金证明材料复印件，上述证明材料真实有效，否则我方负全部责任。</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1、请供应商根据实际情况填写，在相应的（）中打“√”，并按照本格式的要求提供相应证明材料的复印件。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2、供应商提供的社会保险凭据复印件应符合下列规定：</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2.2首次响应文件递交截止时间的当月成立且已依法缴纳社会保障资金的供应商，提供首次响应文件递交截止时间当月的社会保险凭据复印件。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3、供应商提供的相应证明材料复印件均应符合：内容完整、清晰、整洁，并由供应商加盖其单位公章。</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4、</w:t>
      </w:r>
      <w:r>
        <w:rPr>
          <w:rStyle w:val="39"/>
          <w:rFonts w:hint="eastAsia" w:ascii="宋体" w:hAnsi="宋体" w:eastAsia="宋体" w:cs="宋体"/>
          <w:color w:val="auto"/>
          <w:spacing w:val="0"/>
          <w:sz w:val="21"/>
          <w:szCs w:val="21"/>
        </w:rPr>
        <w:t>“依法缴纳社会保障资金证明材料”</w:t>
      </w:r>
      <w:r>
        <w:rPr>
          <w:rFonts w:hint="eastAsia" w:ascii="宋体" w:hAnsi="宋体" w:eastAsia="宋体" w:cs="宋体"/>
          <w:color w:val="auto"/>
          <w:spacing w:val="0"/>
          <w:sz w:val="21"/>
          <w:szCs w:val="21"/>
        </w:rPr>
        <w:t>有欠缴记录的，视为</w:t>
      </w:r>
      <w:r>
        <w:rPr>
          <w:rStyle w:val="39"/>
          <w:rFonts w:hint="eastAsia" w:ascii="宋体" w:hAnsi="宋体" w:eastAsia="宋体" w:cs="宋体"/>
          <w:color w:val="auto"/>
          <w:spacing w:val="0"/>
          <w:sz w:val="21"/>
          <w:szCs w:val="21"/>
        </w:rPr>
        <w:t>未依法缴纳社会保障资金</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1680" w:firstLineChars="700"/>
        <w:rPr>
          <w:color w:val="auto"/>
        </w:rPr>
      </w:pPr>
      <w:r>
        <w:rPr>
          <w:rFonts w:hint="eastAsia" w:ascii="宋体" w:hAnsi="宋体" w:eastAsia="宋体" w:cs="宋体"/>
          <w:color w:val="auto"/>
          <w:spacing w:val="0"/>
          <w:sz w:val="24"/>
          <w:szCs w:val="24"/>
        </w:rPr>
        <w:t>附件3-8   </w:t>
      </w:r>
      <w:r>
        <w:rPr>
          <w:rStyle w:val="39"/>
          <w:rFonts w:hint="eastAsia" w:ascii="宋体" w:hAnsi="宋体" w:eastAsia="宋体" w:cs="宋体"/>
          <w:color w:val="auto"/>
          <w:spacing w:val="0"/>
          <w:sz w:val="24"/>
          <w:szCs w:val="24"/>
        </w:rPr>
        <w:t>具备履行合同所必需设备和专业技术能力证明材料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3132" w:firstLineChars="1300"/>
        <w:jc w:val="both"/>
        <w:rPr>
          <w:color w:val="auto"/>
        </w:rPr>
      </w:pPr>
      <w:r>
        <w:rPr>
          <w:rStyle w:val="39"/>
          <w:rFonts w:hint="eastAsia" w:ascii="宋体" w:hAnsi="宋体" w:eastAsia="宋体" w:cs="宋体"/>
          <w:color w:val="auto"/>
          <w:spacing w:val="0"/>
          <w:sz w:val="24"/>
          <w:szCs w:val="24"/>
        </w:rPr>
        <w:t>声</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明</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函</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我方具备履行合同所必需的设备和专业技术能力，并对本声明承诺的真实性负责，否则产生不利后果由我方承担责任。</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特此声明。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480"/>
        <w:rPr>
          <w:b w:val="0"/>
          <w:bCs w:val="0"/>
          <w:color w:val="auto"/>
        </w:rPr>
      </w:pPr>
      <w:r>
        <w:rPr>
          <w:rFonts w:hint="eastAsia" w:ascii="宋体" w:hAnsi="宋体" w:eastAsia="宋体" w:cs="宋体"/>
          <w:b w:val="0"/>
          <w:bCs w:val="0"/>
          <w:color w:val="auto"/>
          <w:spacing w:val="0"/>
          <w:sz w:val="24"/>
          <w:szCs w:val="24"/>
        </w:rPr>
        <w:t>1.</w:t>
      </w:r>
      <w:r>
        <w:rPr>
          <w:rStyle w:val="39"/>
          <w:rFonts w:hint="eastAsia" w:ascii="宋体" w:hAnsi="宋体" w:eastAsia="宋体" w:cs="宋体"/>
          <w:b w:val="0"/>
          <w:bCs w:val="0"/>
          <w:color w:val="auto"/>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3"/>
        <w:keepNext w:val="0"/>
        <w:keepLines w:val="0"/>
        <w:widowControl/>
        <w:suppressLineNumbers w:val="0"/>
        <w:spacing w:before="75" w:beforeAutospacing="0" w:after="75" w:afterAutospacing="0" w:line="360" w:lineRule="auto"/>
        <w:ind w:left="0" w:right="0" w:firstLine="480"/>
        <w:rPr>
          <w:b w:val="0"/>
          <w:bCs w:val="0"/>
          <w:color w:val="auto"/>
        </w:rPr>
      </w:pPr>
      <w:r>
        <w:rPr>
          <w:rStyle w:val="39"/>
          <w:rFonts w:hint="eastAsia" w:ascii="宋体" w:hAnsi="宋体" w:eastAsia="宋体" w:cs="宋体"/>
          <w:b w:val="0"/>
          <w:bCs w:val="0"/>
          <w:color w:val="auto"/>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3"/>
        <w:keepNext w:val="0"/>
        <w:keepLines w:val="0"/>
        <w:widowControl/>
        <w:suppressLineNumbers w:val="0"/>
        <w:spacing w:before="75" w:beforeAutospacing="0" w:after="75" w:afterAutospacing="0" w:line="360" w:lineRule="auto"/>
        <w:ind w:left="0" w:right="0" w:firstLine="0"/>
        <w:jc w:val="both"/>
        <w:rPr>
          <w:b w:val="0"/>
          <w:bCs w:val="0"/>
          <w:color w:val="auto"/>
        </w:rPr>
      </w:pPr>
      <w:r>
        <w:rPr>
          <w:rFonts w:hint="eastAsia" w:ascii="宋体" w:hAnsi="宋体" w:eastAsia="宋体" w:cs="宋体"/>
          <w:b w:val="0"/>
          <w:bCs w:val="0"/>
          <w:color w:val="auto"/>
          <w:spacing w:val="0"/>
          <w:sz w:val="24"/>
          <w:szCs w:val="24"/>
        </w:rPr>
        <w:t>  </w:t>
      </w:r>
      <w:r>
        <w:rPr>
          <w:rStyle w:val="39"/>
          <w:rFonts w:hint="eastAsia" w:ascii="宋体" w:hAnsi="宋体" w:eastAsia="宋体" w:cs="宋体"/>
          <w:b w:val="0"/>
          <w:bCs w:val="0"/>
          <w:color w:val="auto"/>
          <w:spacing w:val="0"/>
          <w:sz w:val="24"/>
          <w:szCs w:val="24"/>
        </w:rPr>
        <w:t>3.对于接受联合体形式的谈判且供应商是联合体的，则联合体各成员都应当提交本资格证明文件。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附件3-9    </w:t>
      </w:r>
      <w:r>
        <w:rPr>
          <w:rStyle w:val="39"/>
          <w:rFonts w:hint="eastAsia" w:ascii="宋体" w:hAnsi="宋体" w:eastAsia="宋体" w:cs="宋体"/>
          <w:color w:val="auto"/>
          <w:spacing w:val="0"/>
          <w:sz w:val="24"/>
          <w:szCs w:val="24"/>
        </w:rPr>
        <w:t>参加采购活动前三年内在经营活动中</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2701" w:firstLineChars="1121"/>
        <w:rPr>
          <w:color w:val="auto"/>
        </w:rPr>
      </w:pPr>
      <w:r>
        <w:rPr>
          <w:rStyle w:val="39"/>
          <w:rFonts w:hint="eastAsia" w:ascii="宋体" w:hAnsi="宋体" w:eastAsia="宋体" w:cs="宋体"/>
          <w:color w:val="auto"/>
          <w:spacing w:val="0"/>
          <w:sz w:val="24"/>
          <w:szCs w:val="24"/>
        </w:rPr>
        <w:t>没有重大违法记录书面声明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参加采购活动前三年内，我方在经营活动中没有重大违法记录，</w:t>
      </w:r>
      <w:r>
        <w:rPr>
          <w:rFonts w:hint="eastAsia" w:ascii="宋体" w:hAnsi="宋体" w:eastAsia="宋体" w:cs="宋体"/>
          <w:color w:val="auto"/>
          <w:sz w:val="21"/>
          <w:szCs w:val="21"/>
        </w:rPr>
        <w:t>也无行贿犯罪记录</w:t>
      </w:r>
      <w:r>
        <w:rPr>
          <w:rFonts w:hint="eastAsia" w:ascii="宋体" w:hAnsi="宋体" w:eastAsia="宋体" w:cs="宋体"/>
          <w:color w:val="auto"/>
          <w:spacing w:val="0"/>
        </w:rPr>
        <w:t>。</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特此声明。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1、“重大违法记录”指供应商因违法经营受到刑事处罚或责令停产停业、吊销许可证或执照、较大数额罚款等行政处罚。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2、请供应商根据实际情况进行声明，若声明不真实，视为提供虚假材料。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附件3-10       </w:t>
      </w:r>
      <w:r>
        <w:rPr>
          <w:rStyle w:val="39"/>
          <w:rFonts w:hint="eastAsia" w:ascii="宋体" w:hAnsi="宋体" w:eastAsia="宋体" w:cs="宋体"/>
          <w:color w:val="auto"/>
          <w:spacing w:val="0"/>
          <w:sz w:val="24"/>
          <w:szCs w:val="24"/>
        </w:rPr>
        <w:t>信用记录查询结果</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1、供应商应</w:t>
      </w:r>
      <w:r>
        <w:rPr>
          <w:rStyle w:val="39"/>
          <w:rFonts w:hint="eastAsia" w:ascii="宋体" w:hAnsi="宋体" w:eastAsia="宋体" w:cs="宋体"/>
          <w:color w:val="auto"/>
          <w:spacing w:val="0"/>
          <w:sz w:val="21"/>
          <w:szCs w:val="21"/>
        </w:rPr>
        <w:t>同时提供</w:t>
      </w:r>
      <w:r>
        <w:rPr>
          <w:rFonts w:hint="eastAsia" w:ascii="宋体" w:hAnsi="宋体" w:eastAsia="宋体" w:cs="宋体"/>
          <w:color w:val="auto"/>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39"/>
          <w:rFonts w:hint="eastAsia" w:ascii="宋体" w:hAnsi="宋体" w:eastAsia="宋体" w:cs="宋体"/>
          <w:color w:val="auto"/>
          <w:spacing w:val="0"/>
          <w:sz w:val="21"/>
          <w:szCs w:val="21"/>
        </w:rPr>
        <w:t>否则其响应文件将被否决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2、若本项目接受联合体响应谈判且供应商为联合体，则联合体各成员均应</w:t>
      </w:r>
      <w:r>
        <w:rPr>
          <w:rStyle w:val="39"/>
          <w:rFonts w:hint="eastAsia" w:ascii="宋体" w:hAnsi="宋体" w:eastAsia="宋体" w:cs="宋体"/>
          <w:color w:val="auto"/>
          <w:spacing w:val="0"/>
          <w:sz w:val="21"/>
          <w:szCs w:val="21"/>
        </w:rPr>
        <w:t>同时提供</w:t>
      </w:r>
      <w:r>
        <w:rPr>
          <w:rFonts w:hint="eastAsia" w:ascii="宋体" w:hAnsi="宋体" w:eastAsia="宋体" w:cs="宋体"/>
          <w:color w:val="auto"/>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39"/>
          <w:rFonts w:hint="eastAsia" w:ascii="宋体" w:hAnsi="宋体" w:eastAsia="宋体" w:cs="宋体"/>
          <w:color w:val="auto"/>
          <w:spacing w:val="0"/>
          <w:sz w:val="21"/>
          <w:szCs w:val="21"/>
        </w:rPr>
        <w:t>否则其响应文件将被否决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3、联合体成员存在不良信用记录的，视同联合体存在不良信用记录，</w:t>
      </w:r>
      <w:r>
        <w:rPr>
          <w:rStyle w:val="39"/>
          <w:rFonts w:hint="eastAsia" w:ascii="宋体" w:hAnsi="宋体" w:eastAsia="宋体" w:cs="宋体"/>
          <w:color w:val="auto"/>
          <w:spacing w:val="0"/>
          <w:sz w:val="21"/>
          <w:szCs w:val="21"/>
        </w:rPr>
        <w:t>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附件3-11   </w:t>
      </w:r>
      <w:r>
        <w:rPr>
          <w:rStyle w:val="39"/>
          <w:rFonts w:hint="eastAsia" w:ascii="宋体" w:hAnsi="宋体" w:eastAsia="宋体" w:cs="宋体"/>
          <w:color w:val="auto"/>
          <w:spacing w:val="0"/>
          <w:sz w:val="24"/>
          <w:szCs w:val="24"/>
        </w:rPr>
        <w:t>检察机关行贿犯罪档案查询结果告知函（如果需要）</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1.检察机关行贿犯罪档案查询结果告知函（以下简称：“告知函”）由供应商向住所地或业务发生地检察院申请查询，具体以检察院出具的为准。</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★谈判文件有要求提交“告知函”时注意：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1、供应商未提供行贿犯罪档案查询结果或查询结果有行贿犯罪记录的，</w:t>
      </w:r>
      <w:r>
        <w:rPr>
          <w:rStyle w:val="39"/>
          <w:rFonts w:hint="eastAsia" w:ascii="宋体" w:hAnsi="宋体" w:eastAsia="宋体" w:cs="宋体"/>
          <w:color w:val="auto"/>
          <w:spacing w:val="0"/>
          <w:sz w:val="24"/>
          <w:szCs w:val="24"/>
        </w:rPr>
        <w:t>则供应商的响应文件将被否决</w:t>
      </w: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2、告知函应在有效期内，</w:t>
      </w:r>
      <w:r>
        <w:rPr>
          <w:rStyle w:val="39"/>
          <w:rFonts w:hint="eastAsia" w:ascii="宋体" w:hAnsi="宋体" w:eastAsia="宋体" w:cs="宋体"/>
          <w:color w:val="auto"/>
          <w:spacing w:val="0"/>
          <w:sz w:val="24"/>
          <w:szCs w:val="24"/>
        </w:rPr>
        <w:t>否则其响应文件将被否决</w:t>
      </w:r>
      <w:r>
        <w:rPr>
          <w:rFonts w:hint="eastAsia" w:ascii="宋体" w:hAnsi="宋体" w:eastAsia="宋体" w:cs="宋体"/>
          <w:color w:val="auto"/>
          <w:spacing w:val="0"/>
          <w:sz w:val="24"/>
          <w:szCs w:val="24"/>
        </w:rPr>
        <w:t>。有效期内的告知函复印件，无论内容中是否注明“复印件无效”，均视同有效。</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3、若从检察机关指定网站下载打印或截图告知函，则告知函应为从前述指定网站获取的查询结果原始页面的打印件或完整截图，</w:t>
      </w:r>
      <w:r>
        <w:rPr>
          <w:rStyle w:val="39"/>
          <w:rFonts w:hint="eastAsia" w:ascii="宋体" w:hAnsi="宋体" w:eastAsia="宋体" w:cs="宋体"/>
          <w:color w:val="auto"/>
          <w:spacing w:val="0"/>
          <w:sz w:val="24"/>
          <w:szCs w:val="24"/>
        </w:rPr>
        <w:t>否则其响应文件将被否决</w:t>
      </w: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4、若告知函未注明“复印件无效”，供应商可提供原件或复印件。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5、对于接受联合体形式的谈判且供应商是联合体的，则联合体各成员都应当提交本资格证明文件</w:t>
      </w:r>
    </w:p>
    <w:p>
      <w:pPr>
        <w:pStyle w:val="33"/>
        <w:keepNext w:val="0"/>
        <w:keepLines w:val="0"/>
        <w:widowControl/>
        <w:suppressLineNumbers w:val="0"/>
        <w:spacing w:beforeAutospacing="1" w:afterAutospacing="1" w:line="360" w:lineRule="auto"/>
        <w:rPr>
          <w:color w:val="auto"/>
        </w:rPr>
      </w:pPr>
      <w:r>
        <w:rPr>
          <w:rFonts w:hint="eastAsia" w:ascii="宋体" w:hAnsi="宋体" w:eastAsia="宋体" w:cs="宋体"/>
          <w:color w:val="auto"/>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附件3-12       </w:t>
      </w:r>
      <w:r>
        <w:rPr>
          <w:rStyle w:val="39"/>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联合体协议</w:t>
      </w:r>
    </w:p>
    <w:p>
      <w:pPr>
        <w:pStyle w:val="33"/>
        <w:keepNext w:val="0"/>
        <w:keepLines w:val="0"/>
        <w:widowControl/>
        <w:suppressLineNumbers w:val="0"/>
        <w:spacing w:before="75" w:beforeAutospacing="0" w:after="75" w:afterAutospacing="0" w:line="360" w:lineRule="auto"/>
        <w:ind w:left="0" w:right="0" w:firstLine="2650" w:firstLineChars="1100"/>
        <w:jc w:val="both"/>
        <w:rPr>
          <w:color w:val="auto"/>
        </w:rPr>
      </w:pPr>
      <w:r>
        <w:rPr>
          <w:rStyle w:val="39"/>
          <w:rFonts w:hint="eastAsia" w:ascii="宋体" w:hAnsi="宋体" w:eastAsia="宋体" w:cs="宋体"/>
          <w:color w:val="auto"/>
          <w:spacing w:val="0"/>
          <w:sz w:val="24"/>
          <w:szCs w:val="24"/>
        </w:rPr>
        <w:t>（接受联合体的项目使用）</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一、联合体各方应承担的工作和义务具体如下：</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1、联合体牵头方单位名称：                   </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color w:val="auto"/>
        </w:rPr>
      </w:pPr>
      <w:r>
        <w:rPr>
          <w:rFonts w:hint="eastAsia" w:ascii="宋体" w:hAnsi="宋体" w:eastAsia="宋体" w:cs="宋体"/>
          <w:color w:val="auto"/>
          <w:spacing w:val="0"/>
          <w:sz w:val="24"/>
          <w:szCs w:val="24"/>
        </w:rPr>
        <w:t>（填写“工作及义务的具体内容”） ；</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2、联合体成员方单位名称：                        </w:t>
      </w:r>
    </w:p>
    <w:p>
      <w:pPr>
        <w:pStyle w:val="33"/>
        <w:keepNext w:val="0"/>
        <w:keepLines w:val="0"/>
        <w:widowControl/>
        <w:suppressLineNumbers w:val="0"/>
        <w:spacing w:before="75" w:beforeAutospacing="0" w:after="75" w:afterAutospacing="0" w:line="360" w:lineRule="auto"/>
        <w:ind w:left="0" w:right="0" w:firstLine="480"/>
        <w:jc w:val="left"/>
        <w:rPr>
          <w:color w:val="auto"/>
        </w:rPr>
      </w:pPr>
      <w:r>
        <w:rPr>
          <w:rFonts w:hint="eastAsia" w:ascii="宋体" w:hAnsi="宋体" w:eastAsia="宋体" w:cs="宋体"/>
          <w:color w:val="auto"/>
          <w:spacing w:val="0"/>
          <w:sz w:val="24"/>
          <w:szCs w:val="24"/>
        </w:rPr>
        <w:t>2.1（成员一的全称）： （填写“工作及义务的具体内容”） ；</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三、联合体各方约定由（填写填写“牵头方的全称”）代表联合体办理谈判保证金事宜。</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五、本协议自签署之日起生效，政府采购合同履行完毕后自动失效。</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六、本协议一式（填写具体份数）份，联合体各方各执一份，响应文件中提交一份。</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（以下无正文）</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牵头方：（全称并加盖单位公章）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成员一：（全称并加盖成员一的单位公章）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成员**：</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（全称并加盖成员**的单位公章）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签署日期：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1、若谈判文件规定接受联合体形式且供应商为联合体的，则供应商应提供本协议；否则无须提供。</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2、本协议中的供应商代表如果不是竞争性谈判须知中定义的“单位负责人”，则还必须提供“单位负责人授权书”。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3、若谈判文件规定接受联合体形式且供应商为联合体的，纸质响应文件正本中的本协议应为原件。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附件3-13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rPr>
        <w:t>其它资格证明文件</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9"/>
          <w:rFonts w:hint="eastAsia" w:ascii="宋体" w:hAnsi="宋体" w:eastAsia="宋体" w:cs="宋体"/>
          <w:color w:val="auto"/>
          <w:spacing w:val="0"/>
          <w:sz w:val="24"/>
          <w:szCs w:val="24"/>
        </w:rPr>
        <w:t>（如果有的话）</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2、若谈判文件规定接受联合体形式且供应商为联合体的，涉及联合体成员的其它资格证明文件在此处提供相关证明材料，并加盖供应商单位公章。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rFonts w:hint="eastAsia" w:eastAsia="宋体"/>
          <w:color w:val="auto"/>
          <w:lang w:eastAsia="zh-CN"/>
        </w:rPr>
      </w:pPr>
      <w:r>
        <w:rPr>
          <w:rFonts w:hint="eastAsia" w:ascii="宋体" w:hAnsi="宋体" w:eastAsia="宋体" w:cs="宋体"/>
          <w:color w:val="auto"/>
          <w:spacing w:val="0"/>
          <w:sz w:val="24"/>
          <w:szCs w:val="24"/>
        </w:rPr>
        <w:t>附件4        </w:t>
      </w:r>
      <w:r>
        <w:rPr>
          <w:rStyle w:val="39"/>
          <w:rFonts w:hint="eastAsia" w:ascii="宋体" w:hAnsi="宋体" w:eastAsia="宋体" w:cs="宋体"/>
          <w:color w:val="auto"/>
          <w:spacing w:val="0"/>
          <w:sz w:val="24"/>
          <w:szCs w:val="24"/>
        </w:rPr>
        <w:t>谈判保证金凭证</w:t>
      </w:r>
      <w:r>
        <w:rPr>
          <w:rStyle w:val="39"/>
          <w:rFonts w:hint="eastAsia" w:ascii="宋体" w:hAnsi="宋体" w:eastAsia="宋体" w:cs="宋体"/>
          <w:color w:val="auto"/>
          <w:spacing w:val="0"/>
          <w:sz w:val="24"/>
          <w:szCs w:val="24"/>
          <w:lang w:eastAsia="zh-CN"/>
        </w:rPr>
        <w:t>（若有）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3360"/>
        <w:jc w:val="both"/>
        <w:rPr>
          <w:color w:val="auto"/>
        </w:rPr>
      </w:pPr>
      <w:r>
        <w:rPr>
          <w:rFonts w:hint="eastAsia" w:ascii="宋体" w:hAnsi="宋体" w:eastAsia="宋体" w:cs="宋体"/>
          <w:color w:val="auto"/>
          <w:spacing w:val="0"/>
          <w:sz w:val="21"/>
          <w:szCs w:val="21"/>
        </w:rPr>
        <w:t>编制说明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1、在此项下提交的</w:t>
      </w:r>
      <w:r>
        <w:rPr>
          <w:rStyle w:val="39"/>
          <w:rFonts w:hint="eastAsia" w:ascii="宋体" w:hAnsi="宋体" w:eastAsia="宋体" w:cs="宋体"/>
          <w:color w:val="auto"/>
          <w:spacing w:val="0"/>
          <w:sz w:val="21"/>
          <w:szCs w:val="21"/>
        </w:rPr>
        <w:t>“谈判保证金”</w:t>
      </w:r>
      <w:r>
        <w:rPr>
          <w:rFonts w:hint="eastAsia" w:ascii="宋体" w:hAnsi="宋体" w:eastAsia="宋体" w:cs="宋体"/>
          <w:color w:val="auto"/>
          <w:spacing w:val="0"/>
          <w:sz w:val="21"/>
          <w:szCs w:val="21"/>
        </w:rPr>
        <w:t>材料可使用转账凭证复印件或从福建省政府采购网上公开信息系统中下载的有关原始页面的打印件。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2、谈判保证金是否已提交按照谈判文件规定执行。</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附件5-1  </w:t>
      </w:r>
      <w:r>
        <w:rPr>
          <w:rStyle w:val="39"/>
          <w:rFonts w:hint="eastAsia" w:ascii="宋体" w:hAnsi="宋体" w:eastAsia="宋体" w:cs="宋体"/>
          <w:color w:val="auto"/>
          <w:spacing w:val="0"/>
          <w:sz w:val="24"/>
          <w:szCs w:val="24"/>
        </w:rPr>
        <w:t>   </w:t>
      </w:r>
      <w:r>
        <w:rPr>
          <w:rStyle w:val="39"/>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 技术和服务要求响应表</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供应商名称： （全称加盖单位公章）  项目编号∶       </w:t>
      </w:r>
    </w:p>
    <w:tbl>
      <w:tblPr>
        <w:tblStyle w:val="36"/>
        <w:tblW w:w="899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27"/>
        <w:gridCol w:w="1409"/>
        <w:gridCol w:w="2794"/>
        <w:gridCol w:w="209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合同包</w:t>
            </w:r>
          </w:p>
        </w:tc>
        <w:tc>
          <w:tcPr>
            <w:tcW w:w="137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章节条目号</w:t>
            </w:r>
          </w:p>
        </w:tc>
        <w:tc>
          <w:tcPr>
            <w:tcW w:w="2764"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竞争性谈判文件规定的技术和服务要求</w:t>
            </w:r>
          </w:p>
        </w:tc>
        <w:tc>
          <w:tcPr>
            <w:tcW w:w="206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响应文件响应承诺</w:t>
            </w:r>
          </w:p>
        </w:tc>
        <w:tc>
          <w:tcPr>
            <w:tcW w:w="193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1"/>
          <w:szCs w:val="21"/>
        </w:rPr>
        <w:t>注</w:t>
      </w:r>
      <w:r>
        <w:rPr>
          <w:rStyle w:val="39"/>
          <w:rFonts w:hint="eastAsia" w:ascii="宋体" w:hAnsi="宋体" w:eastAsia="宋体" w:cs="宋体"/>
          <w:b w:val="0"/>
          <w:bCs/>
          <w:color w:val="auto"/>
          <w:spacing w:val="0"/>
          <w:sz w:val="21"/>
          <w:szCs w:val="21"/>
        </w:rPr>
        <w:t>：（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9"/>
          <w:rFonts w:hint="eastAsia" w:ascii="宋体" w:hAnsi="宋体" w:eastAsia="宋体" w:cs="宋体"/>
          <w:b w:val="0"/>
          <w:bCs/>
          <w:color w:val="auto"/>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供应商代表签字： _________________</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附件5-2      </w:t>
      </w:r>
      <w:r>
        <w:rPr>
          <w:rStyle w:val="39"/>
          <w:rFonts w:hint="eastAsia" w:ascii="宋体" w:hAnsi="宋体" w:eastAsia="宋体" w:cs="宋体"/>
          <w:color w:val="auto"/>
          <w:spacing w:val="0"/>
          <w:sz w:val="24"/>
          <w:szCs w:val="24"/>
        </w:rPr>
        <w:t> 商务条件和其它事项响应表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供应商名称： （全称加盖单位公章）  项目编号∶       </w:t>
      </w:r>
    </w:p>
    <w:tbl>
      <w:tblPr>
        <w:tblStyle w:val="36"/>
        <w:tblW w:w="917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28"/>
        <w:gridCol w:w="1408"/>
        <w:gridCol w:w="3212"/>
        <w:gridCol w:w="2149"/>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合同包</w:t>
            </w:r>
          </w:p>
        </w:tc>
        <w:tc>
          <w:tcPr>
            <w:tcW w:w="137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章节条目号</w:t>
            </w:r>
          </w:p>
        </w:tc>
        <w:tc>
          <w:tcPr>
            <w:tcW w:w="3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竞争性谈判文件规定的商务条件要求</w:t>
            </w:r>
          </w:p>
        </w:tc>
        <w:tc>
          <w:tcPr>
            <w:tcW w:w="211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响应文件响应承诺</w:t>
            </w:r>
          </w:p>
        </w:tc>
        <w:tc>
          <w:tcPr>
            <w:tcW w:w="162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9"/>
          <w:rFonts w:hint="eastAsia" w:ascii="宋体" w:hAnsi="宋体" w:eastAsia="宋体" w:cs="宋体"/>
          <w:b w:val="0"/>
          <w:bCs/>
          <w:color w:val="auto"/>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9"/>
          <w:rFonts w:hint="eastAsia" w:ascii="宋体" w:hAnsi="宋体" w:eastAsia="宋体" w:cs="宋体"/>
          <w:b w:val="0"/>
          <w:bCs/>
          <w:color w:val="auto"/>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供应商代表签字： _________________</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附件6    </w:t>
      </w:r>
      <w:r>
        <w:rPr>
          <w:rStyle w:val="39"/>
          <w:rFonts w:hint="eastAsia" w:ascii="宋体" w:hAnsi="宋体" w:eastAsia="宋体" w:cs="宋体"/>
          <w:color w:val="auto"/>
          <w:spacing w:val="0"/>
          <w:sz w:val="24"/>
          <w:szCs w:val="24"/>
        </w:rPr>
        <w:t>  相关技术、商务、服务响应承诺及资料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说明：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2.如果没有特别要求的，供应商根据谈判文件的要求以及特点，提供相关技术、商务、服务响应承诺及资料，格式自拟。</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     </w:t>
      </w:r>
      <w:r>
        <w:rPr>
          <w:rFonts w:hint="eastAsia" w:ascii="宋体" w:hAnsi="宋体" w:eastAsia="宋体" w:cs="宋体"/>
          <w:color w:val="auto"/>
          <w:spacing w:val="0"/>
          <w:sz w:val="24"/>
          <w:szCs w:val="24"/>
          <w:lang w:val="en-US" w:eastAsia="zh-CN"/>
        </w:rPr>
        <w:t xml:space="preserve">    </w:t>
      </w:r>
      <w:r>
        <w:rPr>
          <w:rStyle w:val="39"/>
          <w:rFonts w:hint="eastAsia" w:ascii="宋体" w:hAnsi="宋体" w:eastAsia="宋体" w:cs="宋体"/>
          <w:color w:val="auto"/>
          <w:spacing w:val="0"/>
          <w:sz w:val="24"/>
          <w:szCs w:val="24"/>
        </w:rPr>
        <w:t>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附件7-1-1        </w:t>
      </w:r>
      <w:r>
        <w:rPr>
          <w:rStyle w:val="39"/>
          <w:rFonts w:hint="eastAsia" w:ascii="宋体" w:hAnsi="宋体" w:eastAsia="宋体" w:cs="宋体"/>
          <w:color w:val="auto"/>
          <w:spacing w:val="0"/>
          <w:sz w:val="24"/>
          <w:szCs w:val="24"/>
        </w:rPr>
        <w:t>中小企业声明函（如果有的话）</w:t>
      </w:r>
    </w:p>
    <w:p>
      <w:pPr>
        <w:pStyle w:val="33"/>
        <w:keepNext w:val="0"/>
        <w:keepLines w:val="0"/>
        <w:widowControl/>
        <w:suppressLineNumbers w:val="0"/>
        <w:spacing w:before="75" w:beforeAutospacing="0" w:after="75" w:afterAutospacing="0" w:line="360" w:lineRule="auto"/>
        <w:ind w:left="0" w:right="0" w:firstLine="2880"/>
        <w:rPr>
          <w:rFonts w:hint="eastAsia" w:eastAsia="宋体"/>
          <w:b/>
          <w:bCs/>
          <w:color w:val="auto"/>
          <w:spacing w:val="0"/>
          <w:sz w:val="24"/>
          <w:szCs w:val="24"/>
          <w:lang w:eastAsia="zh-CN"/>
        </w:rPr>
      </w:pPr>
      <w:r>
        <w:rPr>
          <w:b/>
          <w:bCs/>
          <w:color w:val="auto"/>
          <w:spacing w:val="0"/>
          <w:sz w:val="24"/>
          <w:szCs w:val="24"/>
        </w:rPr>
        <w:t>中小企业声明函（货物）</w:t>
      </w:r>
    </w:p>
    <w:p>
      <w:pPr>
        <w:pStyle w:val="33"/>
        <w:keepNext w:val="0"/>
        <w:keepLines w:val="0"/>
        <w:widowControl/>
        <w:suppressLineNumbers w:val="0"/>
        <w:spacing w:before="75" w:beforeAutospacing="0" w:after="75" w:afterAutospacing="0" w:line="360" w:lineRule="auto"/>
        <w:ind w:right="0" w:firstLine="420" w:firstLineChars="2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33"/>
        <w:keepNext w:val="0"/>
        <w:keepLines w:val="0"/>
        <w:widowControl/>
        <w:suppressLineNumbers w:val="0"/>
        <w:spacing w:before="75" w:beforeAutospacing="0" w:after="75" w:afterAutospacing="0" w:line="360" w:lineRule="auto"/>
        <w:ind w:right="0" w:firstLine="210" w:firstLineChars="1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1.（标的名称） ，属于（采购文件中明确的所属行业）行业；制造商为（企业名称），从业人员  人，营业收入为  万元，资产总额为  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，属于（中型企业、小型企业、微型企业）；</w:t>
      </w:r>
    </w:p>
    <w:p>
      <w:pPr>
        <w:pStyle w:val="33"/>
        <w:keepNext w:val="0"/>
        <w:keepLines w:val="0"/>
        <w:widowControl/>
        <w:suppressLineNumbers w:val="0"/>
        <w:spacing w:before="75" w:beforeAutospacing="0" w:after="75" w:afterAutospacing="0" w:line="360" w:lineRule="auto"/>
        <w:ind w:right="0" w:firstLine="210" w:firstLineChars="1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xml:space="preserve"> </w:t>
      </w:r>
      <w:r>
        <w:rPr>
          <w:rFonts w:hint="eastAsia" w:ascii="宋体" w:hAnsi="宋体" w:cs="宋体"/>
          <w:color w:val="auto"/>
          <w:spacing w:val="0"/>
          <w:sz w:val="21"/>
          <w:szCs w:val="21"/>
          <w:lang w:val="en-US" w:eastAsia="zh-CN"/>
        </w:rPr>
        <w:t xml:space="preserve"> </w:t>
      </w:r>
      <w:r>
        <w:rPr>
          <w:rFonts w:hint="eastAsia" w:ascii="宋体" w:hAnsi="宋体" w:eastAsia="宋体" w:cs="宋体"/>
          <w:color w:val="auto"/>
          <w:spacing w:val="0"/>
          <w:sz w:val="21"/>
          <w:szCs w:val="21"/>
        </w:rPr>
        <w:t>2.（标的名称） ， 属 于 （采购文件中明确的所属行业 ）行业；制造商为（企业名称），从业人员  人，营业收入为  万元，资产总额为  万元，属于（中型企业、小型企业、微型企业）；</w:t>
      </w: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right="0" w:firstLine="210" w:firstLineChars="1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以上企业，不属于大企业的分支机构，不存在控股股东为大企业的情形，也不存在与大企业的负责人为同一人的情形。</w:t>
      </w:r>
    </w:p>
    <w:p>
      <w:pPr>
        <w:pStyle w:val="33"/>
        <w:keepNext w:val="0"/>
        <w:keepLines w:val="0"/>
        <w:widowControl/>
        <w:suppressLineNumbers w:val="0"/>
        <w:spacing w:before="75" w:beforeAutospacing="0" w:after="75" w:afterAutospacing="0" w:line="360" w:lineRule="auto"/>
        <w:ind w:right="0" w:firstLine="210" w:firstLineChars="1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本企业对上述声明内容的真实性负责。如有虚假，将依法承担相应责任。</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企业名称（盖章）：        </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日期：</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1从业人员、营业收入、资产总额填报上一年度数据，无上一年度数据的新成立企业可不填报。</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right="0"/>
        <w:rPr>
          <w:b/>
          <w:bCs/>
          <w:color w:val="auto"/>
          <w:spacing w:val="0"/>
          <w:sz w:val="24"/>
          <w:szCs w:val="24"/>
        </w:rPr>
      </w:pPr>
    </w:p>
    <w:p>
      <w:pPr>
        <w:pStyle w:val="33"/>
        <w:keepNext w:val="0"/>
        <w:keepLines w:val="0"/>
        <w:widowControl/>
        <w:suppressLineNumbers w:val="0"/>
        <w:spacing w:before="75" w:beforeAutospacing="0" w:after="75" w:afterAutospacing="0" w:line="360" w:lineRule="auto"/>
        <w:ind w:right="0"/>
        <w:rPr>
          <w:b/>
          <w:bCs/>
          <w:color w:val="auto"/>
          <w:spacing w:val="0"/>
          <w:sz w:val="24"/>
          <w:szCs w:val="24"/>
        </w:rPr>
      </w:pPr>
    </w:p>
    <w:p>
      <w:pPr>
        <w:pStyle w:val="33"/>
        <w:keepNext w:val="0"/>
        <w:keepLines w:val="0"/>
        <w:widowControl/>
        <w:suppressLineNumbers w:val="0"/>
        <w:spacing w:before="75" w:beforeAutospacing="0" w:after="75" w:afterAutospacing="0" w:line="360" w:lineRule="auto"/>
        <w:ind w:right="0" w:firstLine="2650" w:firstLineChars="1100"/>
        <w:rPr>
          <w:rFonts w:hint="eastAsia" w:ascii="宋体" w:hAnsi="宋体" w:eastAsia="宋体" w:cs="宋体"/>
          <w:b/>
          <w:bCs/>
          <w:color w:val="auto"/>
          <w:spacing w:val="0"/>
          <w:sz w:val="21"/>
          <w:szCs w:val="21"/>
        </w:rPr>
      </w:pPr>
      <w:r>
        <w:rPr>
          <w:b/>
          <w:bCs/>
          <w:color w:val="auto"/>
          <w:spacing w:val="0"/>
          <w:sz w:val="24"/>
          <w:szCs w:val="24"/>
        </w:rPr>
        <w:t xml:space="preserve">  </w:t>
      </w:r>
      <w:r>
        <w:rPr>
          <w:rFonts w:hint="eastAsia" w:ascii="宋体" w:hAnsi="宋体" w:eastAsia="宋体" w:cs="宋体"/>
          <w:b/>
          <w:bCs/>
          <w:color w:val="auto"/>
          <w:spacing w:val="0"/>
          <w:sz w:val="21"/>
          <w:szCs w:val="21"/>
        </w:rPr>
        <w:t>中小企业声明函（工程、服务）</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right="0" w:firstLine="630" w:firstLineChars="3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本公司（联合体）郑重声明，根据《政府采购促进中小企业发展管理办法》（财库﹝2020﹞46 号）的规定，本公司（联合体）参加</w:t>
      </w:r>
      <w:r>
        <w:rPr>
          <w:rFonts w:hint="eastAsia" w:ascii="宋体" w:hAnsi="宋体" w:eastAsia="宋体" w:cs="宋体"/>
          <w:color w:val="auto"/>
          <w:spacing w:val="0"/>
          <w:sz w:val="21"/>
          <w:szCs w:val="21"/>
          <w:u w:val="single"/>
        </w:rPr>
        <w:t>（单位名称）</w:t>
      </w:r>
      <w:r>
        <w:rPr>
          <w:rFonts w:hint="eastAsia" w:ascii="宋体" w:hAnsi="宋体" w:eastAsia="宋体" w:cs="宋体"/>
          <w:color w:val="auto"/>
          <w:spacing w:val="0"/>
          <w:sz w:val="21"/>
          <w:szCs w:val="21"/>
        </w:rPr>
        <w:t>的</w:t>
      </w:r>
      <w:r>
        <w:rPr>
          <w:rFonts w:hint="eastAsia" w:ascii="宋体" w:hAnsi="宋体" w:eastAsia="宋体" w:cs="宋体"/>
          <w:color w:val="auto"/>
          <w:spacing w:val="0"/>
          <w:sz w:val="21"/>
          <w:szCs w:val="21"/>
          <w:u w:val="single"/>
        </w:rPr>
        <w:t>（项目名称）</w:t>
      </w:r>
      <w:r>
        <w:rPr>
          <w:rFonts w:hint="eastAsia" w:ascii="宋体" w:hAnsi="宋体" w:eastAsia="宋体" w:cs="宋体"/>
          <w:color w:val="auto"/>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33"/>
        <w:keepNext w:val="0"/>
        <w:keepLines w:val="0"/>
        <w:widowControl/>
        <w:suppressLineNumbers w:val="0"/>
        <w:spacing w:before="75" w:beforeAutospacing="0" w:after="75" w:afterAutospacing="0" w:line="360" w:lineRule="auto"/>
        <w:ind w:right="0" w:firstLine="420" w:firstLineChars="200"/>
        <w:rPr>
          <w:color w:val="auto"/>
        </w:rPr>
      </w:pPr>
      <w:r>
        <w:rPr>
          <w:rFonts w:hint="eastAsia" w:ascii="宋体" w:hAnsi="宋体" w:eastAsia="宋体" w:cs="宋体"/>
          <w:color w:val="auto"/>
          <w:spacing w:val="0"/>
          <w:sz w:val="21"/>
          <w:szCs w:val="21"/>
        </w:rPr>
        <w:t>1.（标的名称），属于（采购文件中明确的所属行业）；承建（承接）企业为（企业名称），从业人员  人，营业收入为  万元，资产总额为  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，属于（中型企业、小型企业、微型企业）；</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2.（标的名称），属于（采购文件中明确的所属行业）；承建（承接）企业为（企业名称），从业人员  人，营业收入为  万元，资产总额为  万元，属于（中型企业、小型企业、微型企业）；</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以上企业，不属于大企业的分支机构，不存在控股股东为大企业的情形，也不存在与大企业的负责人为同一人的情形。</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本企业对上述声明内容的真实性负责。如有虚假，将依法承担相应责任。</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企业名称（盖章）：      日期：</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color w:val="auto"/>
        </w:rPr>
      </w:pPr>
      <w:r>
        <w:rPr>
          <w:rFonts w:hint="eastAsia" w:ascii="宋体" w:hAnsi="宋体" w:eastAsia="宋体" w:cs="宋体"/>
          <w:color w:val="auto"/>
          <w:spacing w:val="0"/>
          <w:sz w:val="21"/>
          <w:szCs w:val="21"/>
        </w:rPr>
        <w:t>   1从业人员、营业收入、资产总额填报上一年度数据，无上一年度数据的新成立企业可不填报。</w:t>
      </w:r>
    </w:p>
    <w:p>
      <w:pPr>
        <w:pStyle w:val="33"/>
        <w:keepNext w:val="0"/>
        <w:keepLines w:val="0"/>
        <w:widowControl/>
        <w:suppressLineNumbers w:val="0"/>
        <w:spacing w:before="75" w:beforeAutospacing="0" w:after="75" w:afterAutospacing="0" w:line="360" w:lineRule="auto"/>
        <w:ind w:left="0" w:right="0" w:firstLine="480"/>
        <w:jc w:val="both"/>
        <w:rPr>
          <w:color w:val="auto"/>
        </w:rPr>
      </w:pPr>
    </w:p>
    <w:p>
      <w:pPr>
        <w:pStyle w:val="33"/>
        <w:keepNext w:val="0"/>
        <w:keepLines w:val="0"/>
        <w:widowControl/>
        <w:suppressLineNumbers w:val="0"/>
        <w:spacing w:before="75" w:beforeAutospacing="0" w:after="75" w:afterAutospacing="0" w:line="360" w:lineRule="auto"/>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附件7-1-2</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9"/>
          <w:rFonts w:hint="eastAsia" w:ascii="宋体" w:hAnsi="宋体" w:eastAsia="宋体" w:cs="宋体"/>
          <w:color w:val="auto"/>
          <w:spacing w:val="0"/>
          <w:sz w:val="24"/>
          <w:szCs w:val="24"/>
        </w:rPr>
        <w:t>残疾人福利性单位声明函（如果有的话）</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Style w:val="39"/>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 ）</w:t>
      </w:r>
      <w:r>
        <w:rPr>
          <w:rFonts w:hint="eastAsia" w:ascii="宋体" w:hAnsi="宋体" w:eastAsia="宋体" w:cs="宋体"/>
          <w:color w:val="auto"/>
          <w:sz w:val="21"/>
          <w:szCs w:val="21"/>
        </w:rPr>
        <w:t>提供本供应商制造的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shd w:val="clear" w:fill="FFFFFF"/>
        </w:rPr>
        <w:t>★</w:t>
      </w:r>
      <w:r>
        <w:rPr>
          <w:rFonts w:hint="eastAsia" w:ascii="宋体" w:hAnsi="宋体" w:eastAsia="宋体" w:cs="宋体"/>
          <w:color w:val="auto"/>
          <w:sz w:val="21"/>
          <w:szCs w:val="21"/>
        </w:rPr>
        <w:t>）</w:t>
      </w:r>
    </w:p>
    <w:p>
      <w:pPr>
        <w:pStyle w:val="33"/>
        <w:keepNext w:val="0"/>
        <w:keepLines w:val="0"/>
        <w:widowControl/>
        <w:suppressLineNumbers w:val="0"/>
        <w:spacing w:before="75" w:beforeAutospacing="0" w:after="75" w:afterAutospacing="0" w:line="360" w:lineRule="auto"/>
        <w:ind w:left="0" w:firstLine="420"/>
        <w:rPr>
          <w:color w:val="auto"/>
        </w:rPr>
      </w:pPr>
      <w:r>
        <w:rPr>
          <w:rFonts w:hint="eastAsia" w:ascii="宋体" w:hAnsi="宋体" w:eastAsia="宋体" w:cs="宋体"/>
          <w:color w:val="auto"/>
          <w:sz w:val="21"/>
          <w:szCs w:val="21"/>
        </w:rPr>
        <w:t>（ ）由本供应商承建的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33"/>
        <w:keepNext w:val="0"/>
        <w:keepLines w:val="0"/>
        <w:widowControl/>
        <w:suppressLineNumbers w:val="0"/>
        <w:spacing w:before="75" w:beforeAutospacing="0" w:after="75" w:afterAutospacing="0" w:line="360" w:lineRule="auto"/>
        <w:ind w:left="0" w:firstLine="420"/>
        <w:rPr>
          <w:color w:val="auto"/>
        </w:rPr>
      </w:pPr>
      <w:r>
        <w:rPr>
          <w:rFonts w:hint="eastAsia" w:ascii="宋体" w:hAnsi="宋体" w:eastAsia="宋体" w:cs="宋体"/>
          <w:color w:val="auto"/>
          <w:sz w:val="21"/>
          <w:szCs w:val="21"/>
        </w:rPr>
        <w:t>（ ）由本供应商承接的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本供应商对上述声明的真实性负责。如有虚假，将依法承担相应责任。</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（全称并加盖公章）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日  期：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（2）请供应商按照实际情况编制填写本声明函，并在相应的（）中打“√”。</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（3）纸质响应文件正本中的本声明函（若有）应为原件。</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（4）若《残疾人福利性单位声明函》内容不真实，视为提供虚假材料。</w:t>
      </w:r>
    </w:p>
    <w:p>
      <w:pPr>
        <w:pStyle w:val="33"/>
        <w:keepNext w:val="0"/>
        <w:keepLines w:val="0"/>
        <w:widowControl/>
        <w:suppressLineNumbers w:val="0"/>
        <w:spacing w:before="75" w:beforeAutospacing="0" w:after="75" w:afterAutospacing="0" w:line="360" w:lineRule="auto"/>
        <w:ind w:left="0" w:right="0" w:firstLine="0"/>
        <w:jc w:val="center"/>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附件7-2</w:t>
      </w:r>
      <w:r>
        <w:rPr>
          <w:rStyle w:val="39"/>
          <w:rFonts w:hint="eastAsia" w:ascii="宋体" w:hAnsi="宋体" w:eastAsia="宋体" w:cs="宋体"/>
          <w:color w:val="auto"/>
          <w:spacing w:val="0"/>
          <w:sz w:val="24"/>
          <w:szCs w:val="24"/>
        </w:rPr>
        <w:t>优先类节能产品、环境标志产品价格扣除证明材料（如果有的话）</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tbl>
      <w:tblPr>
        <w:tblStyle w:val="36"/>
        <w:tblW w:w="932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22"/>
        <w:gridCol w:w="1212"/>
        <w:gridCol w:w="1207"/>
        <w:gridCol w:w="1218"/>
        <w:gridCol w:w="1207"/>
        <w:gridCol w:w="1218"/>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8062" w:type="dxa"/>
            <w:gridSpan w:val="6"/>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合同包</w:t>
            </w: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品目号</w:t>
            </w:r>
          </w:p>
        </w:tc>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产品名称</w:t>
            </w:r>
          </w:p>
        </w:tc>
        <w:tc>
          <w:tcPr>
            <w:tcW w:w="118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最后报价单价</w:t>
            </w:r>
          </w:p>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（现场）</w:t>
            </w:r>
          </w:p>
        </w:tc>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数量</w:t>
            </w:r>
          </w:p>
        </w:tc>
        <w:tc>
          <w:tcPr>
            <w:tcW w:w="118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最后报价总价</w:t>
            </w:r>
          </w:p>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（现场）</w:t>
            </w:r>
          </w:p>
        </w:tc>
        <w:tc>
          <w:tcPr>
            <w:tcW w:w="200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vMerge w:val="restart"/>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w:t>
            </w: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*-1</w:t>
            </w: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00"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vMerge w:val="continue"/>
            <w:tcBorders>
              <w:tl2br w:val="nil"/>
              <w:tr2bl w:val="nil"/>
            </w:tcBorders>
            <w:shd w:val="clear" w:color="auto" w:fill="auto"/>
            <w:tcMar>
              <w:top w:w="0" w:type="dxa"/>
              <w:left w:w="105" w:type="dxa"/>
              <w:bottom w:w="0" w:type="dxa"/>
              <w:right w:w="105" w:type="dxa"/>
            </w:tcMar>
            <w:vAlign w:val="center"/>
          </w:tcPr>
          <w:p>
            <w:pPr>
              <w:spacing w:line="360" w:lineRule="auto"/>
              <w:rPr>
                <w:rFonts w:hint="eastAsia" w:ascii="宋体"/>
                <w:color w:val="auto"/>
                <w:sz w:val="24"/>
                <w:szCs w:val="24"/>
              </w:rPr>
            </w:pP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default" w:ascii="Calibri" w:hAnsi="Calibri" w:cs="Calibri"/>
                <w:color w:val="auto"/>
                <w:spacing w:val="0"/>
                <w:sz w:val="21"/>
                <w:szCs w:val="21"/>
              </w:rPr>
              <w:t>…</w:t>
            </w: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00"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备注</w:t>
            </w:r>
          </w:p>
        </w:tc>
        <w:tc>
          <w:tcPr>
            <w:tcW w:w="8062" w:type="dxa"/>
            <w:gridSpan w:val="6"/>
            <w:tcBorders>
              <w:tl2br w:val="nil"/>
              <w:tr2bl w:val="nil"/>
            </w:tcBorders>
            <w:shd w:val="clear" w:color="auto" w:fill="auto"/>
            <w:tcMar>
              <w:top w:w="0" w:type="dxa"/>
              <w:left w:w="105" w:type="dxa"/>
              <w:bottom w:w="0" w:type="dxa"/>
              <w:right w:w="105" w:type="dxa"/>
            </w:tcMar>
            <w:vAlign w:val="top"/>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a.本合同包内属于节能、环境标志产品的合计最后报价总金额：      ；</w:t>
            </w:r>
          </w:p>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b.本合同包最后报价总价：            ；</w:t>
            </w:r>
          </w:p>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c.本合同包内属于节能、环境标志产品的合计最后报价总金额占本合同包最后报价总价的比例（以</w:t>
            </w:r>
            <w:r>
              <w:rPr>
                <w:rFonts w:hint="default" w:ascii="Calibri" w:hAnsi="Calibri" w:cs="Calibri"/>
                <w:color w:val="auto"/>
                <w:spacing w:val="0"/>
                <w:sz w:val="21"/>
                <w:szCs w:val="21"/>
              </w:rPr>
              <w:t>%</w:t>
            </w:r>
            <w:r>
              <w:rPr>
                <w:rFonts w:hint="eastAsia" w:ascii="宋体" w:hAnsi="宋体" w:eastAsia="宋体" w:cs="宋体"/>
                <w:color w:val="auto"/>
                <w:spacing w:val="0"/>
                <w:sz w:val="21"/>
                <w:szCs w:val="21"/>
              </w:rPr>
              <w:t>列示）：           。</w:t>
            </w:r>
          </w:p>
        </w:tc>
      </w:tr>
    </w:tbl>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3、具体统计、计算：</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color w:val="auto"/>
          <w:spacing w:val="0"/>
          <w:sz w:val="21"/>
          <w:szCs w:val="21"/>
        </w:rPr>
        <w:t>1</w:t>
      </w:r>
      <w:r>
        <w:rPr>
          <w:rFonts w:hint="eastAsia" w:ascii="宋体" w:hAnsi="宋体" w:eastAsia="宋体" w:cs="宋体"/>
          <w:color w:val="auto"/>
          <w:spacing w:val="0"/>
          <w:sz w:val="21"/>
          <w:szCs w:val="21"/>
        </w:rPr>
        <w:t>次。</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3.2计算结果若除不尽，可四舍五入保留到小数点后两位。</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3.3供应商应按照谈判文件上表要求认真统计、计算，否则谈判小组可不予认定。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3.4若无节能、环境标志产品，不填写本表，否则，视为提供虚假材料。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3.5强制类节能产品不享受价格扣除。</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5、纸质响应文件正本中的本表（若有）应为原件。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附件8       </w:t>
      </w:r>
      <w:r>
        <w:rPr>
          <w:rStyle w:val="39"/>
          <w:rFonts w:hint="eastAsia" w:ascii="宋体" w:hAnsi="宋体" w:eastAsia="宋体" w:cs="宋体"/>
          <w:color w:val="auto"/>
          <w:spacing w:val="0"/>
          <w:sz w:val="24"/>
          <w:szCs w:val="24"/>
        </w:rPr>
        <w:t>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说明：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2、供应商根据自身实际情况编写有关资料包括如供应商单位简介、竞争性谈判文件要求提供或供应商自已认为体现自身优势，需要补充说明的其它资料，格式自拟。</w:t>
      </w: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ascii="宋体" w:hAnsi="宋体"/>
          <w:color w:val="auto"/>
        </w:rPr>
      </w:pPr>
      <w:r>
        <w:rPr>
          <w:color w:val="auto"/>
          <w:spacing w:val="0"/>
          <w:sz w:val="24"/>
          <w:szCs w:val="24"/>
        </w:rPr>
        <w:t> </w:t>
      </w:r>
    </w:p>
    <w:bookmarkEnd w:id="22"/>
    <w:sectPr>
      <w:headerReference r:id="rId9" w:type="default"/>
      <w:footerReference r:id="rId10" w:type="default"/>
      <w:pgSz w:w="11906" w:h="16838"/>
      <w:pgMar w:top="1191" w:right="1191" w:bottom="1191" w:left="1191" w:header="851"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微软雅黑 Light">
    <w:altName w:val="黑体"/>
    <w:panose1 w:val="020B0502040204020203"/>
    <w:charset w:val="86"/>
    <w:family w:val="auto"/>
    <w:pitch w:val="default"/>
    <w:sig w:usb0="00000000" w:usb1="00000000"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00"/>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1</w:t>
    </w:r>
    <w:r>
      <w:rPr>
        <w:sz w:val="15"/>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00"/>
      <w:rPr>
        <w:sz w:val="15"/>
        <w:szCs w:val="15"/>
      </w:rPr>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 xml:space="preserve">- </w:t>
    </w:r>
    <w:r>
      <w:rPr>
        <w:sz w:val="15"/>
        <w:szCs w:val="15"/>
      </w:rPr>
      <w:t>24 -</w:t>
    </w:r>
    <w:r>
      <w:rPr>
        <w:sz w:val="15"/>
        <w:szCs w:val="15"/>
      </w:rPr>
      <w:fldChar w:fldCharType="end"/>
    </w:r>
    <w:r>
      <w:rPr>
        <w:rFonts w:ascii="宋体" w:hAnsi="宋体"/>
        <w:sz w:val="15"/>
        <w:szCs w:val="15"/>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single" w:color="auto" w:sz="4" w:space="1"/>
        <w:right w:val="none" w:color="auto" w:sz="0" w:space="0"/>
      </w:pBdr>
      <w:jc w:val="center"/>
      <w:rPr>
        <w:b/>
        <w:sz w:val="21"/>
        <w:szCs w:val="21"/>
      </w:rPr>
    </w:pPr>
    <w:r>
      <w:rPr>
        <w:rFonts w:hint="eastAsia"/>
        <w:b/>
        <w:sz w:val="21"/>
        <w:szCs w:val="21"/>
      </w:rPr>
      <w:t>泉州市大汇招标代理有限公司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37696"/>
    <w:multiLevelType w:val="singleLevel"/>
    <w:tmpl w:val="BA637696"/>
    <w:lvl w:ilvl="0" w:tentative="0">
      <w:start w:val="1"/>
      <w:numFmt w:val="decimal"/>
      <w:lvlText w:val="%1."/>
      <w:lvlJc w:val="left"/>
      <w:pPr>
        <w:tabs>
          <w:tab w:val="left" w:pos="312"/>
        </w:tabs>
      </w:pPr>
    </w:lvl>
  </w:abstractNum>
  <w:abstractNum w:abstractNumId="1">
    <w:nsid w:val="F121CEB1"/>
    <w:multiLevelType w:val="singleLevel"/>
    <w:tmpl w:val="F121CEB1"/>
    <w:lvl w:ilvl="0" w:tentative="0">
      <w:start w:val="1"/>
      <w:numFmt w:val="decimal"/>
      <w:suff w:val="nothing"/>
      <w:lvlText w:val="（%1）"/>
      <w:lvlJc w:val="left"/>
    </w:lvl>
  </w:abstractNum>
  <w:abstractNum w:abstractNumId="2">
    <w:nsid w:val="F4BD681D"/>
    <w:multiLevelType w:val="singleLevel"/>
    <w:tmpl w:val="F4BD681D"/>
    <w:lvl w:ilvl="0" w:tentative="0">
      <w:start w:val="1"/>
      <w:numFmt w:val="decimal"/>
      <w:lvlText w:val="%1."/>
      <w:lvlJc w:val="left"/>
      <w:pPr>
        <w:tabs>
          <w:tab w:val="left" w:pos="312"/>
        </w:tabs>
      </w:pPr>
    </w:lvl>
  </w:abstractNum>
  <w:abstractNum w:abstractNumId="3">
    <w:nsid w:val="31749B0B"/>
    <w:multiLevelType w:val="singleLevel"/>
    <w:tmpl w:val="31749B0B"/>
    <w:lvl w:ilvl="0" w:tentative="0">
      <w:start w:val="1"/>
      <w:numFmt w:val="decimal"/>
      <w:lvlText w:val="%1."/>
      <w:lvlJc w:val="left"/>
      <w:pPr>
        <w:tabs>
          <w:tab w:val="left" w:pos="312"/>
        </w:tabs>
      </w:pPr>
    </w:lvl>
  </w:abstractNum>
  <w:abstractNum w:abstractNumId="4">
    <w:nsid w:val="3F4FCC9C"/>
    <w:multiLevelType w:val="singleLevel"/>
    <w:tmpl w:val="3F4FCC9C"/>
    <w:lvl w:ilvl="0" w:tentative="0">
      <w:start w:val="1"/>
      <w:numFmt w:val="chineseCounting"/>
      <w:suff w:val="nothing"/>
      <w:lvlText w:val="%1、"/>
      <w:lvlJc w:val="left"/>
      <w:pPr>
        <w:ind w:left="-2320"/>
      </w:pPr>
      <w:rPr>
        <w:rFonts w:hint="eastAsia"/>
      </w:rPr>
    </w:lvl>
  </w:abstractNum>
  <w:abstractNum w:abstractNumId="5">
    <w:nsid w:val="426A2C04"/>
    <w:multiLevelType w:val="multilevel"/>
    <w:tmpl w:val="426A2C04"/>
    <w:lvl w:ilvl="0" w:tentative="0">
      <w:start w:val="1"/>
      <w:numFmt w:val="decimal"/>
      <w:lvlText w:val="(%1)"/>
      <w:lvlJc w:val="left"/>
      <w:pPr>
        <w:ind w:left="396" w:hanging="396"/>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716AEA0C"/>
    <w:multiLevelType w:val="singleLevel"/>
    <w:tmpl w:val="716AEA0C"/>
    <w:lvl w:ilvl="0" w:tentative="0">
      <w:start w:val="1"/>
      <w:numFmt w:val="decimal"/>
      <w:suff w:val="nothing"/>
      <w:lvlText w:val="（%1）"/>
      <w:lvlJc w:val="left"/>
    </w:lvl>
  </w:abstractNum>
  <w:num w:numId="1">
    <w:abstractNumId w:val="1"/>
  </w:num>
  <w:num w:numId="2">
    <w:abstractNumId w:val="5"/>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ZjNmMzQ5OGUzZGMyNjUzOWU1NzZiZGI0NjNiOWQifQ=="/>
  </w:docVars>
  <w:rsids>
    <w:rsidRoot w:val="00C15DCF"/>
    <w:rsid w:val="000011AA"/>
    <w:rsid w:val="00025002"/>
    <w:rsid w:val="00035BE1"/>
    <w:rsid w:val="00036F3F"/>
    <w:rsid w:val="00040CB8"/>
    <w:rsid w:val="00044112"/>
    <w:rsid w:val="00057F30"/>
    <w:rsid w:val="0006025D"/>
    <w:rsid w:val="00060E60"/>
    <w:rsid w:val="0006319B"/>
    <w:rsid w:val="00065747"/>
    <w:rsid w:val="000841F8"/>
    <w:rsid w:val="00090BD7"/>
    <w:rsid w:val="000955CC"/>
    <w:rsid w:val="000A1C82"/>
    <w:rsid w:val="000A4518"/>
    <w:rsid w:val="000A67BB"/>
    <w:rsid w:val="000B52BE"/>
    <w:rsid w:val="000C52CD"/>
    <w:rsid w:val="000C7D49"/>
    <w:rsid w:val="000F1406"/>
    <w:rsid w:val="000F5483"/>
    <w:rsid w:val="001035DF"/>
    <w:rsid w:val="00103D0C"/>
    <w:rsid w:val="00116F7F"/>
    <w:rsid w:val="00117530"/>
    <w:rsid w:val="001263E6"/>
    <w:rsid w:val="00134124"/>
    <w:rsid w:val="00134B07"/>
    <w:rsid w:val="00136540"/>
    <w:rsid w:val="001439AA"/>
    <w:rsid w:val="0015076E"/>
    <w:rsid w:val="00155A02"/>
    <w:rsid w:val="001569CA"/>
    <w:rsid w:val="00157E48"/>
    <w:rsid w:val="00171217"/>
    <w:rsid w:val="00180386"/>
    <w:rsid w:val="00193F3C"/>
    <w:rsid w:val="001B2804"/>
    <w:rsid w:val="001B5DD5"/>
    <w:rsid w:val="001C0F27"/>
    <w:rsid w:val="001D0865"/>
    <w:rsid w:val="001D290B"/>
    <w:rsid w:val="001D4B00"/>
    <w:rsid w:val="001F681D"/>
    <w:rsid w:val="001F70DB"/>
    <w:rsid w:val="00210EDD"/>
    <w:rsid w:val="0021224D"/>
    <w:rsid w:val="00212936"/>
    <w:rsid w:val="002145F2"/>
    <w:rsid w:val="00215C8A"/>
    <w:rsid w:val="00224176"/>
    <w:rsid w:val="00226A0F"/>
    <w:rsid w:val="00227DE6"/>
    <w:rsid w:val="00235AB4"/>
    <w:rsid w:val="0023727B"/>
    <w:rsid w:val="002410B3"/>
    <w:rsid w:val="0024175A"/>
    <w:rsid w:val="002442B7"/>
    <w:rsid w:val="00263E63"/>
    <w:rsid w:val="0026785E"/>
    <w:rsid w:val="00271C45"/>
    <w:rsid w:val="00271FB8"/>
    <w:rsid w:val="002752B7"/>
    <w:rsid w:val="002A1278"/>
    <w:rsid w:val="002A3821"/>
    <w:rsid w:val="002A67A5"/>
    <w:rsid w:val="002D0856"/>
    <w:rsid w:val="002D3D42"/>
    <w:rsid w:val="002D4073"/>
    <w:rsid w:val="002D6DBA"/>
    <w:rsid w:val="002E12FB"/>
    <w:rsid w:val="002F1126"/>
    <w:rsid w:val="002F1B91"/>
    <w:rsid w:val="00311C9F"/>
    <w:rsid w:val="00316752"/>
    <w:rsid w:val="00335F60"/>
    <w:rsid w:val="00345483"/>
    <w:rsid w:val="003602B3"/>
    <w:rsid w:val="003639AC"/>
    <w:rsid w:val="0036541F"/>
    <w:rsid w:val="00366872"/>
    <w:rsid w:val="00367E96"/>
    <w:rsid w:val="0037170B"/>
    <w:rsid w:val="003802B5"/>
    <w:rsid w:val="00382C3E"/>
    <w:rsid w:val="003934CF"/>
    <w:rsid w:val="00397FC6"/>
    <w:rsid w:val="003A4C7B"/>
    <w:rsid w:val="003A5E05"/>
    <w:rsid w:val="003B1DCB"/>
    <w:rsid w:val="003C3C18"/>
    <w:rsid w:val="003E37A7"/>
    <w:rsid w:val="003E5E86"/>
    <w:rsid w:val="00400608"/>
    <w:rsid w:val="00411981"/>
    <w:rsid w:val="00412772"/>
    <w:rsid w:val="00420B13"/>
    <w:rsid w:val="00421500"/>
    <w:rsid w:val="004306C6"/>
    <w:rsid w:val="00444E4C"/>
    <w:rsid w:val="004475A2"/>
    <w:rsid w:val="0045065E"/>
    <w:rsid w:val="00454EA3"/>
    <w:rsid w:val="00454ED4"/>
    <w:rsid w:val="00455C45"/>
    <w:rsid w:val="00456B8F"/>
    <w:rsid w:val="004612D0"/>
    <w:rsid w:val="00472FDD"/>
    <w:rsid w:val="00474F02"/>
    <w:rsid w:val="004751BF"/>
    <w:rsid w:val="00475AC8"/>
    <w:rsid w:val="00477230"/>
    <w:rsid w:val="004822E9"/>
    <w:rsid w:val="00484076"/>
    <w:rsid w:val="00487E70"/>
    <w:rsid w:val="004912D2"/>
    <w:rsid w:val="00492BB5"/>
    <w:rsid w:val="004A2B4E"/>
    <w:rsid w:val="004B2139"/>
    <w:rsid w:val="004C2D45"/>
    <w:rsid w:val="004C3222"/>
    <w:rsid w:val="004C4900"/>
    <w:rsid w:val="004D0287"/>
    <w:rsid w:val="004D35F4"/>
    <w:rsid w:val="004D4B3C"/>
    <w:rsid w:val="004D5BBC"/>
    <w:rsid w:val="004D5DCB"/>
    <w:rsid w:val="004E2CAB"/>
    <w:rsid w:val="00501A39"/>
    <w:rsid w:val="00504010"/>
    <w:rsid w:val="005130FB"/>
    <w:rsid w:val="00516BDA"/>
    <w:rsid w:val="005218C8"/>
    <w:rsid w:val="005250AA"/>
    <w:rsid w:val="00531D73"/>
    <w:rsid w:val="00537E53"/>
    <w:rsid w:val="00540B33"/>
    <w:rsid w:val="005419AD"/>
    <w:rsid w:val="00543DB8"/>
    <w:rsid w:val="00543FD7"/>
    <w:rsid w:val="0054419C"/>
    <w:rsid w:val="00547BE3"/>
    <w:rsid w:val="00552026"/>
    <w:rsid w:val="00554964"/>
    <w:rsid w:val="00556309"/>
    <w:rsid w:val="005606A3"/>
    <w:rsid w:val="005609A5"/>
    <w:rsid w:val="00564014"/>
    <w:rsid w:val="0057338E"/>
    <w:rsid w:val="00573D25"/>
    <w:rsid w:val="005808A9"/>
    <w:rsid w:val="005864F0"/>
    <w:rsid w:val="00592821"/>
    <w:rsid w:val="005A1483"/>
    <w:rsid w:val="005A4957"/>
    <w:rsid w:val="005A77FF"/>
    <w:rsid w:val="005C125A"/>
    <w:rsid w:val="005C6E1C"/>
    <w:rsid w:val="005E04C3"/>
    <w:rsid w:val="005E0FFD"/>
    <w:rsid w:val="005E65B9"/>
    <w:rsid w:val="005F1672"/>
    <w:rsid w:val="005F4AA7"/>
    <w:rsid w:val="005F52C3"/>
    <w:rsid w:val="00601DEF"/>
    <w:rsid w:val="00603109"/>
    <w:rsid w:val="0060456F"/>
    <w:rsid w:val="0060623E"/>
    <w:rsid w:val="00607295"/>
    <w:rsid w:val="006102DA"/>
    <w:rsid w:val="00616137"/>
    <w:rsid w:val="00625128"/>
    <w:rsid w:val="00633544"/>
    <w:rsid w:val="00636392"/>
    <w:rsid w:val="00646851"/>
    <w:rsid w:val="00650739"/>
    <w:rsid w:val="0066172B"/>
    <w:rsid w:val="00667A21"/>
    <w:rsid w:val="00682D15"/>
    <w:rsid w:val="00687919"/>
    <w:rsid w:val="00690A30"/>
    <w:rsid w:val="00694B5E"/>
    <w:rsid w:val="006A1DE7"/>
    <w:rsid w:val="006A66C5"/>
    <w:rsid w:val="006B4B32"/>
    <w:rsid w:val="006B756A"/>
    <w:rsid w:val="006D493F"/>
    <w:rsid w:val="006D7BA7"/>
    <w:rsid w:val="006E7B83"/>
    <w:rsid w:val="006F168B"/>
    <w:rsid w:val="006F575E"/>
    <w:rsid w:val="00700333"/>
    <w:rsid w:val="00701BF8"/>
    <w:rsid w:val="00710A3A"/>
    <w:rsid w:val="007144E4"/>
    <w:rsid w:val="0072634A"/>
    <w:rsid w:val="00737EE9"/>
    <w:rsid w:val="007409ED"/>
    <w:rsid w:val="007467D4"/>
    <w:rsid w:val="007522A9"/>
    <w:rsid w:val="00752B2E"/>
    <w:rsid w:val="0076132A"/>
    <w:rsid w:val="00761B1E"/>
    <w:rsid w:val="00770C24"/>
    <w:rsid w:val="00787C73"/>
    <w:rsid w:val="00792C31"/>
    <w:rsid w:val="00795289"/>
    <w:rsid w:val="007A5DF5"/>
    <w:rsid w:val="007B03ED"/>
    <w:rsid w:val="007B78E2"/>
    <w:rsid w:val="007C46D0"/>
    <w:rsid w:val="007D3222"/>
    <w:rsid w:val="007E0AC6"/>
    <w:rsid w:val="007E31F4"/>
    <w:rsid w:val="007E683B"/>
    <w:rsid w:val="007E6CF1"/>
    <w:rsid w:val="008129AE"/>
    <w:rsid w:val="00816A85"/>
    <w:rsid w:val="008172E2"/>
    <w:rsid w:val="008356BA"/>
    <w:rsid w:val="00835944"/>
    <w:rsid w:val="008559FB"/>
    <w:rsid w:val="00861A1C"/>
    <w:rsid w:val="0086278E"/>
    <w:rsid w:val="00891AD8"/>
    <w:rsid w:val="00892124"/>
    <w:rsid w:val="00892BBC"/>
    <w:rsid w:val="008967F6"/>
    <w:rsid w:val="008A1C40"/>
    <w:rsid w:val="008A2E95"/>
    <w:rsid w:val="008A4CC2"/>
    <w:rsid w:val="008A6FCE"/>
    <w:rsid w:val="008B5310"/>
    <w:rsid w:val="008B6933"/>
    <w:rsid w:val="008B706B"/>
    <w:rsid w:val="008B7F71"/>
    <w:rsid w:val="008F3355"/>
    <w:rsid w:val="009132E7"/>
    <w:rsid w:val="00917974"/>
    <w:rsid w:val="00917FDF"/>
    <w:rsid w:val="0093158D"/>
    <w:rsid w:val="00940336"/>
    <w:rsid w:val="00946304"/>
    <w:rsid w:val="009463D6"/>
    <w:rsid w:val="0095175A"/>
    <w:rsid w:val="00955AA1"/>
    <w:rsid w:val="00956F06"/>
    <w:rsid w:val="00957AAB"/>
    <w:rsid w:val="00957E5B"/>
    <w:rsid w:val="00960471"/>
    <w:rsid w:val="00961042"/>
    <w:rsid w:val="00961C73"/>
    <w:rsid w:val="009621E2"/>
    <w:rsid w:val="00962FBE"/>
    <w:rsid w:val="00976217"/>
    <w:rsid w:val="009827C2"/>
    <w:rsid w:val="00982F82"/>
    <w:rsid w:val="00986099"/>
    <w:rsid w:val="0099187E"/>
    <w:rsid w:val="00992EC3"/>
    <w:rsid w:val="009A0CB4"/>
    <w:rsid w:val="009A1820"/>
    <w:rsid w:val="009A391F"/>
    <w:rsid w:val="009B1CA3"/>
    <w:rsid w:val="009B23C1"/>
    <w:rsid w:val="009D3A59"/>
    <w:rsid w:val="009D59A0"/>
    <w:rsid w:val="009D623A"/>
    <w:rsid w:val="009D6E47"/>
    <w:rsid w:val="009E2112"/>
    <w:rsid w:val="009F025C"/>
    <w:rsid w:val="009F69E8"/>
    <w:rsid w:val="009F7DDF"/>
    <w:rsid w:val="00A0258F"/>
    <w:rsid w:val="00A049D4"/>
    <w:rsid w:val="00A116E6"/>
    <w:rsid w:val="00A1600F"/>
    <w:rsid w:val="00A21C4C"/>
    <w:rsid w:val="00A23B4B"/>
    <w:rsid w:val="00A26256"/>
    <w:rsid w:val="00A30472"/>
    <w:rsid w:val="00A376F3"/>
    <w:rsid w:val="00A444DC"/>
    <w:rsid w:val="00A45367"/>
    <w:rsid w:val="00A4627B"/>
    <w:rsid w:val="00A51631"/>
    <w:rsid w:val="00A54EFF"/>
    <w:rsid w:val="00A60EF9"/>
    <w:rsid w:val="00A625BF"/>
    <w:rsid w:val="00A6644B"/>
    <w:rsid w:val="00A70AB4"/>
    <w:rsid w:val="00A77B04"/>
    <w:rsid w:val="00A83949"/>
    <w:rsid w:val="00A842A1"/>
    <w:rsid w:val="00A84453"/>
    <w:rsid w:val="00A8514D"/>
    <w:rsid w:val="00A87160"/>
    <w:rsid w:val="00A87346"/>
    <w:rsid w:val="00A87755"/>
    <w:rsid w:val="00A934A5"/>
    <w:rsid w:val="00A96BD3"/>
    <w:rsid w:val="00AA3EFB"/>
    <w:rsid w:val="00AB165F"/>
    <w:rsid w:val="00AB5D31"/>
    <w:rsid w:val="00AC22F0"/>
    <w:rsid w:val="00AC2670"/>
    <w:rsid w:val="00AC57E3"/>
    <w:rsid w:val="00AC584E"/>
    <w:rsid w:val="00AD4AF6"/>
    <w:rsid w:val="00AD6503"/>
    <w:rsid w:val="00AE0AE7"/>
    <w:rsid w:val="00AE517A"/>
    <w:rsid w:val="00AE6BDA"/>
    <w:rsid w:val="00AF100C"/>
    <w:rsid w:val="00AF17B8"/>
    <w:rsid w:val="00AF45A5"/>
    <w:rsid w:val="00AF75FD"/>
    <w:rsid w:val="00AF7F7C"/>
    <w:rsid w:val="00B110B6"/>
    <w:rsid w:val="00B1186E"/>
    <w:rsid w:val="00B143A3"/>
    <w:rsid w:val="00B1645C"/>
    <w:rsid w:val="00B16D0E"/>
    <w:rsid w:val="00B2442A"/>
    <w:rsid w:val="00B30326"/>
    <w:rsid w:val="00B3274A"/>
    <w:rsid w:val="00B33816"/>
    <w:rsid w:val="00B36458"/>
    <w:rsid w:val="00B40A8C"/>
    <w:rsid w:val="00B45D3A"/>
    <w:rsid w:val="00B51A1C"/>
    <w:rsid w:val="00B62205"/>
    <w:rsid w:val="00B64E44"/>
    <w:rsid w:val="00B77B4E"/>
    <w:rsid w:val="00BA01B8"/>
    <w:rsid w:val="00BB50E1"/>
    <w:rsid w:val="00BC2301"/>
    <w:rsid w:val="00BC37DB"/>
    <w:rsid w:val="00BC5E4A"/>
    <w:rsid w:val="00BD5722"/>
    <w:rsid w:val="00BE3B69"/>
    <w:rsid w:val="00BE4525"/>
    <w:rsid w:val="00BE5BF9"/>
    <w:rsid w:val="00BE6428"/>
    <w:rsid w:val="00BF46C7"/>
    <w:rsid w:val="00C0145E"/>
    <w:rsid w:val="00C14398"/>
    <w:rsid w:val="00C15DCF"/>
    <w:rsid w:val="00C21B8D"/>
    <w:rsid w:val="00C248FA"/>
    <w:rsid w:val="00C260FD"/>
    <w:rsid w:val="00C27F21"/>
    <w:rsid w:val="00C3169B"/>
    <w:rsid w:val="00C42CF1"/>
    <w:rsid w:val="00C435F8"/>
    <w:rsid w:val="00C527C6"/>
    <w:rsid w:val="00C62272"/>
    <w:rsid w:val="00C66B32"/>
    <w:rsid w:val="00C74489"/>
    <w:rsid w:val="00C828E4"/>
    <w:rsid w:val="00C82BC7"/>
    <w:rsid w:val="00C82F5F"/>
    <w:rsid w:val="00CA0380"/>
    <w:rsid w:val="00CA03A6"/>
    <w:rsid w:val="00CA7529"/>
    <w:rsid w:val="00CB7052"/>
    <w:rsid w:val="00CB7C7E"/>
    <w:rsid w:val="00CC5693"/>
    <w:rsid w:val="00CC7B53"/>
    <w:rsid w:val="00CD5BF6"/>
    <w:rsid w:val="00CD5F8F"/>
    <w:rsid w:val="00CE21EA"/>
    <w:rsid w:val="00CE7910"/>
    <w:rsid w:val="00CF707E"/>
    <w:rsid w:val="00D01E7B"/>
    <w:rsid w:val="00D10E9D"/>
    <w:rsid w:val="00D223A9"/>
    <w:rsid w:val="00D26803"/>
    <w:rsid w:val="00D32A52"/>
    <w:rsid w:val="00D401FB"/>
    <w:rsid w:val="00D56FA3"/>
    <w:rsid w:val="00D572A8"/>
    <w:rsid w:val="00D606BC"/>
    <w:rsid w:val="00D60E3E"/>
    <w:rsid w:val="00D644A9"/>
    <w:rsid w:val="00D71BD0"/>
    <w:rsid w:val="00D77271"/>
    <w:rsid w:val="00D77F61"/>
    <w:rsid w:val="00D80142"/>
    <w:rsid w:val="00D86E22"/>
    <w:rsid w:val="00D92B50"/>
    <w:rsid w:val="00D972CC"/>
    <w:rsid w:val="00DB2075"/>
    <w:rsid w:val="00DC34A3"/>
    <w:rsid w:val="00DC6A35"/>
    <w:rsid w:val="00DC6C22"/>
    <w:rsid w:val="00DD27AD"/>
    <w:rsid w:val="00DD45DC"/>
    <w:rsid w:val="00DE16C9"/>
    <w:rsid w:val="00DF10C6"/>
    <w:rsid w:val="00DF2825"/>
    <w:rsid w:val="00E02791"/>
    <w:rsid w:val="00E05736"/>
    <w:rsid w:val="00E05A6A"/>
    <w:rsid w:val="00E150A2"/>
    <w:rsid w:val="00E21452"/>
    <w:rsid w:val="00E37187"/>
    <w:rsid w:val="00E45C1E"/>
    <w:rsid w:val="00E53744"/>
    <w:rsid w:val="00E56C9F"/>
    <w:rsid w:val="00E65446"/>
    <w:rsid w:val="00E70986"/>
    <w:rsid w:val="00E71CBF"/>
    <w:rsid w:val="00E82906"/>
    <w:rsid w:val="00EA1E2D"/>
    <w:rsid w:val="00EA2679"/>
    <w:rsid w:val="00EA36A7"/>
    <w:rsid w:val="00EA5D83"/>
    <w:rsid w:val="00EA6BA4"/>
    <w:rsid w:val="00EB4981"/>
    <w:rsid w:val="00EB679E"/>
    <w:rsid w:val="00EC3E40"/>
    <w:rsid w:val="00EF2312"/>
    <w:rsid w:val="00EF6D93"/>
    <w:rsid w:val="00F02706"/>
    <w:rsid w:val="00F03B35"/>
    <w:rsid w:val="00F15B62"/>
    <w:rsid w:val="00F24A90"/>
    <w:rsid w:val="00F3143A"/>
    <w:rsid w:val="00F47523"/>
    <w:rsid w:val="00F50FFF"/>
    <w:rsid w:val="00F51D88"/>
    <w:rsid w:val="00F531F2"/>
    <w:rsid w:val="00F615A7"/>
    <w:rsid w:val="00F64E6C"/>
    <w:rsid w:val="00F7098A"/>
    <w:rsid w:val="00F86A3A"/>
    <w:rsid w:val="00F8717B"/>
    <w:rsid w:val="00F875E2"/>
    <w:rsid w:val="00F9632D"/>
    <w:rsid w:val="00F97029"/>
    <w:rsid w:val="00FA1B95"/>
    <w:rsid w:val="00FA347C"/>
    <w:rsid w:val="00FA5977"/>
    <w:rsid w:val="00FB31C0"/>
    <w:rsid w:val="00FB504A"/>
    <w:rsid w:val="00FB57EE"/>
    <w:rsid w:val="00FC3F89"/>
    <w:rsid w:val="00FC7F88"/>
    <w:rsid w:val="00FD0535"/>
    <w:rsid w:val="00FD3A19"/>
    <w:rsid w:val="00FD6565"/>
    <w:rsid w:val="011A2806"/>
    <w:rsid w:val="013228D0"/>
    <w:rsid w:val="019A7F55"/>
    <w:rsid w:val="01DE3EE1"/>
    <w:rsid w:val="01F44FA7"/>
    <w:rsid w:val="020A56F5"/>
    <w:rsid w:val="021A2545"/>
    <w:rsid w:val="02266196"/>
    <w:rsid w:val="023F2ABD"/>
    <w:rsid w:val="02493F1D"/>
    <w:rsid w:val="024C709E"/>
    <w:rsid w:val="02664214"/>
    <w:rsid w:val="027A0F69"/>
    <w:rsid w:val="02D91644"/>
    <w:rsid w:val="02EB177B"/>
    <w:rsid w:val="0310390A"/>
    <w:rsid w:val="03337EA1"/>
    <w:rsid w:val="03757289"/>
    <w:rsid w:val="03A60410"/>
    <w:rsid w:val="03B5570B"/>
    <w:rsid w:val="03EE0EDB"/>
    <w:rsid w:val="043B09D3"/>
    <w:rsid w:val="043B560C"/>
    <w:rsid w:val="04901246"/>
    <w:rsid w:val="04A572B8"/>
    <w:rsid w:val="04AD0B8B"/>
    <w:rsid w:val="05090F64"/>
    <w:rsid w:val="05201AE6"/>
    <w:rsid w:val="054D5B0F"/>
    <w:rsid w:val="05AF5BF3"/>
    <w:rsid w:val="06431373"/>
    <w:rsid w:val="06626775"/>
    <w:rsid w:val="06A54465"/>
    <w:rsid w:val="06BF74B4"/>
    <w:rsid w:val="06FF046B"/>
    <w:rsid w:val="07587FC4"/>
    <w:rsid w:val="075D58B9"/>
    <w:rsid w:val="07A35073"/>
    <w:rsid w:val="07B753EC"/>
    <w:rsid w:val="07BC1749"/>
    <w:rsid w:val="07C63606"/>
    <w:rsid w:val="07E0010F"/>
    <w:rsid w:val="07F05881"/>
    <w:rsid w:val="08260646"/>
    <w:rsid w:val="084C4D23"/>
    <w:rsid w:val="085F29AC"/>
    <w:rsid w:val="08735201"/>
    <w:rsid w:val="08777A0E"/>
    <w:rsid w:val="08B155C9"/>
    <w:rsid w:val="08F83284"/>
    <w:rsid w:val="09567B3F"/>
    <w:rsid w:val="09646403"/>
    <w:rsid w:val="09BB7F03"/>
    <w:rsid w:val="09BC64A4"/>
    <w:rsid w:val="09D2149B"/>
    <w:rsid w:val="09DD3A82"/>
    <w:rsid w:val="09F6431D"/>
    <w:rsid w:val="0A46479E"/>
    <w:rsid w:val="0A786664"/>
    <w:rsid w:val="0AAC69A9"/>
    <w:rsid w:val="0AF31003"/>
    <w:rsid w:val="0B4E4FB9"/>
    <w:rsid w:val="0B6B3F60"/>
    <w:rsid w:val="0B7B6159"/>
    <w:rsid w:val="0B7C089E"/>
    <w:rsid w:val="0BBD0341"/>
    <w:rsid w:val="0C040028"/>
    <w:rsid w:val="0C882A07"/>
    <w:rsid w:val="0CD14E47"/>
    <w:rsid w:val="0CFE44C0"/>
    <w:rsid w:val="0D0A22CB"/>
    <w:rsid w:val="0D302969"/>
    <w:rsid w:val="0D405013"/>
    <w:rsid w:val="0D930B70"/>
    <w:rsid w:val="0DF20D34"/>
    <w:rsid w:val="0DF67AC5"/>
    <w:rsid w:val="0DFE4484"/>
    <w:rsid w:val="0E371734"/>
    <w:rsid w:val="0EB137D2"/>
    <w:rsid w:val="0EB144F6"/>
    <w:rsid w:val="0EFB3561"/>
    <w:rsid w:val="0F245AF8"/>
    <w:rsid w:val="0F980380"/>
    <w:rsid w:val="0FC32542"/>
    <w:rsid w:val="0FDD6A04"/>
    <w:rsid w:val="100F5C13"/>
    <w:rsid w:val="1038786D"/>
    <w:rsid w:val="10F21DEB"/>
    <w:rsid w:val="11102D99"/>
    <w:rsid w:val="111B2C9F"/>
    <w:rsid w:val="11883866"/>
    <w:rsid w:val="122078A5"/>
    <w:rsid w:val="12513250"/>
    <w:rsid w:val="125E091B"/>
    <w:rsid w:val="12736CA2"/>
    <w:rsid w:val="128115FD"/>
    <w:rsid w:val="128A0575"/>
    <w:rsid w:val="129B7495"/>
    <w:rsid w:val="12C03463"/>
    <w:rsid w:val="12E1330B"/>
    <w:rsid w:val="13346DCE"/>
    <w:rsid w:val="13642CEB"/>
    <w:rsid w:val="13C13906"/>
    <w:rsid w:val="14043C24"/>
    <w:rsid w:val="147F492C"/>
    <w:rsid w:val="149C61F4"/>
    <w:rsid w:val="14A547A7"/>
    <w:rsid w:val="14BB0D3B"/>
    <w:rsid w:val="151C504B"/>
    <w:rsid w:val="1535268D"/>
    <w:rsid w:val="154167F8"/>
    <w:rsid w:val="15551823"/>
    <w:rsid w:val="158B33A6"/>
    <w:rsid w:val="158E0B8A"/>
    <w:rsid w:val="15FA26ED"/>
    <w:rsid w:val="160449B4"/>
    <w:rsid w:val="166E74DA"/>
    <w:rsid w:val="16AC3376"/>
    <w:rsid w:val="16DF0F5F"/>
    <w:rsid w:val="16F34DEA"/>
    <w:rsid w:val="171B738C"/>
    <w:rsid w:val="173D215B"/>
    <w:rsid w:val="1740618E"/>
    <w:rsid w:val="1776278A"/>
    <w:rsid w:val="17836928"/>
    <w:rsid w:val="182339F3"/>
    <w:rsid w:val="18550D36"/>
    <w:rsid w:val="18657AF2"/>
    <w:rsid w:val="186B2B93"/>
    <w:rsid w:val="18EA6877"/>
    <w:rsid w:val="18F3418E"/>
    <w:rsid w:val="19222242"/>
    <w:rsid w:val="1973262F"/>
    <w:rsid w:val="199C50C3"/>
    <w:rsid w:val="19BF3BAC"/>
    <w:rsid w:val="19C771EB"/>
    <w:rsid w:val="1A01060C"/>
    <w:rsid w:val="1A241D51"/>
    <w:rsid w:val="1A5F0359"/>
    <w:rsid w:val="1ACE7A6E"/>
    <w:rsid w:val="1B187489"/>
    <w:rsid w:val="1B3C514E"/>
    <w:rsid w:val="1B801A25"/>
    <w:rsid w:val="1C751C91"/>
    <w:rsid w:val="1C856245"/>
    <w:rsid w:val="1CCD4027"/>
    <w:rsid w:val="1CF80F2C"/>
    <w:rsid w:val="1D0339D8"/>
    <w:rsid w:val="1D365CC2"/>
    <w:rsid w:val="1D407A82"/>
    <w:rsid w:val="1D7E76FE"/>
    <w:rsid w:val="1D954F84"/>
    <w:rsid w:val="1DC54A1D"/>
    <w:rsid w:val="1E7E501C"/>
    <w:rsid w:val="1EAC40C0"/>
    <w:rsid w:val="1F141DC7"/>
    <w:rsid w:val="1F572178"/>
    <w:rsid w:val="1F6A516A"/>
    <w:rsid w:val="1F8005D3"/>
    <w:rsid w:val="1F956224"/>
    <w:rsid w:val="1F9A1A58"/>
    <w:rsid w:val="1FB66C62"/>
    <w:rsid w:val="200915A2"/>
    <w:rsid w:val="2032109E"/>
    <w:rsid w:val="204E4A8E"/>
    <w:rsid w:val="205B1DA3"/>
    <w:rsid w:val="20810E68"/>
    <w:rsid w:val="208B2BFD"/>
    <w:rsid w:val="20FD607F"/>
    <w:rsid w:val="21253C21"/>
    <w:rsid w:val="216E738A"/>
    <w:rsid w:val="21AA00A2"/>
    <w:rsid w:val="21BA6F33"/>
    <w:rsid w:val="21CA1AE6"/>
    <w:rsid w:val="2258772E"/>
    <w:rsid w:val="227746D8"/>
    <w:rsid w:val="228876A8"/>
    <w:rsid w:val="233B61A9"/>
    <w:rsid w:val="23501D06"/>
    <w:rsid w:val="235F441D"/>
    <w:rsid w:val="23663D0A"/>
    <w:rsid w:val="23CA4807"/>
    <w:rsid w:val="23E43828"/>
    <w:rsid w:val="241B13A2"/>
    <w:rsid w:val="241F5B7C"/>
    <w:rsid w:val="247170E1"/>
    <w:rsid w:val="24A655C4"/>
    <w:rsid w:val="24E07FB4"/>
    <w:rsid w:val="24E3329B"/>
    <w:rsid w:val="256A3139"/>
    <w:rsid w:val="257D6BA2"/>
    <w:rsid w:val="25BE5A55"/>
    <w:rsid w:val="25C44BBC"/>
    <w:rsid w:val="25EB0F2A"/>
    <w:rsid w:val="25ED37EB"/>
    <w:rsid w:val="25ED67D3"/>
    <w:rsid w:val="26003133"/>
    <w:rsid w:val="264601CC"/>
    <w:rsid w:val="2681780B"/>
    <w:rsid w:val="268D2CE5"/>
    <w:rsid w:val="269437D5"/>
    <w:rsid w:val="26FB2074"/>
    <w:rsid w:val="270C1CFB"/>
    <w:rsid w:val="2760231B"/>
    <w:rsid w:val="27674A8F"/>
    <w:rsid w:val="279807E5"/>
    <w:rsid w:val="27A55946"/>
    <w:rsid w:val="27BB349F"/>
    <w:rsid w:val="27F067C8"/>
    <w:rsid w:val="27F730D9"/>
    <w:rsid w:val="280412C2"/>
    <w:rsid w:val="28183370"/>
    <w:rsid w:val="286A33AE"/>
    <w:rsid w:val="286C1033"/>
    <w:rsid w:val="288E6680"/>
    <w:rsid w:val="28C20F45"/>
    <w:rsid w:val="290A1B34"/>
    <w:rsid w:val="29313673"/>
    <w:rsid w:val="295906F2"/>
    <w:rsid w:val="29A50AFC"/>
    <w:rsid w:val="29B67D1B"/>
    <w:rsid w:val="29D42D1E"/>
    <w:rsid w:val="2A394622"/>
    <w:rsid w:val="2A47735D"/>
    <w:rsid w:val="2A5819C4"/>
    <w:rsid w:val="2A9D73BD"/>
    <w:rsid w:val="2AD27B84"/>
    <w:rsid w:val="2AE26F9E"/>
    <w:rsid w:val="2AF679BE"/>
    <w:rsid w:val="2B452372"/>
    <w:rsid w:val="2BA23250"/>
    <w:rsid w:val="2BDF352E"/>
    <w:rsid w:val="2BF56356"/>
    <w:rsid w:val="2C117498"/>
    <w:rsid w:val="2C223EC2"/>
    <w:rsid w:val="2C453947"/>
    <w:rsid w:val="2C557D38"/>
    <w:rsid w:val="2CA34301"/>
    <w:rsid w:val="2D393B7E"/>
    <w:rsid w:val="2D5D7ED0"/>
    <w:rsid w:val="2D94786D"/>
    <w:rsid w:val="2E473FEE"/>
    <w:rsid w:val="2E9F188E"/>
    <w:rsid w:val="2EB1583B"/>
    <w:rsid w:val="2EB92139"/>
    <w:rsid w:val="2F726D0A"/>
    <w:rsid w:val="2F985083"/>
    <w:rsid w:val="30250B36"/>
    <w:rsid w:val="30843E42"/>
    <w:rsid w:val="308F1ADA"/>
    <w:rsid w:val="30A05208"/>
    <w:rsid w:val="30A953CC"/>
    <w:rsid w:val="30B73DEA"/>
    <w:rsid w:val="30B97179"/>
    <w:rsid w:val="30C46223"/>
    <w:rsid w:val="30F82E33"/>
    <w:rsid w:val="31763BA5"/>
    <w:rsid w:val="317B4988"/>
    <w:rsid w:val="319D50F7"/>
    <w:rsid w:val="31E716D4"/>
    <w:rsid w:val="31F546D2"/>
    <w:rsid w:val="32167317"/>
    <w:rsid w:val="322D595C"/>
    <w:rsid w:val="326917BA"/>
    <w:rsid w:val="3316734E"/>
    <w:rsid w:val="338A3A01"/>
    <w:rsid w:val="33A97197"/>
    <w:rsid w:val="34273D6E"/>
    <w:rsid w:val="343F68CB"/>
    <w:rsid w:val="34BB44E4"/>
    <w:rsid w:val="353164D3"/>
    <w:rsid w:val="35436554"/>
    <w:rsid w:val="35484624"/>
    <w:rsid w:val="354F3DA6"/>
    <w:rsid w:val="3574344A"/>
    <w:rsid w:val="35804F32"/>
    <w:rsid w:val="359B0981"/>
    <w:rsid w:val="360A3A78"/>
    <w:rsid w:val="36705DDE"/>
    <w:rsid w:val="367A1642"/>
    <w:rsid w:val="368878B5"/>
    <w:rsid w:val="36C533CD"/>
    <w:rsid w:val="37595E02"/>
    <w:rsid w:val="37BD6228"/>
    <w:rsid w:val="38726196"/>
    <w:rsid w:val="38804144"/>
    <w:rsid w:val="388D7CD2"/>
    <w:rsid w:val="39165618"/>
    <w:rsid w:val="395B3D04"/>
    <w:rsid w:val="397C70E3"/>
    <w:rsid w:val="39995CE5"/>
    <w:rsid w:val="3A1352C8"/>
    <w:rsid w:val="3A151A0B"/>
    <w:rsid w:val="3A9E099C"/>
    <w:rsid w:val="3ADD15D1"/>
    <w:rsid w:val="3B263497"/>
    <w:rsid w:val="3B540113"/>
    <w:rsid w:val="3BC3397F"/>
    <w:rsid w:val="3C061FA3"/>
    <w:rsid w:val="3C475B28"/>
    <w:rsid w:val="3C596E53"/>
    <w:rsid w:val="3CE52BEB"/>
    <w:rsid w:val="3D0B740D"/>
    <w:rsid w:val="3DDC0916"/>
    <w:rsid w:val="3DF34BE7"/>
    <w:rsid w:val="3E073EF9"/>
    <w:rsid w:val="3E1423AA"/>
    <w:rsid w:val="3E315E60"/>
    <w:rsid w:val="3E9407B0"/>
    <w:rsid w:val="3E9B6079"/>
    <w:rsid w:val="3EA677E5"/>
    <w:rsid w:val="3EF95857"/>
    <w:rsid w:val="3F8B001D"/>
    <w:rsid w:val="3F9A1A81"/>
    <w:rsid w:val="3FC95D6F"/>
    <w:rsid w:val="3FCA17FE"/>
    <w:rsid w:val="3FD87F53"/>
    <w:rsid w:val="3FF467A4"/>
    <w:rsid w:val="40123435"/>
    <w:rsid w:val="40757C6C"/>
    <w:rsid w:val="40A95F66"/>
    <w:rsid w:val="40EA7177"/>
    <w:rsid w:val="410B1F26"/>
    <w:rsid w:val="412738F0"/>
    <w:rsid w:val="41A02AC6"/>
    <w:rsid w:val="41F8112E"/>
    <w:rsid w:val="42057B75"/>
    <w:rsid w:val="42600444"/>
    <w:rsid w:val="426F21B9"/>
    <w:rsid w:val="42DA3C6A"/>
    <w:rsid w:val="430E6171"/>
    <w:rsid w:val="43164CAE"/>
    <w:rsid w:val="438A03D7"/>
    <w:rsid w:val="43DC273C"/>
    <w:rsid w:val="43FA6FCA"/>
    <w:rsid w:val="44443F96"/>
    <w:rsid w:val="448A6C84"/>
    <w:rsid w:val="453D712D"/>
    <w:rsid w:val="45404AD7"/>
    <w:rsid w:val="4546651B"/>
    <w:rsid w:val="4552724E"/>
    <w:rsid w:val="45787AF5"/>
    <w:rsid w:val="45D40A4B"/>
    <w:rsid w:val="45D72C01"/>
    <w:rsid w:val="45DF1800"/>
    <w:rsid w:val="45F3043D"/>
    <w:rsid w:val="46242EC3"/>
    <w:rsid w:val="46442FE6"/>
    <w:rsid w:val="468B3613"/>
    <w:rsid w:val="468D7036"/>
    <w:rsid w:val="46B23BB7"/>
    <w:rsid w:val="46C16DC0"/>
    <w:rsid w:val="46E4672C"/>
    <w:rsid w:val="470A3E8D"/>
    <w:rsid w:val="476C464E"/>
    <w:rsid w:val="47755921"/>
    <w:rsid w:val="47E50294"/>
    <w:rsid w:val="48A83599"/>
    <w:rsid w:val="48AE0DDB"/>
    <w:rsid w:val="48DB18C5"/>
    <w:rsid w:val="48EC0A4F"/>
    <w:rsid w:val="491E236E"/>
    <w:rsid w:val="49346654"/>
    <w:rsid w:val="49A968E6"/>
    <w:rsid w:val="49BD6F64"/>
    <w:rsid w:val="49FA59A0"/>
    <w:rsid w:val="4A2E151A"/>
    <w:rsid w:val="4A325AAE"/>
    <w:rsid w:val="4A47179E"/>
    <w:rsid w:val="4AE32352"/>
    <w:rsid w:val="4B227B60"/>
    <w:rsid w:val="4B7132BF"/>
    <w:rsid w:val="4B81703E"/>
    <w:rsid w:val="4B92773C"/>
    <w:rsid w:val="4BDD486D"/>
    <w:rsid w:val="4C274673"/>
    <w:rsid w:val="4C3C788E"/>
    <w:rsid w:val="4C540C95"/>
    <w:rsid w:val="4C553102"/>
    <w:rsid w:val="4CA626E4"/>
    <w:rsid w:val="4CE46646"/>
    <w:rsid w:val="4CFD69C6"/>
    <w:rsid w:val="4D135031"/>
    <w:rsid w:val="4D2928B9"/>
    <w:rsid w:val="4DC72E45"/>
    <w:rsid w:val="4DE24FE0"/>
    <w:rsid w:val="4DF22CA9"/>
    <w:rsid w:val="4E023EDC"/>
    <w:rsid w:val="4E056F5A"/>
    <w:rsid w:val="4E2259B4"/>
    <w:rsid w:val="4E3B51DE"/>
    <w:rsid w:val="4EA830E1"/>
    <w:rsid w:val="4EDC1EB1"/>
    <w:rsid w:val="4EFE48A5"/>
    <w:rsid w:val="4F0F6165"/>
    <w:rsid w:val="4F15152F"/>
    <w:rsid w:val="4F7C04C8"/>
    <w:rsid w:val="4FC6275D"/>
    <w:rsid w:val="50907C42"/>
    <w:rsid w:val="50A7088F"/>
    <w:rsid w:val="50C461CA"/>
    <w:rsid w:val="50E84923"/>
    <w:rsid w:val="510A09DC"/>
    <w:rsid w:val="521D0B56"/>
    <w:rsid w:val="526F2A1D"/>
    <w:rsid w:val="527429C1"/>
    <w:rsid w:val="52940232"/>
    <w:rsid w:val="531112A6"/>
    <w:rsid w:val="533802B0"/>
    <w:rsid w:val="533C3B52"/>
    <w:rsid w:val="53471809"/>
    <w:rsid w:val="536C3F0B"/>
    <w:rsid w:val="537F3005"/>
    <w:rsid w:val="538A24F4"/>
    <w:rsid w:val="53B82E99"/>
    <w:rsid w:val="53C372DB"/>
    <w:rsid w:val="540521AE"/>
    <w:rsid w:val="541C347A"/>
    <w:rsid w:val="5448544E"/>
    <w:rsid w:val="54877B84"/>
    <w:rsid w:val="54B72614"/>
    <w:rsid w:val="550E1AE1"/>
    <w:rsid w:val="553B4FCF"/>
    <w:rsid w:val="55452BDB"/>
    <w:rsid w:val="55470D09"/>
    <w:rsid w:val="55515E18"/>
    <w:rsid w:val="555754F8"/>
    <w:rsid w:val="55B60419"/>
    <w:rsid w:val="560E0469"/>
    <w:rsid w:val="562F1154"/>
    <w:rsid w:val="56607CDF"/>
    <w:rsid w:val="570B7635"/>
    <w:rsid w:val="57A509D6"/>
    <w:rsid w:val="58377BEC"/>
    <w:rsid w:val="58486567"/>
    <w:rsid w:val="585E5A22"/>
    <w:rsid w:val="5883687F"/>
    <w:rsid w:val="58A7240B"/>
    <w:rsid w:val="58E84116"/>
    <w:rsid w:val="58EC7E13"/>
    <w:rsid w:val="58EF01FF"/>
    <w:rsid w:val="593D0E06"/>
    <w:rsid w:val="596035EC"/>
    <w:rsid w:val="59A74EFA"/>
    <w:rsid w:val="59F23B16"/>
    <w:rsid w:val="5A2F0DA6"/>
    <w:rsid w:val="5A4A727C"/>
    <w:rsid w:val="5A5479D3"/>
    <w:rsid w:val="5A8D0E51"/>
    <w:rsid w:val="5AAD7C72"/>
    <w:rsid w:val="5ACD0A5E"/>
    <w:rsid w:val="5B2B0C50"/>
    <w:rsid w:val="5BC35E63"/>
    <w:rsid w:val="5BD8693E"/>
    <w:rsid w:val="5BE11457"/>
    <w:rsid w:val="5BEF3C62"/>
    <w:rsid w:val="5C120045"/>
    <w:rsid w:val="5C4F3A2B"/>
    <w:rsid w:val="5C591D1D"/>
    <w:rsid w:val="5C764B2D"/>
    <w:rsid w:val="5C8D7E5B"/>
    <w:rsid w:val="5C967B06"/>
    <w:rsid w:val="5CFD6B77"/>
    <w:rsid w:val="5D14572E"/>
    <w:rsid w:val="5D5145F3"/>
    <w:rsid w:val="5D8767AE"/>
    <w:rsid w:val="5DC61E7E"/>
    <w:rsid w:val="5DC65D01"/>
    <w:rsid w:val="5DEA5A2D"/>
    <w:rsid w:val="5E161F57"/>
    <w:rsid w:val="5E177004"/>
    <w:rsid w:val="5E3E1307"/>
    <w:rsid w:val="5E431168"/>
    <w:rsid w:val="5E521BBD"/>
    <w:rsid w:val="5EB818DB"/>
    <w:rsid w:val="5EC522EB"/>
    <w:rsid w:val="5EE132EC"/>
    <w:rsid w:val="5F0E4864"/>
    <w:rsid w:val="5FA8318B"/>
    <w:rsid w:val="5FC30EF9"/>
    <w:rsid w:val="5FD95C51"/>
    <w:rsid w:val="5FE8339C"/>
    <w:rsid w:val="5FEF35D3"/>
    <w:rsid w:val="600C0C2B"/>
    <w:rsid w:val="60187431"/>
    <w:rsid w:val="607C5C81"/>
    <w:rsid w:val="60E26068"/>
    <w:rsid w:val="619652A6"/>
    <w:rsid w:val="61AD20C2"/>
    <w:rsid w:val="61B012F8"/>
    <w:rsid w:val="61D50CD0"/>
    <w:rsid w:val="61FA55ED"/>
    <w:rsid w:val="623220ED"/>
    <w:rsid w:val="624460C9"/>
    <w:rsid w:val="624C1AAC"/>
    <w:rsid w:val="62847106"/>
    <w:rsid w:val="62E73DC2"/>
    <w:rsid w:val="638A0E79"/>
    <w:rsid w:val="63AD55C3"/>
    <w:rsid w:val="63CA02E0"/>
    <w:rsid w:val="641427A9"/>
    <w:rsid w:val="643B1BCF"/>
    <w:rsid w:val="6460383C"/>
    <w:rsid w:val="648F7110"/>
    <w:rsid w:val="64AE6CF0"/>
    <w:rsid w:val="65601C1D"/>
    <w:rsid w:val="66612A29"/>
    <w:rsid w:val="6684355E"/>
    <w:rsid w:val="66A03796"/>
    <w:rsid w:val="67490299"/>
    <w:rsid w:val="674E1D0B"/>
    <w:rsid w:val="678057EF"/>
    <w:rsid w:val="67DA7A10"/>
    <w:rsid w:val="67E15D2E"/>
    <w:rsid w:val="67ED7013"/>
    <w:rsid w:val="67EE24BE"/>
    <w:rsid w:val="680208FD"/>
    <w:rsid w:val="682062A4"/>
    <w:rsid w:val="685C65A6"/>
    <w:rsid w:val="6872163A"/>
    <w:rsid w:val="68BC4CF0"/>
    <w:rsid w:val="691E7F15"/>
    <w:rsid w:val="6929351C"/>
    <w:rsid w:val="695C33F2"/>
    <w:rsid w:val="69737B45"/>
    <w:rsid w:val="69D77275"/>
    <w:rsid w:val="6A8278FC"/>
    <w:rsid w:val="6AA35793"/>
    <w:rsid w:val="6ADF40C1"/>
    <w:rsid w:val="6B052E2E"/>
    <w:rsid w:val="6B9E5837"/>
    <w:rsid w:val="6BCF114D"/>
    <w:rsid w:val="6C2E368F"/>
    <w:rsid w:val="6C4702F2"/>
    <w:rsid w:val="6C50179A"/>
    <w:rsid w:val="6C540948"/>
    <w:rsid w:val="6C7000F8"/>
    <w:rsid w:val="6C7D4FF8"/>
    <w:rsid w:val="6C842198"/>
    <w:rsid w:val="6CA048BC"/>
    <w:rsid w:val="6CBD1930"/>
    <w:rsid w:val="6D013069"/>
    <w:rsid w:val="6D2F5E72"/>
    <w:rsid w:val="6DA1380B"/>
    <w:rsid w:val="6E2A466F"/>
    <w:rsid w:val="6E645502"/>
    <w:rsid w:val="6E8400F7"/>
    <w:rsid w:val="6EA2780A"/>
    <w:rsid w:val="6EBF60EB"/>
    <w:rsid w:val="6EC90AAE"/>
    <w:rsid w:val="6F0740FE"/>
    <w:rsid w:val="6F4A6557"/>
    <w:rsid w:val="6F7E16DB"/>
    <w:rsid w:val="6FFA6B39"/>
    <w:rsid w:val="70220B74"/>
    <w:rsid w:val="715B2148"/>
    <w:rsid w:val="71601A8A"/>
    <w:rsid w:val="71BC47A3"/>
    <w:rsid w:val="71C971FF"/>
    <w:rsid w:val="71DA7DB2"/>
    <w:rsid w:val="72D61A66"/>
    <w:rsid w:val="72DF6DA9"/>
    <w:rsid w:val="730C4270"/>
    <w:rsid w:val="73483DC7"/>
    <w:rsid w:val="734C34CB"/>
    <w:rsid w:val="736B6999"/>
    <w:rsid w:val="739672B8"/>
    <w:rsid w:val="73A33031"/>
    <w:rsid w:val="740030D4"/>
    <w:rsid w:val="745410BE"/>
    <w:rsid w:val="7496135E"/>
    <w:rsid w:val="74F9668C"/>
    <w:rsid w:val="75610162"/>
    <w:rsid w:val="75612539"/>
    <w:rsid w:val="75A726F1"/>
    <w:rsid w:val="75DE2055"/>
    <w:rsid w:val="75F251AB"/>
    <w:rsid w:val="760E2F2C"/>
    <w:rsid w:val="762952B6"/>
    <w:rsid w:val="764A31F9"/>
    <w:rsid w:val="7650244C"/>
    <w:rsid w:val="76EA4522"/>
    <w:rsid w:val="76ED397C"/>
    <w:rsid w:val="771A0F7D"/>
    <w:rsid w:val="772918F7"/>
    <w:rsid w:val="7730072D"/>
    <w:rsid w:val="77457EB8"/>
    <w:rsid w:val="774D4B46"/>
    <w:rsid w:val="7767095B"/>
    <w:rsid w:val="776A4E3F"/>
    <w:rsid w:val="77CD57C9"/>
    <w:rsid w:val="781452AB"/>
    <w:rsid w:val="787D2D73"/>
    <w:rsid w:val="78A3450E"/>
    <w:rsid w:val="79364554"/>
    <w:rsid w:val="7955162F"/>
    <w:rsid w:val="79B63149"/>
    <w:rsid w:val="79C82C2F"/>
    <w:rsid w:val="79D75F84"/>
    <w:rsid w:val="7A1A5AFA"/>
    <w:rsid w:val="7A2477F3"/>
    <w:rsid w:val="7A4A60E6"/>
    <w:rsid w:val="7AED595A"/>
    <w:rsid w:val="7B033263"/>
    <w:rsid w:val="7B202CDE"/>
    <w:rsid w:val="7B8621F7"/>
    <w:rsid w:val="7BB545F1"/>
    <w:rsid w:val="7BF0357D"/>
    <w:rsid w:val="7C003FC2"/>
    <w:rsid w:val="7C5C40FD"/>
    <w:rsid w:val="7C75347C"/>
    <w:rsid w:val="7C821F38"/>
    <w:rsid w:val="7C893C34"/>
    <w:rsid w:val="7CA70CD4"/>
    <w:rsid w:val="7CD0360A"/>
    <w:rsid w:val="7CE9095E"/>
    <w:rsid w:val="7CF26EAA"/>
    <w:rsid w:val="7D1459CF"/>
    <w:rsid w:val="7D156D26"/>
    <w:rsid w:val="7D20677E"/>
    <w:rsid w:val="7D281FC6"/>
    <w:rsid w:val="7D3C7D45"/>
    <w:rsid w:val="7D8B2E5D"/>
    <w:rsid w:val="7DB1628A"/>
    <w:rsid w:val="7DDB0225"/>
    <w:rsid w:val="7E195D4C"/>
    <w:rsid w:val="7E232EF9"/>
    <w:rsid w:val="7E4B5223"/>
    <w:rsid w:val="7E515BFA"/>
    <w:rsid w:val="7E612A26"/>
    <w:rsid w:val="7E9B49FB"/>
    <w:rsid w:val="7EE51C5F"/>
    <w:rsid w:val="7F090374"/>
    <w:rsid w:val="7FA93732"/>
    <w:rsid w:val="7FE2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ocked="1"/>
    <w:lsdException w:qFormat="1" w:unhideWhenUsed="0" w:uiPriority="99" w:semiHidden="0" w:name="toc 5" w:locked="1"/>
    <w:lsdException w:qFormat="1" w:unhideWhenUsed="0" w:uiPriority="99" w:semiHidden="0" w:name="toc 6" w:locked="1"/>
    <w:lsdException w:qFormat="1" w:unhideWhenUsed="0" w:uiPriority="99" w:semiHidden="0" w:name="toc 7" w:locked="1"/>
    <w:lsdException w:qFormat="1" w:unhideWhenUsed="0" w:uiPriority="99" w:semiHidden="0" w:name="toc 8" w:locked="1"/>
    <w:lsdException w:qFormat="1" w:unhideWhenUsed="0" w:uiPriority="99" w:semiHidden="0" w:name="toc 9" w:locked="1"/>
    <w:lsdException w:qFormat="1" w:unhideWhenUsed="0" w:uiPriority="0" w:semiHidden="0" w:name="Normal Indent" w:locked="1"/>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iPriority="99" w:semiHidden="0" w:name="Body Text First Indent" w:locked="1"/>
    <w:lsdException w:qFormat="1" w:uiPriority="99" w:semiHidden="0" w:name="Body Text First Indent 2" w:locked="1"/>
    <w:lsdException w:uiPriority="99" w:name="Note Heading" w:locked="1"/>
    <w:lsdException w:qFormat="1" w:uiPriority="99" w:semiHidden="0" w:name="Body Text 2" w:locked="1"/>
    <w:lsdException w:uiPriority="99" w:name="Body Text 3" w:locked="1"/>
    <w:lsdException w:qFormat="1" w:unhideWhenUsed="0" w:uiPriority="0" w:semiHidden="0" w:name="Body Text Indent 2" w:locked="1"/>
    <w:lsdException w:uiPriority="99" w:name="Body Text Indent 3" w:locked="1"/>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
    <w:qFormat/>
    <w:uiPriority w:val="99"/>
    <w:pPr>
      <w:keepNext/>
      <w:keepLines/>
      <w:spacing w:before="340" w:after="330" w:line="578" w:lineRule="auto"/>
      <w:jc w:val="center"/>
      <w:outlineLvl w:val="0"/>
    </w:pPr>
    <w:rPr>
      <w:rFonts w:ascii="Calibri" w:hAnsi="Calibri" w:eastAsia="微软雅黑"/>
      <w:b/>
      <w:bCs/>
      <w:kern w:val="44"/>
      <w:sz w:val="44"/>
      <w:szCs w:val="44"/>
    </w:rPr>
  </w:style>
  <w:style w:type="paragraph" w:styleId="5">
    <w:name w:val="heading 2"/>
    <w:basedOn w:val="1"/>
    <w:next w:val="1"/>
    <w:link w:val="50"/>
    <w:qFormat/>
    <w:uiPriority w:val="99"/>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51"/>
    <w:qFormat/>
    <w:uiPriority w:val="99"/>
    <w:pPr>
      <w:jc w:val="left"/>
      <w:outlineLvl w:val="2"/>
    </w:pPr>
    <w:rPr>
      <w:rFonts w:ascii="宋体" w:hAnsi="宋体"/>
      <w:b/>
      <w:kern w:val="0"/>
      <w:sz w:val="27"/>
      <w:szCs w:val="27"/>
    </w:rPr>
  </w:style>
  <w:style w:type="paragraph" w:styleId="7">
    <w:name w:val="heading 4"/>
    <w:basedOn w:val="1"/>
    <w:next w:val="1"/>
    <w:qFormat/>
    <w:locked/>
    <w:uiPriority w:val="0"/>
    <w:pPr>
      <w:keepNext/>
      <w:keepLines/>
      <w:spacing w:before="20" w:after="20" w:line="360" w:lineRule="auto"/>
      <w:outlineLvl w:val="3"/>
    </w:pPr>
    <w:rPr>
      <w:rFonts w:ascii="Cambria" w:hAnsi="Cambria"/>
      <w:b/>
      <w:bCs/>
      <w:sz w:val="24"/>
      <w:szCs w:val="28"/>
    </w:rPr>
  </w:style>
  <w:style w:type="paragraph" w:styleId="8">
    <w:name w:val="heading 5"/>
    <w:basedOn w:val="1"/>
    <w:next w:val="1"/>
    <w:link w:val="52"/>
    <w:qFormat/>
    <w:locked/>
    <w:uiPriority w:val="0"/>
    <w:pPr>
      <w:keepNext/>
      <w:keepLines/>
      <w:spacing w:before="280" w:after="290" w:line="372" w:lineRule="auto"/>
      <w:outlineLvl w:val="4"/>
    </w:pPr>
    <w:rPr>
      <w:rFonts w:ascii="Calibri" w:hAnsi="Calibri" w:eastAsia="仿宋_GB2312"/>
      <w:b/>
      <w:sz w:val="28"/>
    </w:rPr>
  </w:style>
  <w:style w:type="paragraph" w:styleId="9">
    <w:name w:val="heading 6"/>
    <w:basedOn w:val="1"/>
    <w:next w:val="1"/>
    <w:link w:val="53"/>
    <w:qFormat/>
    <w:locked/>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link w:val="54"/>
    <w:qFormat/>
    <w:locked/>
    <w:uiPriority w:val="0"/>
    <w:pPr>
      <w:keepNext/>
      <w:keepLines/>
      <w:spacing w:before="240" w:after="64" w:line="317" w:lineRule="auto"/>
      <w:outlineLvl w:val="6"/>
    </w:pPr>
    <w:rPr>
      <w:rFonts w:ascii="Calibri" w:hAnsi="Calibri" w:eastAsia="仿宋_GB2312"/>
      <w:b/>
      <w:sz w:val="24"/>
    </w:rPr>
  </w:style>
  <w:style w:type="paragraph" w:styleId="11">
    <w:name w:val="heading 8"/>
    <w:basedOn w:val="1"/>
    <w:next w:val="1"/>
    <w:link w:val="55"/>
    <w:qFormat/>
    <w:locked/>
    <w:uiPriority w:val="0"/>
    <w:pPr>
      <w:keepNext/>
      <w:keepLines/>
      <w:spacing w:before="240" w:after="64" w:line="317" w:lineRule="auto"/>
      <w:outlineLvl w:val="7"/>
    </w:pPr>
    <w:rPr>
      <w:rFonts w:ascii="Arial" w:hAnsi="Arial" w:eastAsia="黑体"/>
      <w:sz w:val="24"/>
    </w:rPr>
  </w:style>
  <w:style w:type="paragraph" w:styleId="12">
    <w:name w:val="heading 9"/>
    <w:basedOn w:val="1"/>
    <w:next w:val="1"/>
    <w:link w:val="56"/>
    <w:qFormat/>
    <w:locked/>
    <w:uiPriority w:val="0"/>
    <w:pPr>
      <w:keepNext/>
      <w:keepLines/>
      <w:spacing w:before="240" w:after="64" w:line="317" w:lineRule="auto"/>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unhideWhenUsed/>
    <w:qFormat/>
    <w:locked/>
    <w:uiPriority w:val="99"/>
    <w:pPr>
      <w:ind w:firstLine="420" w:firstLineChars="200"/>
    </w:pPr>
  </w:style>
  <w:style w:type="paragraph" w:customStyle="1" w:styleId="3">
    <w:name w:val="*正文"/>
    <w:basedOn w:val="1"/>
    <w:qFormat/>
    <w:uiPriority w:val="0"/>
    <w:pPr>
      <w:spacing w:line="360" w:lineRule="auto"/>
      <w:ind w:firstLine="482"/>
    </w:pPr>
    <w:rPr>
      <w:rFonts w:cs="仿宋_GB2312"/>
      <w:sz w:val="28"/>
    </w:rPr>
  </w:style>
  <w:style w:type="paragraph" w:styleId="13">
    <w:name w:val="toc 7"/>
    <w:basedOn w:val="1"/>
    <w:next w:val="1"/>
    <w:qFormat/>
    <w:locked/>
    <w:uiPriority w:val="99"/>
    <w:pPr>
      <w:ind w:left="2520" w:leftChars="1200"/>
    </w:pPr>
    <w:rPr>
      <w:sz w:val="24"/>
    </w:rPr>
  </w:style>
  <w:style w:type="paragraph" w:styleId="14">
    <w:name w:val="Normal Indent"/>
    <w:basedOn w:val="1"/>
    <w:qFormat/>
    <w:locked/>
    <w:uiPriority w:val="0"/>
    <w:pPr>
      <w:ind w:firstLine="420" w:firstLineChars="200"/>
    </w:pPr>
  </w:style>
  <w:style w:type="paragraph" w:styleId="15">
    <w:name w:val="annotation text"/>
    <w:basedOn w:val="1"/>
    <w:link w:val="57"/>
    <w:qFormat/>
    <w:locked/>
    <w:uiPriority w:val="99"/>
    <w:pPr>
      <w:jc w:val="left"/>
    </w:pPr>
    <w:rPr>
      <w:rFonts w:ascii="Calibri" w:hAnsi="Calibri"/>
      <w:kern w:val="0"/>
      <w:sz w:val="20"/>
    </w:rPr>
  </w:style>
  <w:style w:type="paragraph" w:styleId="16">
    <w:name w:val="Body Text"/>
    <w:basedOn w:val="1"/>
    <w:next w:val="1"/>
    <w:link w:val="58"/>
    <w:semiHidden/>
    <w:qFormat/>
    <w:locked/>
    <w:uiPriority w:val="99"/>
    <w:pPr>
      <w:spacing w:after="120"/>
    </w:pPr>
    <w:rPr>
      <w:rFonts w:ascii="Calibri" w:hAnsi="Calibri"/>
      <w:sz w:val="24"/>
    </w:rPr>
  </w:style>
  <w:style w:type="paragraph" w:styleId="17">
    <w:name w:val="Body Text Indent"/>
    <w:basedOn w:val="1"/>
    <w:next w:val="1"/>
    <w:unhideWhenUsed/>
    <w:qFormat/>
    <w:locked/>
    <w:uiPriority w:val="99"/>
    <w:pPr>
      <w:spacing w:after="120"/>
      <w:ind w:left="420" w:leftChars="200"/>
    </w:pPr>
  </w:style>
  <w:style w:type="paragraph" w:styleId="18">
    <w:name w:val="Block Text"/>
    <w:basedOn w:val="1"/>
    <w:qFormat/>
    <w:locked/>
    <w:uiPriority w:val="99"/>
    <w:pPr>
      <w:widowControl/>
      <w:adjustRightInd w:val="0"/>
      <w:snapToGrid w:val="0"/>
      <w:spacing w:after="120"/>
      <w:ind w:left="1440" w:leftChars="700" w:right="1440" w:rightChars="700"/>
      <w:jc w:val="left"/>
    </w:pPr>
    <w:rPr>
      <w:rFonts w:ascii="Tahoma" w:hAnsi="Tahoma" w:eastAsia="微软雅黑"/>
      <w:kern w:val="0"/>
      <w:sz w:val="22"/>
      <w:szCs w:val="22"/>
    </w:rPr>
  </w:style>
  <w:style w:type="paragraph" w:styleId="19">
    <w:name w:val="toc 5"/>
    <w:basedOn w:val="1"/>
    <w:next w:val="1"/>
    <w:qFormat/>
    <w:locked/>
    <w:uiPriority w:val="99"/>
    <w:pPr>
      <w:ind w:left="1680" w:leftChars="800"/>
    </w:pPr>
    <w:rPr>
      <w:sz w:val="24"/>
    </w:rPr>
  </w:style>
  <w:style w:type="paragraph" w:styleId="20">
    <w:name w:val="toc 3"/>
    <w:basedOn w:val="1"/>
    <w:next w:val="1"/>
    <w:qFormat/>
    <w:uiPriority w:val="99"/>
    <w:pPr>
      <w:ind w:left="840" w:leftChars="400"/>
    </w:pPr>
  </w:style>
  <w:style w:type="paragraph" w:styleId="21">
    <w:name w:val="Plain Text"/>
    <w:basedOn w:val="1"/>
    <w:link w:val="59"/>
    <w:qFormat/>
    <w:locked/>
    <w:uiPriority w:val="0"/>
    <w:rPr>
      <w:rFonts w:ascii="宋体" w:hAnsi="宋体"/>
      <w:color w:val="000000"/>
      <w:kern w:val="1"/>
      <w:szCs w:val="20"/>
    </w:rPr>
  </w:style>
  <w:style w:type="paragraph" w:styleId="22">
    <w:name w:val="toc 8"/>
    <w:basedOn w:val="1"/>
    <w:next w:val="1"/>
    <w:qFormat/>
    <w:locked/>
    <w:uiPriority w:val="99"/>
    <w:pPr>
      <w:ind w:left="2940" w:leftChars="1400"/>
    </w:pPr>
    <w:rPr>
      <w:sz w:val="24"/>
    </w:rPr>
  </w:style>
  <w:style w:type="paragraph" w:styleId="23">
    <w:name w:val="Body Text Indent 2"/>
    <w:basedOn w:val="1"/>
    <w:qFormat/>
    <w:locked/>
    <w:uiPriority w:val="0"/>
    <w:pPr>
      <w:spacing w:after="120" w:line="480" w:lineRule="auto"/>
      <w:ind w:left="420" w:leftChars="200"/>
    </w:pPr>
  </w:style>
  <w:style w:type="paragraph" w:styleId="24">
    <w:name w:val="Balloon Text"/>
    <w:basedOn w:val="1"/>
    <w:link w:val="60"/>
    <w:qFormat/>
    <w:uiPriority w:val="99"/>
    <w:rPr>
      <w:rFonts w:ascii="Calibri" w:hAnsi="Calibri"/>
      <w:sz w:val="18"/>
      <w:szCs w:val="18"/>
    </w:rPr>
  </w:style>
  <w:style w:type="paragraph" w:styleId="25">
    <w:name w:val="footer"/>
    <w:basedOn w:val="1"/>
    <w:link w:val="61"/>
    <w:qFormat/>
    <w:uiPriority w:val="0"/>
    <w:pPr>
      <w:tabs>
        <w:tab w:val="center" w:pos="4153"/>
        <w:tab w:val="right" w:pos="8306"/>
      </w:tabs>
      <w:snapToGrid w:val="0"/>
      <w:jc w:val="left"/>
    </w:pPr>
    <w:rPr>
      <w:rFonts w:ascii="Calibri" w:hAnsi="Calibri"/>
      <w:sz w:val="24"/>
    </w:rPr>
  </w:style>
  <w:style w:type="paragraph" w:styleId="26">
    <w:name w:val="header"/>
    <w:basedOn w:val="1"/>
    <w:link w:val="6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szCs w:val="18"/>
    </w:rPr>
  </w:style>
  <w:style w:type="paragraph" w:styleId="27">
    <w:name w:val="toc 1"/>
    <w:basedOn w:val="1"/>
    <w:next w:val="1"/>
    <w:qFormat/>
    <w:uiPriority w:val="99"/>
  </w:style>
  <w:style w:type="paragraph" w:styleId="28">
    <w:name w:val="toc 4"/>
    <w:basedOn w:val="1"/>
    <w:next w:val="1"/>
    <w:qFormat/>
    <w:locked/>
    <w:uiPriority w:val="99"/>
    <w:pPr>
      <w:ind w:left="1260" w:leftChars="600"/>
    </w:pPr>
    <w:rPr>
      <w:sz w:val="24"/>
    </w:rPr>
  </w:style>
  <w:style w:type="paragraph" w:styleId="29">
    <w:name w:val="toc 6"/>
    <w:basedOn w:val="1"/>
    <w:next w:val="1"/>
    <w:qFormat/>
    <w:locked/>
    <w:uiPriority w:val="99"/>
    <w:pPr>
      <w:ind w:left="2100" w:leftChars="1000"/>
    </w:pPr>
    <w:rPr>
      <w:sz w:val="24"/>
    </w:rPr>
  </w:style>
  <w:style w:type="paragraph" w:styleId="30">
    <w:name w:val="toc 2"/>
    <w:basedOn w:val="1"/>
    <w:next w:val="1"/>
    <w:qFormat/>
    <w:uiPriority w:val="99"/>
    <w:pPr>
      <w:widowControl/>
      <w:tabs>
        <w:tab w:val="right" w:leader="dot" w:pos="8296"/>
      </w:tabs>
      <w:spacing w:after="100" w:line="360" w:lineRule="auto"/>
      <w:ind w:left="221"/>
      <w:jc w:val="left"/>
    </w:pPr>
    <w:rPr>
      <w:kern w:val="0"/>
      <w:sz w:val="22"/>
      <w:szCs w:val="22"/>
    </w:rPr>
  </w:style>
  <w:style w:type="paragraph" w:styleId="31">
    <w:name w:val="toc 9"/>
    <w:basedOn w:val="1"/>
    <w:next w:val="1"/>
    <w:qFormat/>
    <w:locked/>
    <w:uiPriority w:val="99"/>
    <w:pPr>
      <w:ind w:left="3360" w:leftChars="1600"/>
    </w:pPr>
    <w:rPr>
      <w:sz w:val="24"/>
    </w:rPr>
  </w:style>
  <w:style w:type="paragraph" w:styleId="32">
    <w:name w:val="Body Text 2"/>
    <w:basedOn w:val="1"/>
    <w:link w:val="63"/>
    <w:unhideWhenUsed/>
    <w:qFormat/>
    <w:locked/>
    <w:uiPriority w:val="99"/>
    <w:pPr>
      <w:spacing w:after="120" w:line="480" w:lineRule="auto"/>
    </w:pPr>
    <w:rPr>
      <w:szCs w:val="22"/>
    </w:rPr>
  </w:style>
  <w:style w:type="paragraph" w:styleId="33">
    <w:name w:val="Normal (Web)"/>
    <w:basedOn w:val="1"/>
    <w:link w:val="64"/>
    <w:qFormat/>
    <w:uiPriority w:val="0"/>
    <w:pPr>
      <w:jc w:val="left"/>
    </w:pPr>
    <w:rPr>
      <w:rFonts w:ascii="Calibri" w:hAnsi="Calibri"/>
      <w:kern w:val="0"/>
      <w:sz w:val="24"/>
    </w:rPr>
  </w:style>
  <w:style w:type="paragraph" w:styleId="34">
    <w:name w:val="annotation subject"/>
    <w:basedOn w:val="15"/>
    <w:next w:val="15"/>
    <w:link w:val="65"/>
    <w:semiHidden/>
    <w:qFormat/>
    <w:locked/>
    <w:uiPriority w:val="99"/>
    <w:rPr>
      <w:b/>
      <w:bCs/>
    </w:rPr>
  </w:style>
  <w:style w:type="paragraph" w:styleId="35">
    <w:name w:val="Body Text First Indent"/>
    <w:basedOn w:val="16"/>
    <w:next w:val="2"/>
    <w:unhideWhenUsed/>
    <w:qFormat/>
    <w:locked/>
    <w:uiPriority w:val="99"/>
    <w:pPr>
      <w:tabs>
        <w:tab w:val="left" w:pos="1277"/>
      </w:tabs>
      <w:ind w:firstLine="420" w:firstLineChars="100"/>
    </w:pPr>
  </w:style>
  <w:style w:type="table" w:styleId="37">
    <w:name w:val="Table Grid"/>
    <w:basedOn w:val="3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rFonts w:cs="Times New Roman"/>
      <w:b/>
    </w:rPr>
  </w:style>
  <w:style w:type="character" w:styleId="40">
    <w:name w:val="page number"/>
    <w:qFormat/>
    <w:locked/>
    <w:uiPriority w:val="99"/>
    <w:rPr>
      <w:rFonts w:cs="Times New Roman"/>
    </w:rPr>
  </w:style>
  <w:style w:type="character" w:styleId="41">
    <w:name w:val="FollowedHyperlink"/>
    <w:qFormat/>
    <w:uiPriority w:val="99"/>
    <w:rPr>
      <w:rFonts w:cs="Times New Roman"/>
      <w:color w:val="551A8B"/>
      <w:u w:val="none"/>
    </w:rPr>
  </w:style>
  <w:style w:type="character" w:styleId="42">
    <w:name w:val="HTML Definition"/>
    <w:qFormat/>
    <w:uiPriority w:val="99"/>
    <w:rPr>
      <w:rFonts w:cs="Times New Roman"/>
      <w:i/>
    </w:rPr>
  </w:style>
  <w:style w:type="character" w:styleId="43">
    <w:name w:val="Hyperlink"/>
    <w:qFormat/>
    <w:uiPriority w:val="99"/>
    <w:rPr>
      <w:rFonts w:cs="Times New Roman"/>
      <w:color w:val="0000EE"/>
      <w:u w:val="none"/>
    </w:rPr>
  </w:style>
  <w:style w:type="character" w:styleId="44">
    <w:name w:val="HTML Code"/>
    <w:qFormat/>
    <w:uiPriority w:val="99"/>
    <w:rPr>
      <w:rFonts w:ascii="monospace" w:hAnsi="monospace" w:cs="monospace"/>
      <w:sz w:val="21"/>
      <w:szCs w:val="21"/>
    </w:rPr>
  </w:style>
  <w:style w:type="character" w:styleId="45">
    <w:name w:val="annotation reference"/>
    <w:qFormat/>
    <w:locked/>
    <w:uiPriority w:val="99"/>
    <w:rPr>
      <w:rFonts w:cs="Times New Roman"/>
      <w:sz w:val="21"/>
      <w:szCs w:val="21"/>
    </w:rPr>
  </w:style>
  <w:style w:type="character" w:styleId="46">
    <w:name w:val="HTML Keyboard"/>
    <w:qFormat/>
    <w:uiPriority w:val="99"/>
    <w:rPr>
      <w:rFonts w:ascii="monospace" w:hAnsi="monospace" w:cs="monospace"/>
      <w:sz w:val="21"/>
      <w:szCs w:val="21"/>
    </w:rPr>
  </w:style>
  <w:style w:type="character" w:styleId="47">
    <w:name w:val="HTML Sample"/>
    <w:qFormat/>
    <w:uiPriority w:val="99"/>
    <w:rPr>
      <w:rFonts w:ascii="monospace" w:hAnsi="monospace" w:cs="monospace"/>
      <w:sz w:val="21"/>
      <w:szCs w:val="21"/>
    </w:rPr>
  </w:style>
  <w:style w:type="paragraph" w:customStyle="1" w:styleId="4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49">
    <w:name w:val="标题 1 字符"/>
    <w:link w:val="4"/>
    <w:qFormat/>
    <w:locked/>
    <w:uiPriority w:val="99"/>
    <w:rPr>
      <w:rFonts w:ascii="Calibri" w:hAnsi="Calibri" w:eastAsia="微软雅黑" w:cs="Times New Roman"/>
      <w:b/>
      <w:bCs/>
      <w:kern w:val="44"/>
      <w:sz w:val="44"/>
      <w:szCs w:val="44"/>
    </w:rPr>
  </w:style>
  <w:style w:type="character" w:customStyle="1" w:styleId="50">
    <w:name w:val="标题 2 字符"/>
    <w:link w:val="5"/>
    <w:qFormat/>
    <w:locked/>
    <w:uiPriority w:val="99"/>
    <w:rPr>
      <w:rFonts w:ascii="Calibri Light" w:hAnsi="Calibri Light" w:eastAsia="宋体" w:cs="Times New Roman"/>
      <w:b/>
      <w:bCs/>
      <w:kern w:val="2"/>
      <w:sz w:val="32"/>
      <w:szCs w:val="32"/>
    </w:rPr>
  </w:style>
  <w:style w:type="character" w:customStyle="1" w:styleId="51">
    <w:name w:val="标题 3 字符"/>
    <w:link w:val="6"/>
    <w:qFormat/>
    <w:locked/>
    <w:uiPriority w:val="99"/>
    <w:rPr>
      <w:rFonts w:ascii="宋体" w:hAnsi="宋体" w:eastAsia="宋体" w:cs="Times New Roman"/>
      <w:b/>
      <w:sz w:val="27"/>
      <w:szCs w:val="27"/>
    </w:rPr>
  </w:style>
  <w:style w:type="character" w:customStyle="1" w:styleId="52">
    <w:name w:val="标题 5 字符"/>
    <w:link w:val="8"/>
    <w:semiHidden/>
    <w:qFormat/>
    <w:uiPriority w:val="0"/>
    <w:rPr>
      <w:rFonts w:ascii="Calibri" w:hAnsi="Calibri" w:eastAsia="仿宋_GB2312" w:cs="Times New Roman"/>
      <w:b/>
      <w:kern w:val="2"/>
      <w:sz w:val="28"/>
      <w:szCs w:val="24"/>
    </w:rPr>
  </w:style>
  <w:style w:type="character" w:customStyle="1" w:styleId="53">
    <w:name w:val="标题 6 字符"/>
    <w:link w:val="9"/>
    <w:semiHidden/>
    <w:qFormat/>
    <w:uiPriority w:val="0"/>
    <w:rPr>
      <w:rFonts w:ascii="Arial" w:hAnsi="Arial" w:eastAsia="黑体" w:cs="Times New Roman"/>
      <w:b/>
      <w:kern w:val="2"/>
      <w:sz w:val="24"/>
      <w:szCs w:val="24"/>
    </w:rPr>
  </w:style>
  <w:style w:type="character" w:customStyle="1" w:styleId="54">
    <w:name w:val="标题 7 字符"/>
    <w:link w:val="10"/>
    <w:semiHidden/>
    <w:qFormat/>
    <w:uiPriority w:val="0"/>
    <w:rPr>
      <w:rFonts w:ascii="Calibri" w:hAnsi="Calibri" w:eastAsia="仿宋_GB2312" w:cs="Times New Roman"/>
      <w:b/>
      <w:kern w:val="2"/>
      <w:sz w:val="24"/>
      <w:szCs w:val="24"/>
    </w:rPr>
  </w:style>
  <w:style w:type="character" w:customStyle="1" w:styleId="55">
    <w:name w:val="标题 8 字符"/>
    <w:link w:val="11"/>
    <w:semiHidden/>
    <w:qFormat/>
    <w:uiPriority w:val="0"/>
    <w:rPr>
      <w:rFonts w:ascii="Arial" w:hAnsi="Arial" w:eastAsia="黑体" w:cs="Times New Roman"/>
      <w:kern w:val="2"/>
      <w:sz w:val="24"/>
      <w:szCs w:val="24"/>
    </w:rPr>
  </w:style>
  <w:style w:type="character" w:customStyle="1" w:styleId="56">
    <w:name w:val="标题 9 字符"/>
    <w:link w:val="12"/>
    <w:semiHidden/>
    <w:qFormat/>
    <w:uiPriority w:val="0"/>
    <w:rPr>
      <w:rFonts w:ascii="Arial" w:hAnsi="Arial" w:eastAsia="黑体" w:cs="Times New Roman"/>
      <w:kern w:val="2"/>
      <w:sz w:val="21"/>
      <w:szCs w:val="24"/>
    </w:rPr>
  </w:style>
  <w:style w:type="character" w:customStyle="1" w:styleId="57">
    <w:name w:val="批注文字 字符"/>
    <w:link w:val="15"/>
    <w:qFormat/>
    <w:uiPriority w:val="99"/>
    <w:rPr>
      <w:rFonts w:ascii="Calibri" w:hAnsi="Calibri"/>
      <w:szCs w:val="24"/>
    </w:rPr>
  </w:style>
  <w:style w:type="character" w:customStyle="1" w:styleId="58">
    <w:name w:val="正文文本 字符"/>
    <w:link w:val="16"/>
    <w:semiHidden/>
    <w:qFormat/>
    <w:uiPriority w:val="99"/>
    <w:rPr>
      <w:rFonts w:ascii="Calibri" w:hAnsi="Calibri"/>
      <w:kern w:val="2"/>
      <w:sz w:val="24"/>
      <w:szCs w:val="24"/>
    </w:rPr>
  </w:style>
  <w:style w:type="character" w:customStyle="1" w:styleId="59">
    <w:name w:val="纯文本 字符"/>
    <w:link w:val="21"/>
    <w:qFormat/>
    <w:uiPriority w:val="0"/>
    <w:rPr>
      <w:rFonts w:ascii="宋体" w:hAnsi="宋体" w:cs="Courier New"/>
      <w:color w:val="000000"/>
      <w:kern w:val="1"/>
      <w:sz w:val="21"/>
    </w:rPr>
  </w:style>
  <w:style w:type="character" w:customStyle="1" w:styleId="60">
    <w:name w:val="批注框文本 字符"/>
    <w:link w:val="24"/>
    <w:qFormat/>
    <w:locked/>
    <w:uiPriority w:val="99"/>
    <w:rPr>
      <w:rFonts w:ascii="Calibri" w:hAnsi="Calibri" w:eastAsia="宋体" w:cs="Times New Roman"/>
      <w:kern w:val="2"/>
      <w:sz w:val="18"/>
      <w:szCs w:val="18"/>
    </w:rPr>
  </w:style>
  <w:style w:type="character" w:customStyle="1" w:styleId="61">
    <w:name w:val="页脚 字符"/>
    <w:link w:val="25"/>
    <w:qFormat/>
    <w:locked/>
    <w:uiPriority w:val="0"/>
    <w:rPr>
      <w:rFonts w:ascii="Calibri" w:hAnsi="Calibri" w:eastAsia="宋体" w:cs="Times New Roman"/>
      <w:kern w:val="2"/>
      <w:sz w:val="24"/>
      <w:szCs w:val="24"/>
    </w:rPr>
  </w:style>
  <w:style w:type="character" w:customStyle="1" w:styleId="62">
    <w:name w:val="页眉 字符"/>
    <w:link w:val="26"/>
    <w:qFormat/>
    <w:locked/>
    <w:uiPriority w:val="99"/>
    <w:rPr>
      <w:rFonts w:ascii="Calibri" w:hAnsi="Calibri" w:cs="Times New Roman"/>
      <w:sz w:val="18"/>
      <w:szCs w:val="18"/>
    </w:rPr>
  </w:style>
  <w:style w:type="character" w:customStyle="1" w:styleId="63">
    <w:name w:val="正文文本 2 字符"/>
    <w:link w:val="32"/>
    <w:semiHidden/>
    <w:qFormat/>
    <w:uiPriority w:val="99"/>
    <w:rPr>
      <w:kern w:val="2"/>
      <w:sz w:val="21"/>
      <w:szCs w:val="22"/>
    </w:rPr>
  </w:style>
  <w:style w:type="character" w:customStyle="1" w:styleId="64">
    <w:name w:val="普通(网站) 字符"/>
    <w:link w:val="33"/>
    <w:qFormat/>
    <w:locked/>
    <w:uiPriority w:val="0"/>
    <w:rPr>
      <w:rFonts w:ascii="Calibri" w:hAnsi="Calibri" w:eastAsia="宋体" w:cs="Times New Roman"/>
      <w:sz w:val="24"/>
      <w:szCs w:val="24"/>
    </w:rPr>
  </w:style>
  <w:style w:type="character" w:customStyle="1" w:styleId="65">
    <w:name w:val="批注主题 字符"/>
    <w:link w:val="34"/>
    <w:semiHidden/>
    <w:qFormat/>
    <w:uiPriority w:val="99"/>
    <w:rPr>
      <w:rFonts w:ascii="Calibri" w:hAnsi="Calibri"/>
      <w:b/>
      <w:bCs/>
      <w:szCs w:val="24"/>
    </w:rPr>
  </w:style>
  <w:style w:type="character" w:customStyle="1" w:styleId="66">
    <w:name w:val="editinput"/>
    <w:qFormat/>
    <w:uiPriority w:val="99"/>
    <w:rPr>
      <w:rFonts w:cs="Times New Roman"/>
    </w:rPr>
  </w:style>
  <w:style w:type="character" w:customStyle="1" w:styleId="67">
    <w:name w:val="font01"/>
    <w:qFormat/>
    <w:uiPriority w:val="0"/>
    <w:rPr>
      <w:rFonts w:hint="eastAsia" w:ascii="宋体" w:hAnsi="宋体" w:eastAsia="宋体" w:cs="宋体"/>
      <w:color w:val="000000"/>
      <w:sz w:val="22"/>
      <w:szCs w:val="22"/>
      <w:u w:val="none"/>
    </w:rPr>
  </w:style>
  <w:style w:type="character" w:customStyle="1" w:styleId="68">
    <w:name w:val="apple-converted-space"/>
    <w:qFormat/>
    <w:uiPriority w:val="0"/>
  </w:style>
  <w:style w:type="character" w:customStyle="1" w:styleId="69">
    <w:name w:val="列表段落 字符"/>
    <w:link w:val="70"/>
    <w:qFormat/>
    <w:locked/>
    <w:uiPriority w:val="0"/>
    <w:rPr>
      <w:rFonts w:ascii="Calibri" w:hAnsi="Calibri"/>
      <w:sz w:val="24"/>
      <w:szCs w:val="24"/>
    </w:rPr>
  </w:style>
  <w:style w:type="paragraph" w:styleId="70">
    <w:name w:val="List Paragraph"/>
    <w:basedOn w:val="1"/>
    <w:link w:val="69"/>
    <w:qFormat/>
    <w:uiPriority w:val="0"/>
    <w:pPr>
      <w:ind w:firstLine="420" w:firstLineChars="200"/>
    </w:pPr>
    <w:rPr>
      <w:rFonts w:ascii="Calibri" w:hAnsi="Calibri"/>
      <w:kern w:val="0"/>
      <w:sz w:val="24"/>
    </w:rPr>
  </w:style>
  <w:style w:type="character" w:customStyle="1" w:styleId="71">
    <w:name w:val="样式2 Char"/>
    <w:link w:val="72"/>
    <w:qFormat/>
    <w:locked/>
    <w:uiPriority w:val="99"/>
    <w:rPr>
      <w:rFonts w:ascii="微软雅黑" w:hAnsi="微软雅黑" w:eastAsia="微软雅黑" w:cs="宋体"/>
      <w:color w:val="222222"/>
      <w:sz w:val="31"/>
      <w:szCs w:val="31"/>
    </w:rPr>
  </w:style>
  <w:style w:type="paragraph" w:customStyle="1" w:styleId="72">
    <w:name w:val="样式2"/>
    <w:basedOn w:val="33"/>
    <w:link w:val="71"/>
    <w:qFormat/>
    <w:uiPriority w:val="99"/>
    <w:pPr>
      <w:widowControl/>
      <w:spacing w:before="76" w:after="76" w:line="18" w:lineRule="atLeast"/>
      <w:jc w:val="center"/>
    </w:pPr>
    <w:rPr>
      <w:rFonts w:ascii="微软雅黑" w:hAnsi="微软雅黑" w:eastAsia="微软雅黑"/>
      <w:color w:val="222222"/>
      <w:sz w:val="31"/>
      <w:szCs w:val="31"/>
    </w:rPr>
  </w:style>
  <w:style w:type="character" w:customStyle="1" w:styleId="73">
    <w:name w:val="样式3 Char"/>
    <w:link w:val="74"/>
    <w:qFormat/>
    <w:locked/>
    <w:uiPriority w:val="99"/>
    <w:rPr>
      <w:rFonts w:ascii="微软雅黑" w:hAnsi="微软雅黑" w:eastAsia="微软雅黑" w:cs="宋体"/>
      <w:color w:val="222222"/>
      <w:sz w:val="36"/>
      <w:szCs w:val="36"/>
    </w:rPr>
  </w:style>
  <w:style w:type="paragraph" w:customStyle="1" w:styleId="74">
    <w:name w:val="样式3"/>
    <w:basedOn w:val="72"/>
    <w:link w:val="73"/>
    <w:qFormat/>
    <w:uiPriority w:val="99"/>
    <w:rPr>
      <w:sz w:val="36"/>
      <w:szCs w:val="36"/>
    </w:rPr>
  </w:style>
  <w:style w:type="character" w:customStyle="1" w:styleId="75">
    <w:name w:val="font21"/>
    <w:qFormat/>
    <w:uiPriority w:val="0"/>
    <w:rPr>
      <w:rFonts w:hint="eastAsia" w:ascii="宋体" w:hAnsi="宋体" w:eastAsia="宋体" w:cs="宋体"/>
      <w:color w:val="000000"/>
      <w:sz w:val="22"/>
      <w:szCs w:val="22"/>
      <w:u w:val="none"/>
    </w:rPr>
  </w:style>
  <w:style w:type="character" w:customStyle="1" w:styleId="76">
    <w:name w:val="font121"/>
    <w:qFormat/>
    <w:uiPriority w:val="0"/>
    <w:rPr>
      <w:rFonts w:hint="default" w:ascii="微软雅黑 Light" w:hAnsi="微软雅黑 Light" w:eastAsia="微软雅黑 Light" w:cs="微软雅黑 Light"/>
      <w:b/>
      <w:bCs/>
      <w:color w:val="000000"/>
      <w:sz w:val="24"/>
      <w:szCs w:val="24"/>
      <w:u w:val="none"/>
    </w:rPr>
  </w:style>
  <w:style w:type="character" w:customStyle="1" w:styleId="77">
    <w:name w:val="纯文本 Char"/>
    <w:semiHidden/>
    <w:qFormat/>
    <w:uiPriority w:val="99"/>
    <w:rPr>
      <w:rFonts w:ascii="宋体" w:hAnsi="Courier New" w:cs="Courier New"/>
      <w:kern w:val="2"/>
      <w:sz w:val="21"/>
      <w:szCs w:val="21"/>
    </w:rPr>
  </w:style>
  <w:style w:type="character" w:customStyle="1" w:styleId="78">
    <w:name w:val="样式1 Char"/>
    <w:link w:val="79"/>
    <w:qFormat/>
    <w:locked/>
    <w:uiPriority w:val="99"/>
    <w:rPr>
      <w:rFonts w:ascii="微软雅黑" w:hAnsi="微软雅黑" w:eastAsia="微软雅黑" w:cs="宋体"/>
      <w:color w:val="222222"/>
      <w:sz w:val="43"/>
      <w:szCs w:val="43"/>
    </w:rPr>
  </w:style>
  <w:style w:type="paragraph" w:customStyle="1" w:styleId="79">
    <w:name w:val="样式1"/>
    <w:basedOn w:val="33"/>
    <w:link w:val="78"/>
    <w:qFormat/>
    <w:uiPriority w:val="99"/>
    <w:pPr>
      <w:widowControl/>
      <w:spacing w:before="76" w:after="76" w:line="18" w:lineRule="atLeast"/>
      <w:jc w:val="center"/>
    </w:pPr>
    <w:rPr>
      <w:rFonts w:ascii="微软雅黑" w:hAnsi="微软雅黑" w:eastAsia="微软雅黑"/>
      <w:color w:val="222222"/>
      <w:sz w:val="43"/>
      <w:szCs w:val="43"/>
    </w:rPr>
  </w:style>
  <w:style w:type="paragraph" w:customStyle="1" w:styleId="80">
    <w:name w:val="xl64"/>
    <w:basedOn w:val="1"/>
    <w:qFormat/>
    <w:uiPriority w:val="99"/>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81">
    <w:name w:val="xl65"/>
    <w:basedOn w:val="1"/>
    <w:qFormat/>
    <w:uiPriority w:val="99"/>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82">
    <w:name w:val="列出段落1"/>
    <w:basedOn w:val="1"/>
    <w:qFormat/>
    <w:uiPriority w:val="99"/>
    <w:pPr>
      <w:ind w:firstLine="420" w:firstLineChars="200"/>
    </w:pPr>
    <w:rPr>
      <w:szCs w:val="20"/>
    </w:rPr>
  </w:style>
  <w:style w:type="paragraph" w:customStyle="1" w:styleId="83">
    <w:name w:val="首行缩进"/>
    <w:basedOn w:val="1"/>
    <w:qFormat/>
    <w:uiPriority w:val="0"/>
    <w:pPr>
      <w:spacing w:line="360" w:lineRule="auto"/>
      <w:ind w:left="210" w:leftChars="100" w:firstLine="420" w:firstLineChars="200"/>
    </w:pPr>
    <w:rPr>
      <w:rFonts w:ascii="宋体" w:hAnsi="宋体"/>
    </w:rPr>
  </w:style>
  <w:style w:type="paragraph" w:customStyle="1" w:styleId="84">
    <w:name w:val="xl68"/>
    <w:basedOn w:val="1"/>
    <w:qFormat/>
    <w:uiPriority w:val="99"/>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85">
    <w:name w:val="_Style 19"/>
    <w:basedOn w:val="1"/>
    <w:next w:val="1"/>
    <w:qFormat/>
    <w:uiPriority w:val="99"/>
    <w:pPr>
      <w:pBdr>
        <w:bottom w:val="single" w:color="auto" w:sz="6" w:space="1"/>
      </w:pBdr>
      <w:jc w:val="center"/>
    </w:pPr>
    <w:rPr>
      <w:rFonts w:ascii="Arial"/>
      <w:vanish/>
      <w:sz w:val="16"/>
    </w:rPr>
  </w:style>
  <w:style w:type="paragraph" w:customStyle="1" w:styleId="86">
    <w:name w:val="inx_text23"/>
    <w:basedOn w:val="1"/>
    <w:qFormat/>
    <w:uiPriority w:val="99"/>
    <w:pPr>
      <w:spacing w:before="135" w:line="345" w:lineRule="atLeast"/>
      <w:jc w:val="center"/>
    </w:pPr>
    <w:rPr>
      <w:color w:val="FFFFFF"/>
      <w:kern w:val="0"/>
      <w:sz w:val="24"/>
    </w:rPr>
  </w:style>
  <w:style w:type="paragraph" w:customStyle="1" w:styleId="87">
    <w:name w:val="inx_text11"/>
    <w:basedOn w:val="1"/>
    <w:qFormat/>
    <w:uiPriority w:val="99"/>
    <w:pPr>
      <w:spacing w:before="45" w:line="375" w:lineRule="atLeast"/>
      <w:jc w:val="right"/>
    </w:pPr>
    <w:rPr>
      <w:color w:val="666666"/>
      <w:kern w:val="0"/>
      <w:szCs w:val="21"/>
    </w:rPr>
  </w:style>
  <w:style w:type="paragraph" w:customStyle="1" w:styleId="8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9">
    <w:name w:val="_Style 20"/>
    <w:basedOn w:val="1"/>
    <w:next w:val="1"/>
    <w:qFormat/>
    <w:uiPriority w:val="99"/>
    <w:pPr>
      <w:pBdr>
        <w:top w:val="single" w:color="auto" w:sz="6" w:space="1"/>
      </w:pBdr>
      <w:jc w:val="center"/>
    </w:pPr>
    <w:rPr>
      <w:rFonts w:ascii="Arial"/>
      <w:vanish/>
      <w:sz w:val="16"/>
    </w:rPr>
  </w:style>
  <w:style w:type="paragraph" w:customStyle="1" w:styleId="90">
    <w:name w:val="pag_text2"/>
    <w:basedOn w:val="1"/>
    <w:qFormat/>
    <w:uiPriority w:val="99"/>
    <w:pPr>
      <w:spacing w:line="570" w:lineRule="atLeast"/>
      <w:ind w:left="150"/>
      <w:jc w:val="left"/>
    </w:pPr>
    <w:rPr>
      <w:color w:val="444444"/>
      <w:kern w:val="0"/>
      <w:sz w:val="22"/>
      <w:szCs w:val="22"/>
    </w:rPr>
  </w:style>
  <w:style w:type="paragraph" w:customStyle="1" w:styleId="91">
    <w:name w:val="TOC Heading1"/>
    <w:basedOn w:val="4"/>
    <w:next w:val="1"/>
    <w:qFormat/>
    <w:uiPriority w:val="99"/>
    <w:pPr>
      <w:widowControl/>
      <w:spacing w:before="480" w:after="0" w:line="276" w:lineRule="auto"/>
      <w:jc w:val="left"/>
      <w:outlineLvl w:val="9"/>
    </w:pPr>
    <w:rPr>
      <w:rFonts w:ascii="Calibri Light" w:hAnsi="Calibri Light" w:eastAsia="宋体"/>
      <w:color w:val="2E74B5"/>
      <w:kern w:val="0"/>
      <w:sz w:val="28"/>
      <w:szCs w:val="28"/>
    </w:rPr>
  </w:style>
  <w:style w:type="paragraph" w:customStyle="1" w:styleId="92">
    <w:name w:val="xl63"/>
    <w:basedOn w:val="1"/>
    <w:qFormat/>
    <w:uiPriority w:val="99"/>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93">
    <w:name w:val="inx_text24"/>
    <w:basedOn w:val="1"/>
    <w:qFormat/>
    <w:uiPriority w:val="99"/>
    <w:pPr>
      <w:spacing w:line="300" w:lineRule="atLeast"/>
      <w:jc w:val="center"/>
    </w:pPr>
    <w:rPr>
      <w:color w:val="444444"/>
      <w:kern w:val="0"/>
      <w:sz w:val="19"/>
      <w:szCs w:val="19"/>
    </w:rPr>
  </w:style>
  <w:style w:type="paragraph" w:customStyle="1" w:styleId="94">
    <w:name w:val="规划正文"/>
    <w:basedOn w:val="1"/>
    <w:qFormat/>
    <w:uiPriority w:val="99"/>
    <w:pPr>
      <w:spacing w:beforeLines="100" w:line="360" w:lineRule="auto"/>
      <w:ind w:firstLine="200" w:firstLineChars="200"/>
      <w:jc w:val="left"/>
    </w:pPr>
    <w:rPr>
      <w:rFonts w:ascii="Arial" w:hAnsi="Arial" w:eastAsia="仿宋_GB2312"/>
      <w:bCs/>
      <w:sz w:val="28"/>
    </w:rPr>
  </w:style>
  <w:style w:type="paragraph" w:customStyle="1" w:styleId="95">
    <w:name w:val="xl66"/>
    <w:basedOn w:val="1"/>
    <w:qFormat/>
    <w:uiPriority w:val="99"/>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96">
    <w:name w:val="Fließtext"/>
    <w:basedOn w:val="1"/>
    <w:qFormat/>
    <w:uiPriority w:val="99"/>
    <w:pPr>
      <w:overflowPunct w:val="0"/>
      <w:autoSpaceDE w:val="0"/>
      <w:autoSpaceDN w:val="0"/>
      <w:adjustRightInd w:val="0"/>
      <w:textAlignment w:val="baseline"/>
    </w:pPr>
    <w:rPr>
      <w:kern w:val="28"/>
      <w:szCs w:val="20"/>
    </w:rPr>
  </w:style>
  <w:style w:type="paragraph" w:customStyle="1" w:styleId="97">
    <w:name w:val="Table Paragraph"/>
    <w:basedOn w:val="1"/>
    <w:qFormat/>
    <w:uiPriority w:val="1"/>
    <w:rPr>
      <w:rFonts w:ascii="宋体" w:hAnsi="宋体" w:cs="宋体"/>
    </w:rPr>
  </w:style>
  <w:style w:type="paragraph" w:customStyle="1" w:styleId="98">
    <w:name w:val="pag_text"/>
    <w:basedOn w:val="1"/>
    <w:qFormat/>
    <w:uiPriority w:val="99"/>
    <w:pPr>
      <w:spacing w:line="570" w:lineRule="atLeast"/>
      <w:ind w:left="90"/>
      <w:jc w:val="left"/>
    </w:pPr>
    <w:rPr>
      <w:color w:val="444444"/>
      <w:kern w:val="0"/>
      <w:sz w:val="22"/>
      <w:szCs w:val="22"/>
    </w:rPr>
  </w:style>
  <w:style w:type="paragraph" w:customStyle="1" w:styleId="99">
    <w:name w:val="inx_text"/>
    <w:basedOn w:val="1"/>
    <w:qFormat/>
    <w:uiPriority w:val="99"/>
    <w:pPr>
      <w:spacing w:line="450" w:lineRule="atLeast"/>
      <w:jc w:val="left"/>
    </w:pPr>
    <w:rPr>
      <w:color w:val="AAAAAA"/>
      <w:kern w:val="0"/>
      <w:szCs w:val="21"/>
    </w:rPr>
  </w:style>
  <w:style w:type="paragraph" w:customStyle="1" w:styleId="100">
    <w:name w:val="xl69"/>
    <w:basedOn w:val="1"/>
    <w:qFormat/>
    <w:uiPriority w:val="99"/>
    <w:pPr>
      <w:widowControl/>
      <w:pBdr>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01">
    <w:name w:val="普通(网站)1"/>
    <w:basedOn w:val="1"/>
    <w:qFormat/>
    <w:uiPriority w:val="0"/>
    <w:pPr>
      <w:spacing w:beforeAutospacing="1" w:afterAutospacing="1" w:line="400" w:lineRule="exact"/>
      <w:ind w:firstLine="880" w:firstLineChars="200"/>
      <w:jc w:val="left"/>
    </w:pPr>
    <w:rPr>
      <w:rFonts w:ascii="Calibri" w:hAnsi="Calibri" w:eastAsia="仿宋_GB2312"/>
      <w:kern w:val="0"/>
      <w:sz w:val="24"/>
    </w:rPr>
  </w:style>
  <w:style w:type="paragraph" w:customStyle="1" w:styleId="102">
    <w:name w:val="xl67"/>
    <w:basedOn w:val="1"/>
    <w:qFormat/>
    <w:uiPriority w:val="99"/>
    <w:pPr>
      <w:widowControl/>
      <w:pBdr>
        <w:bottom w:val="single" w:color="000000" w:sz="8" w:space="0"/>
        <w:right w:val="single" w:color="000000" w:sz="8" w:space="0"/>
      </w:pBdr>
      <w:spacing w:before="100" w:beforeAutospacing="1" w:after="100" w:afterAutospacing="1"/>
    </w:pPr>
    <w:rPr>
      <w:rFonts w:ascii="宋体" w:hAnsi="宋体" w:cs="宋体"/>
      <w:color w:val="000000"/>
      <w:kern w:val="0"/>
      <w:sz w:val="24"/>
    </w:rPr>
  </w:style>
  <w:style w:type="paragraph" w:customStyle="1" w:styleId="103">
    <w:name w:val="pag_text11"/>
    <w:basedOn w:val="1"/>
    <w:qFormat/>
    <w:uiPriority w:val="99"/>
    <w:pPr>
      <w:spacing w:line="570" w:lineRule="atLeast"/>
      <w:ind w:left="150"/>
      <w:jc w:val="left"/>
    </w:pPr>
    <w:rPr>
      <w:color w:val="444444"/>
      <w:kern w:val="0"/>
      <w:sz w:val="22"/>
      <w:szCs w:val="22"/>
    </w:rPr>
  </w:style>
  <w:style w:type="paragraph" w:customStyle="1" w:styleId="104">
    <w:name w:val="w"/>
    <w:basedOn w:val="1"/>
    <w:qFormat/>
    <w:uiPriority w:val="0"/>
    <w:pPr>
      <w:widowControl/>
      <w:spacing w:before="100" w:beforeAutospacing="1" w:after="100" w:afterAutospacing="1" w:line="375" w:lineRule="atLeast"/>
      <w:jc w:val="left"/>
    </w:pPr>
    <w:rPr>
      <w:rFonts w:ascii="宋体" w:hAnsi="宋体"/>
      <w:color w:val="000000"/>
      <w:kern w:val="0"/>
      <w:sz w:val="24"/>
    </w:rPr>
  </w:style>
  <w:style w:type="paragraph" w:customStyle="1" w:styleId="105">
    <w:name w:val="p0"/>
    <w:basedOn w:val="1"/>
    <w:qFormat/>
    <w:uiPriority w:val="0"/>
    <w:pPr>
      <w:widowControl/>
    </w:pPr>
    <w:rPr>
      <w:kern w:val="0"/>
      <w:szCs w:val="21"/>
    </w:rPr>
  </w:style>
  <w:style w:type="character" w:customStyle="1" w:styleId="106">
    <w:name w:val="font31"/>
    <w:basedOn w:val="38"/>
    <w:qFormat/>
    <w:uiPriority w:val="0"/>
    <w:rPr>
      <w:rFonts w:hint="eastAsia" w:ascii="宋体" w:hAnsi="宋体" w:eastAsia="宋体" w:cs="宋体"/>
      <w:color w:val="000000"/>
      <w:sz w:val="20"/>
      <w:szCs w:val="20"/>
      <w:u w:val="none"/>
    </w:rPr>
  </w:style>
  <w:style w:type="character" w:customStyle="1" w:styleId="107">
    <w:name w:val="NormalCharacter"/>
    <w:qFormat/>
    <w:uiPriority w:val="0"/>
    <w:rPr>
      <w:rFonts w:ascii="Times New Roman" w:hAnsi="Times New Roman" w:eastAsia="宋体" w:cs="Times New Roman"/>
      <w:kern w:val="2"/>
      <w:sz w:val="21"/>
      <w:szCs w:val="24"/>
      <w:lang w:val="en-US" w:eastAsia="zh-CN" w:bidi="ar-SA"/>
    </w:rPr>
  </w:style>
  <w:style w:type="paragraph" w:customStyle="1" w:styleId="10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09">
    <w:name w:val="font91"/>
    <w:basedOn w:val="3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2012dnd.com</Company>
  <Pages>68</Pages>
  <Words>34990</Words>
  <Characters>36452</Characters>
  <Lines>283</Lines>
  <Paragraphs>79</Paragraphs>
  <TotalTime>0</TotalTime>
  <ScaleCrop>false</ScaleCrop>
  <LinksUpToDate>false</LinksUpToDate>
  <CharactersWithSpaces>39493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2021-09-12T07:42:00Z</dcterms:created>
  <dc:creator>Administrator</dc:creator>
  <cp:lastModifiedBy>Israel</cp:lastModifiedBy>
  <cp:lastPrinted>2022-07-26T07:49:00Z</cp:lastPrinted>
  <dcterms:modified xsi:type="dcterms:W3CDTF">2022-12-02T03:50:15Z</dcterms:modified>
  <dc:title>福建省政府采购项目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6A443C0AAF674EFF9BA592C2068AC059</vt:lpwstr>
  </property>
</Properties>
</file>