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bookmarkStart w:id="0" w:name="_GoBack"/>
      <w:bookmarkEnd w:id="0"/>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项目名称：泉州师范学院20</w:t>
      </w:r>
      <w:r>
        <w:rPr>
          <w:rStyle w:val="13"/>
          <w:rFonts w:hint="eastAsia" w:ascii="宋体" w:hAnsi="宋体" w:cs="宋体"/>
          <w:color w:val="auto"/>
          <w:sz w:val="30"/>
          <w:szCs w:val="30"/>
          <w:highlight w:val="none"/>
          <w:lang w:val="en-US" w:eastAsia="zh-CN"/>
        </w:rPr>
        <w:t>21级、2022</w:t>
      </w:r>
      <w:r>
        <w:rPr>
          <w:rStyle w:val="13"/>
          <w:rFonts w:hint="eastAsia" w:ascii="宋体" w:hAnsi="宋体" w:cs="宋体"/>
          <w:color w:val="auto"/>
          <w:sz w:val="30"/>
          <w:szCs w:val="30"/>
          <w:highlight w:val="none"/>
        </w:rPr>
        <w:t>级新生入学体检</w:t>
      </w:r>
      <w:r>
        <w:rPr>
          <w:rStyle w:val="13"/>
          <w:rFonts w:hint="eastAsia" w:ascii="宋体" w:hAnsi="宋体" w:cs="宋体"/>
          <w:color w:val="auto"/>
          <w:sz w:val="30"/>
          <w:szCs w:val="30"/>
          <w:highlight w:val="none"/>
          <w:lang w:eastAsia="zh-CN"/>
        </w:rPr>
        <w:t>服务</w:t>
      </w:r>
      <w:r>
        <w:rPr>
          <w:rStyle w:val="13"/>
          <w:rFonts w:hint="eastAsia" w:ascii="宋体" w:hAnsi="宋体" w:cs="宋体"/>
          <w:color w:val="auto"/>
          <w:sz w:val="30"/>
          <w:szCs w:val="30"/>
          <w:highlight w:val="none"/>
        </w:rPr>
        <w:t>（</w:t>
      </w:r>
      <w:r>
        <w:rPr>
          <w:rStyle w:val="13"/>
          <w:rFonts w:hint="eastAsia" w:ascii="宋体" w:hAnsi="宋体" w:cs="宋体"/>
          <w:color w:val="auto"/>
          <w:sz w:val="30"/>
          <w:szCs w:val="30"/>
          <w:highlight w:val="none"/>
          <w:lang w:eastAsia="zh-CN"/>
        </w:rPr>
        <w:t>主校区、南安</w:t>
      </w:r>
      <w:r>
        <w:rPr>
          <w:rStyle w:val="13"/>
          <w:rFonts w:hint="eastAsia" w:ascii="宋体" w:hAnsi="宋体" w:cs="宋体"/>
          <w:color w:val="auto"/>
          <w:sz w:val="30"/>
          <w:szCs w:val="30"/>
          <w:highlight w:val="none"/>
        </w:rPr>
        <w:t>校区）采购项目</w:t>
      </w:r>
    </w:p>
    <w:p>
      <w:pPr>
        <w:pStyle w:val="9"/>
        <w:widowControl/>
        <w:spacing w:before="75" w:beforeAutospacing="0" w:after="75" w:afterAutospacing="0"/>
        <w:jc w:val="center"/>
        <w:rPr>
          <w:rFonts w:hint="default"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ascii="宋体" w:hAnsi="宋体" w:cs="宋体"/>
          <w:color w:val="auto"/>
          <w:sz w:val="30"/>
          <w:szCs w:val="30"/>
          <w:highlight w:val="none"/>
        </w:rPr>
        <w:t>FJJX</w:t>
      </w:r>
      <w:r>
        <w:rPr>
          <w:rStyle w:val="13"/>
          <w:rFonts w:hint="eastAsia" w:ascii="宋体" w:hAnsi="宋体" w:cs="宋体"/>
          <w:color w:val="auto"/>
          <w:sz w:val="30"/>
          <w:szCs w:val="30"/>
          <w:highlight w:val="none"/>
          <w:lang w:eastAsia="zh-CN"/>
        </w:rPr>
        <w:t>（</w:t>
      </w:r>
      <w:r>
        <w:rPr>
          <w:rStyle w:val="13"/>
          <w:rFonts w:hint="eastAsia" w:ascii="宋体" w:hAnsi="宋体" w:cs="宋体"/>
          <w:color w:val="auto"/>
          <w:sz w:val="30"/>
          <w:szCs w:val="30"/>
          <w:highlight w:val="none"/>
          <w:lang w:val="en-US" w:eastAsia="zh-CN"/>
        </w:rPr>
        <w:t>QZ）</w:t>
      </w:r>
      <w:r>
        <w:rPr>
          <w:rStyle w:val="13"/>
          <w:rFonts w:ascii="宋体" w:hAnsi="宋体" w:cs="宋体"/>
          <w:color w:val="auto"/>
          <w:sz w:val="30"/>
          <w:szCs w:val="30"/>
          <w:highlight w:val="none"/>
        </w:rPr>
        <w:t>20</w:t>
      </w:r>
      <w:r>
        <w:rPr>
          <w:rStyle w:val="13"/>
          <w:rFonts w:hint="eastAsia" w:ascii="宋体" w:hAnsi="宋体" w:cs="宋体"/>
          <w:color w:val="auto"/>
          <w:sz w:val="30"/>
          <w:szCs w:val="30"/>
          <w:highlight w:val="none"/>
          <w:lang w:val="en-US" w:eastAsia="zh-CN"/>
        </w:rPr>
        <w:t>21009-2</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rPr>
        <w:t>福建景鑫招标有限公司</w:t>
      </w: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w:t>
      </w:r>
      <w:r>
        <w:rPr>
          <w:rStyle w:val="13"/>
          <w:rFonts w:hint="eastAsia" w:ascii="宋体" w:hAnsi="宋体" w:cs="宋体"/>
          <w:color w:val="auto"/>
          <w:sz w:val="30"/>
          <w:szCs w:val="30"/>
          <w:highlight w:val="none"/>
          <w:lang w:val="en-US" w:eastAsia="zh-CN"/>
        </w:rPr>
        <w:t>21</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06</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泉州师范学院已根据政府采购相关法律法规，经相应程序确定采用竞争性谈判方式组织泉州师范学院20</w:t>
      </w:r>
      <w:r>
        <w:rPr>
          <w:rFonts w:hint="eastAsia" w:ascii="宋体" w:hAnsi="宋体" w:cs="宋体"/>
          <w:color w:val="auto"/>
          <w:highlight w:val="none"/>
          <w:u w:val="none"/>
          <w:lang w:val="en-US" w:eastAsia="zh-CN"/>
        </w:rPr>
        <w:t>21级、2022</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校区）采购项目（以下简称：“本项目”）的政府采购活动，现欢迎国内合格的供应商前来参加。本项目由采购人委托福建景鑫招标有限公司开展竞争性谈判活动。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rPr>
        <w:t>泉州师范学院20</w:t>
      </w:r>
      <w:r>
        <w:rPr>
          <w:rFonts w:hint="eastAsia" w:ascii="宋体" w:hAnsi="宋体" w:cs="宋体"/>
          <w:color w:val="auto"/>
          <w:highlight w:val="none"/>
          <w:u w:val="none"/>
          <w:lang w:val="en-US" w:eastAsia="zh-CN"/>
        </w:rPr>
        <w:t>21级、2022</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QZ）</w:t>
      </w:r>
      <w:r>
        <w:rPr>
          <w:rFonts w:hint="eastAsia"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21009-2</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8821"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88"/>
        <w:gridCol w:w="1690"/>
        <w:gridCol w:w="1308"/>
        <w:gridCol w:w="1438"/>
        <w:gridCol w:w="770"/>
        <w:gridCol w:w="152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96"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588"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690"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1308"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43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770"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23"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1008"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6" w:type="dxa"/>
            <w:vAlign w:val="center"/>
          </w:tcPr>
          <w:p>
            <w:pPr>
              <w:pStyle w:val="9"/>
              <w:widowControl/>
              <w:jc w:val="center"/>
              <w:rPr>
                <w:color w:val="auto"/>
                <w:highlight w:val="none"/>
              </w:rPr>
            </w:pPr>
            <w:r>
              <w:rPr>
                <w:rFonts w:ascii="宋体" w:hAnsi="宋体" w:cs="宋体"/>
                <w:color w:val="auto"/>
                <w:highlight w:val="none"/>
              </w:rPr>
              <w:t>1</w:t>
            </w:r>
          </w:p>
        </w:tc>
        <w:tc>
          <w:tcPr>
            <w:tcW w:w="588" w:type="dxa"/>
            <w:vAlign w:val="center"/>
          </w:tcPr>
          <w:p>
            <w:pPr>
              <w:pStyle w:val="9"/>
              <w:widowControl/>
              <w:jc w:val="center"/>
              <w:rPr>
                <w:color w:val="auto"/>
                <w:highlight w:val="none"/>
              </w:rPr>
            </w:pPr>
            <w:r>
              <w:rPr>
                <w:rFonts w:ascii="宋体" w:hAnsi="宋体" w:cs="宋体"/>
                <w:color w:val="auto"/>
                <w:highlight w:val="none"/>
              </w:rPr>
              <w:t>1-1</w:t>
            </w:r>
          </w:p>
        </w:tc>
        <w:tc>
          <w:tcPr>
            <w:tcW w:w="169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2021级、2022</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r>
              <w:rPr>
                <w:rFonts w:hint="eastAsia" w:ascii="宋体" w:hAnsi="宋体" w:cs="宋体"/>
                <w:color w:val="auto"/>
                <w:highlight w:val="none"/>
              </w:rPr>
              <w:t>（</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w:t>
            </w:r>
            <w:r>
              <w:rPr>
                <w:rFonts w:hint="eastAsia" w:ascii="宋体" w:hAnsi="宋体" w:cs="宋体"/>
                <w:color w:val="auto"/>
                <w:highlight w:val="none"/>
              </w:rPr>
              <w:t>）</w:t>
            </w:r>
          </w:p>
        </w:tc>
        <w:tc>
          <w:tcPr>
            <w:tcW w:w="1308" w:type="dxa"/>
            <w:vAlign w:val="center"/>
          </w:tcPr>
          <w:p>
            <w:pPr>
              <w:pStyle w:val="9"/>
              <w:widowControl/>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10290</w:t>
            </w:r>
            <w:r>
              <w:rPr>
                <w:rFonts w:hint="eastAsia" w:ascii="宋体" w:hAnsi="宋体" w:cs="宋体"/>
                <w:color w:val="auto"/>
                <w:highlight w:val="none"/>
              </w:rPr>
              <w:t>人</w:t>
            </w:r>
          </w:p>
        </w:tc>
        <w:tc>
          <w:tcPr>
            <w:tcW w:w="1438" w:type="dxa"/>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1955100</w:t>
            </w:r>
            <w:r>
              <w:rPr>
                <w:rFonts w:hint="eastAsia" w:ascii="宋体" w:hAnsi="宋体" w:eastAsia="宋体" w:cs="宋体"/>
                <w:color w:val="auto"/>
                <w:kern w:val="0"/>
                <w:sz w:val="24"/>
                <w:szCs w:val="24"/>
                <w:highlight w:val="none"/>
                <w:lang w:val="en-US" w:eastAsia="zh-CN" w:bidi="ar-SA"/>
              </w:rPr>
              <w:t>.00</w:t>
            </w:r>
          </w:p>
        </w:tc>
        <w:tc>
          <w:tcPr>
            <w:tcW w:w="770" w:type="dxa"/>
            <w:vAlign w:val="center"/>
          </w:tcPr>
          <w:p>
            <w:pPr>
              <w:pStyle w:val="9"/>
              <w:widowControl/>
              <w:jc w:val="center"/>
              <w:rPr>
                <w:rFonts w:hint="eastAsia" w:eastAsia="宋体"/>
                <w:color w:val="auto"/>
                <w:highlight w:val="none"/>
                <w:lang w:val="en-US" w:eastAsia="zh-CN"/>
              </w:rPr>
            </w:pPr>
            <w:r>
              <w:rPr>
                <w:rFonts w:hint="eastAsia"/>
                <w:color w:val="auto"/>
                <w:highlight w:val="none"/>
                <w:lang w:val="en-US" w:eastAsia="zh-CN"/>
              </w:rPr>
              <w:t>否</w:t>
            </w:r>
          </w:p>
        </w:tc>
        <w:tc>
          <w:tcPr>
            <w:tcW w:w="1523" w:type="dxa"/>
            <w:vAlign w:val="center"/>
          </w:tcPr>
          <w:p>
            <w:pPr>
              <w:pStyle w:val="9"/>
              <w:widowControl/>
              <w:jc w:val="center"/>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bidi="ar-SA"/>
              </w:rPr>
              <w:t>1955100</w:t>
            </w:r>
            <w:r>
              <w:rPr>
                <w:rFonts w:hint="eastAsia" w:ascii="宋体" w:hAnsi="宋体" w:eastAsia="宋体" w:cs="宋体"/>
                <w:color w:val="auto"/>
                <w:kern w:val="0"/>
                <w:sz w:val="24"/>
                <w:szCs w:val="24"/>
                <w:highlight w:val="none"/>
                <w:lang w:val="en-US" w:eastAsia="zh-CN" w:bidi="ar-SA"/>
              </w:rPr>
              <w:t>.00</w:t>
            </w:r>
          </w:p>
        </w:tc>
        <w:tc>
          <w:tcPr>
            <w:tcW w:w="1008" w:type="dxa"/>
            <w:vAlign w:val="center"/>
          </w:tcPr>
          <w:p>
            <w:pPr>
              <w:widowControl/>
              <w:jc w:val="center"/>
              <w:rPr>
                <w:rFonts w:hint="default" w:eastAsia="宋体"/>
                <w:color w:val="auto"/>
                <w:highlight w:val="none"/>
                <w:lang w:val="en-US" w:eastAsia="zh-CN"/>
              </w:rPr>
            </w:pPr>
            <w:r>
              <w:rPr>
                <w:rFonts w:hint="eastAsia" w:ascii="宋体" w:hAnsi="宋体" w:cs="宋体"/>
                <w:color w:val="auto"/>
                <w:kern w:val="0"/>
                <w:sz w:val="24"/>
                <w:highlight w:val="none"/>
                <w:lang w:val="en-US" w:eastAsia="zh-CN"/>
              </w:rPr>
              <w:t>0</w:t>
            </w:r>
          </w:p>
        </w:tc>
      </w:tr>
    </w:tbl>
    <w:p>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20" w:lineRule="exact"/>
        <w:textAlignment w:val="auto"/>
        <w:rPr>
          <w:rFonts w:ascii="宋体" w:cs="宋体"/>
          <w:color w:val="auto"/>
          <w:highlight w:val="none"/>
        </w:rPr>
      </w:pP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1）</w:t>
      </w:r>
      <w:r>
        <w:rPr>
          <w:rFonts w:hint="eastAsia" w:ascii="宋体" w:hAnsi="宋体" w:cs="宋体"/>
          <w:color w:val="auto"/>
          <w:highlight w:val="none"/>
        </w:rPr>
        <w:t>进口产品，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2）</w:t>
      </w:r>
      <w:r>
        <w:rPr>
          <w:rFonts w:hint="eastAsia" w:ascii="宋体" w:hAnsi="宋体" w:cs="宋体"/>
          <w:color w:val="auto"/>
          <w:highlight w:val="none"/>
        </w:rPr>
        <w:t>节能产品，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rPr>
        <w:t>环境标志产品，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rPr>
        <w:t>信息安全产品，</w:t>
      </w:r>
      <w:r>
        <w:rPr>
          <w:rFonts w:hint="eastAsia" w:ascii="宋体" w:hAnsi="宋体" w:cs="宋体"/>
          <w:color w:val="auto"/>
          <w:highlight w:val="none"/>
          <w:lang w:eastAsia="zh-CN"/>
        </w:rPr>
        <w:t>不</w:t>
      </w:r>
      <w:r>
        <w:rPr>
          <w:rFonts w:hint="eastAsia" w:ascii="宋体" w:hAnsi="宋体" w:cs="宋体"/>
          <w:color w:val="auto"/>
          <w:highlight w:val="none"/>
        </w:rPr>
        <w:t>适用于</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rPr>
        <w:t>小型、微型企业，适用于（合同包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rPr>
        <w:t>监狱企业，适用于（合同包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rPr>
        <w:t>促进残疾人就业，适用于（合同包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hint="eastAsia" w:ascii="宋体" w:hAnsi="宋体" w:cs="宋体"/>
          <w:color w:val="auto"/>
          <w:highlight w:val="none"/>
          <w:lang w:eastAsia="zh-CN"/>
        </w:rPr>
        <w:t>一</w:t>
      </w:r>
      <w:r>
        <w:rPr>
          <w:rFonts w:hint="eastAsia" w:ascii="宋体" w:hAnsi="宋体" w:cs="宋体"/>
          <w:color w:val="auto"/>
          <w:highlight w:val="none"/>
        </w:rPr>
        <w:t>）投标人应在（填写</w:t>
      </w:r>
      <w:r>
        <w:rPr>
          <w:rFonts w:hint="eastAsia" w:ascii="宋体" w:hAnsi="宋体" w:cs="宋体"/>
          <w:color w:val="auto"/>
          <w:highlight w:val="none"/>
          <w:lang w:eastAsia="zh-CN"/>
        </w:rPr>
        <w:t>谈判文件</w:t>
      </w:r>
      <w:r>
        <w:rPr>
          <w:rFonts w:hint="eastAsia" w:ascii="宋体" w:hAnsi="宋体" w:cs="宋体"/>
          <w:color w:val="auto"/>
          <w:highlight w:val="none"/>
        </w:rPr>
        <w:t>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hint="eastAsia" w:ascii="宋体" w:hAnsi="宋体" w:cs="宋体"/>
          <w:color w:val="auto"/>
          <w:highlight w:val="none"/>
          <w:lang w:eastAsia="zh-CN"/>
        </w:rPr>
        <w:t>二</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b/>
          <w:bCs/>
          <w:color w:val="auto"/>
          <w:highlight w:val="none"/>
        </w:rPr>
      </w:pPr>
      <w:r>
        <w:rPr>
          <w:rFonts w:hint="eastAsia" w:ascii="宋体" w:hAnsi="宋体" w:cs="宋体"/>
          <w:b/>
          <w:bCs/>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rFonts w:hint="default" w:eastAsia="宋体"/>
          <w:color w:val="auto"/>
          <w:highlight w:val="none"/>
          <w:lang w:val="en-US" w:eastAsia="zh-CN"/>
        </w:rPr>
      </w:pPr>
      <w:r>
        <w:rPr>
          <w:rStyle w:val="13"/>
          <w:rFonts w:hint="eastAsia" w:ascii="宋体" w:hAnsi="宋体" w:cs="宋体"/>
          <w:b/>
          <w:bCs w:val="0"/>
          <w:color w:val="auto"/>
          <w:highlight w:val="none"/>
          <w:shd w:val="clear" w:color="auto" w:fill="FFFFFF"/>
        </w:rPr>
        <w:t>包</w:t>
      </w:r>
      <w:r>
        <w:rPr>
          <w:rStyle w:val="13"/>
          <w:rFonts w:ascii="宋体" w:hAnsi="宋体" w:cs="宋体"/>
          <w:b/>
          <w:bCs w:val="0"/>
          <w:color w:val="auto"/>
          <w:highlight w:val="none"/>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21</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06</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21</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06</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日</w:t>
      </w:r>
      <w:r>
        <w:rPr>
          <w:rFonts w:hint="eastAsia" w:ascii="宋体" w:hAnsi="宋体" w:cs="宋体"/>
          <w:color w:val="auto"/>
          <w:shd w:val="clear" w:color="auto" w:fill="FFFFFF"/>
        </w:rPr>
        <w:t>，每天上午8:00至12:00，下午14:30至1</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0。（北京时间，法定节假日除外）</w:t>
      </w:r>
      <w:r>
        <w:rPr>
          <w:rFonts w:hint="eastAsia" w:ascii="宋体" w:hAnsi="宋体" w:cs="宋体"/>
          <w:color w:val="auto"/>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21</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06</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21</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06</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日。</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lang w:eastAsia="zh-CN"/>
        </w:rPr>
        <w:t>泉州市丰泽区通港西街仁建产业园中渌大厦二楼</w:t>
      </w:r>
      <w:r>
        <w:rPr>
          <w:rFonts w:hint="eastAsia" w:ascii="宋体" w:hAnsi="宋体" w:cs="宋体"/>
          <w:color w:val="auto"/>
          <w:highlight w:val="none"/>
        </w:rPr>
        <w:t>）</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21</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06</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11</w:t>
      </w:r>
      <w:r>
        <w:rPr>
          <w:rFonts w:hint="eastAsia" w:ascii="宋体" w:hAnsi="宋体"/>
          <w:color w:val="auto"/>
          <w:highlight w:val="none"/>
        </w:rPr>
        <w:t>日</w:t>
      </w:r>
      <w:r>
        <w:rPr>
          <w:rFonts w:hint="eastAsia" w:ascii="宋体" w:hAnsi="宋体"/>
          <w:color w:val="auto"/>
          <w:highlight w:val="none"/>
          <w:lang w:eastAsia="zh-CN"/>
        </w:rPr>
        <w:t>下午</w:t>
      </w:r>
      <w:r>
        <w:rPr>
          <w:rFonts w:hint="eastAsia" w:ascii="宋体" w:hAnsi="宋体"/>
          <w:color w:val="auto"/>
          <w:highlight w:val="none"/>
          <w:lang w:val="en-US" w:eastAsia="zh-CN"/>
        </w:rPr>
        <w:t xml:space="preserve">15:00 </w:t>
      </w:r>
      <w:r>
        <w:rPr>
          <w:rFonts w:hint="eastAsia" w:ascii="宋体" w:hAnsi="宋体"/>
          <w:color w:val="auto"/>
          <w:highlight w:val="none"/>
        </w:rPr>
        <w:t>时</w:t>
      </w:r>
      <w:r>
        <w:rPr>
          <w:rFonts w:hint="eastAsia" w:ascii="宋体" w:hAnsi="宋体"/>
          <w:color w:val="auto"/>
          <w:highlight w:val="none"/>
        </w:rPr>
        <w:t>（北京时间），</w:t>
      </w:r>
      <w:r>
        <w:rPr>
          <w:rFonts w:hint="eastAsia" w:ascii="宋体" w:hAnsi="宋体" w:cs="宋体"/>
          <w:color w:val="auto"/>
          <w:highlight w:val="none"/>
          <w:lang w:eastAsia="zh-CN"/>
        </w:rPr>
        <w:t>泉州市丰泽区通港西街仁建产业园中渌大厦二楼</w:t>
      </w:r>
      <w:r>
        <w:rPr>
          <w:rFonts w:hint="eastAsia" w:ascii="宋体" w:hAnsi="宋体" w:cs="宋体"/>
          <w:color w:val="auto"/>
          <w:highlight w:val="none"/>
        </w:rPr>
        <w:t>。供应商应在此之前将密封的首次响应文件送达本章第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w:t>
      </w:r>
      <w:r>
        <w:rPr>
          <w:rFonts w:ascii="宋体" w:hAnsi="宋体" w:cs="宋体"/>
          <w:color w:val="auto"/>
          <w:highlight w:val="none"/>
        </w:rPr>
        <w:t>20</w:t>
      </w:r>
      <w:r>
        <w:rPr>
          <w:rFonts w:hint="eastAsia" w:ascii="宋体" w:hAnsi="宋体" w:cs="宋体"/>
          <w:color w:val="auto"/>
          <w:highlight w:val="none"/>
          <w:lang w:val="en-US" w:eastAsia="zh-CN"/>
        </w:rPr>
        <w:t>21</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06</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11</w:t>
      </w:r>
      <w:r>
        <w:rPr>
          <w:rFonts w:hint="eastAsia" w:ascii="宋体" w:hAnsi="宋体"/>
          <w:color w:val="auto"/>
          <w:highlight w:val="none"/>
        </w:rPr>
        <w:t>日</w:t>
      </w:r>
      <w:r>
        <w:rPr>
          <w:rFonts w:hint="eastAsia" w:ascii="宋体" w:hAnsi="宋体"/>
          <w:color w:val="auto"/>
          <w:highlight w:val="none"/>
          <w:lang w:eastAsia="zh-CN"/>
        </w:rPr>
        <w:t>下午</w:t>
      </w:r>
      <w:r>
        <w:rPr>
          <w:rFonts w:hint="eastAsia" w:ascii="宋体" w:hAnsi="宋体"/>
          <w:color w:val="auto"/>
          <w:highlight w:val="none"/>
          <w:lang w:val="en-US" w:eastAsia="zh-CN"/>
        </w:rPr>
        <w:t xml:space="preserve">15:00 </w:t>
      </w:r>
      <w:r>
        <w:rPr>
          <w:rFonts w:hint="eastAsia" w:ascii="宋体" w:hAnsi="宋体"/>
          <w:color w:val="auto"/>
          <w:highlight w:val="none"/>
        </w:rPr>
        <w:t>时</w:t>
      </w:r>
      <w:r>
        <w:rPr>
          <w:rFonts w:hint="eastAsia" w:ascii="宋体" w:hAnsi="宋体"/>
          <w:color w:val="auto"/>
          <w:highlight w:val="none"/>
        </w:rPr>
        <w:t>（北京时间），</w:t>
      </w:r>
      <w:r>
        <w:rPr>
          <w:rFonts w:hint="eastAsia" w:ascii="宋体" w:hAnsi="宋体" w:cs="宋体"/>
          <w:color w:val="auto"/>
          <w:highlight w:val="none"/>
          <w:lang w:eastAsia="zh-CN"/>
        </w:rPr>
        <w:t>泉州市丰泽区通港西街仁建产业园中渌大厦二楼</w:t>
      </w:r>
      <w:r>
        <w:rPr>
          <w:rFonts w:hint="eastAsia" w:ascii="宋体" w:hAnsi="宋体" w:cs="宋体"/>
          <w:color w:val="auto"/>
          <w:highlight w:val="none"/>
        </w:rPr>
        <w:t>。</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杨老师</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w:t>
      </w:r>
      <w:r>
        <w:rPr>
          <w:rFonts w:hint="eastAsia" w:ascii="宋体" w:hAnsi="宋体" w:cs="宋体"/>
          <w:color w:val="auto"/>
          <w:highlight w:val="none"/>
          <w:shd w:val="clear" w:color="auto" w:fill="FFFFFF"/>
          <w:lang w:eastAsia="zh-CN"/>
        </w:rPr>
        <w:t>泉州市丰泽区通港西街仁建产业园中渌大厦二楼</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小刘</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9"/>
        <w:widowControl/>
        <w:spacing w:before="75" w:beforeAutospacing="0" w:after="75" w:afterAutospacing="0" w:line="435" w:lineRule="atLeast"/>
        <w:ind w:firstLine="480"/>
        <w:rPr>
          <w:rStyle w:val="13"/>
          <w:rFonts w:hint="eastAsia" w:ascii="宋体" w:hAnsi="宋体" w:cs="宋体"/>
          <w:color w:val="auto"/>
          <w:sz w:val="43"/>
          <w:szCs w:val="43"/>
          <w:highlight w:val="none"/>
        </w:rPr>
      </w:pPr>
      <w:r>
        <w:rPr>
          <w:rFonts w:ascii="宋体" w:cs="宋体"/>
          <w:color w:val="auto"/>
          <w:highlight w:val="none"/>
        </w:rPr>
        <w:t> </w:t>
      </w: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left"/>
        <w:rPr>
          <w:color w:val="auto"/>
          <w:highlight w:val="none"/>
        </w:rPr>
      </w:pPr>
      <w:r>
        <w:rPr>
          <w:rStyle w:val="13"/>
          <w:rFonts w:ascii="宋体" w:cs="宋体"/>
          <w:color w:val="auto"/>
          <w:kern w:val="0"/>
          <w:sz w:val="24"/>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r>
        <w:rPr>
          <w:rStyle w:val="13"/>
          <w:rFonts w:ascii="宋体" w:cs="宋体"/>
          <w:color w:val="auto"/>
          <w:sz w:val="31"/>
          <w:szCs w:val="31"/>
          <w:highlight w:val="none"/>
        </w:rPr>
        <w:t> </w:t>
      </w: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9"/>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t>a4</w:t>
                  </w:r>
                  <w:r>
                    <w:rPr>
                      <w:rFonts w:hint="eastAsia" w:ascii="宋体" w:hAnsi="宋体" w:cs="宋体"/>
                      <w:color w:val="auto"/>
                      <w:sz w:val="24"/>
                      <w:highlight w:val="none"/>
                    </w:rPr>
                    <w:t>符合《中华人民共和国政府采购法》第二十二条规定条件</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符合《中华人民共和国政府采购法》第二十二条规定条件（须提供书面声明）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具备履行合同所必需的设备和专业技术能力的材料</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a6</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a7</w:t>
                  </w:r>
                  <w:r>
                    <w:rPr>
                      <w:rFonts w:hint="eastAsia" w:ascii="宋体" w:hAnsi="宋体" w:cs="宋体"/>
                      <w:color w:val="auto"/>
                      <w:kern w:val="0"/>
                      <w:sz w:val="24"/>
                      <w:highlight w:val="none"/>
                    </w:rPr>
                    <w:t>信用信息查询结果</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hint="default" w:ascii="宋体" w:hAnsi="宋体" w:eastAsia="宋体" w:cs="宋体"/>
                <w:color w:val="auto"/>
                <w:sz w:val="21"/>
                <w:szCs w:val="22"/>
                <w:highlight w:val="none"/>
                <w:shd w:val="clear" w:color="auto" w:fill="FFFFFF"/>
                <w:lang w:val="en-US" w:eastAsia="zh-CN"/>
              </w:rPr>
            </w:pPr>
            <w:r>
              <w:rPr>
                <w:rStyle w:val="13"/>
                <w:rFonts w:hint="eastAsia" w:ascii="宋体" w:hAnsi="宋体" w:cs="宋体"/>
                <w:color w:val="auto"/>
                <w:sz w:val="21"/>
                <w:szCs w:val="22"/>
                <w:highlight w:val="none"/>
                <w:shd w:val="clear" w:color="auto" w:fill="FFFFFF"/>
              </w:rPr>
              <w:t>包1</w:t>
            </w:r>
          </w:p>
          <w:tbl>
            <w:tblPr>
              <w:tblStyle w:val="10"/>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0</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color w:val="auto"/>
                <w:highlight w:val="none"/>
              </w:rPr>
            </w:pPr>
            <w:r>
              <w:rPr>
                <w:rStyle w:val="13"/>
                <w:rFonts w:hint="eastAsia" w:ascii="宋体" w:hAnsi="宋体" w:cs="宋体"/>
                <w:color w:val="auto"/>
                <w:highlight w:val="none"/>
              </w:rPr>
              <w:t>信息公告指定媒体（以下简称：“指定媒体”）：</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lang w:val="en-US" w:eastAsia="zh-CN"/>
              </w:rPr>
              <w:t>泉州师范学院</w:t>
            </w:r>
            <w:r>
              <w:rPr>
                <w:rFonts w:hint="eastAsia" w:ascii="宋体" w:hAnsi="宋体" w:cs="宋体"/>
                <w:color w:val="auto"/>
                <w:sz w:val="24"/>
                <w:highlight w:val="none"/>
              </w:rPr>
              <w:t>网，网址https://www.qztc.edu.cn/。</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Style w:val="13"/>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全部验收合格后无息退还。提交方式为：支票、汇票、本票、保函等非现金方式。</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numPr>
                <w:ilvl w:val="0"/>
                <w:numId w:val="2"/>
              </w:numPr>
              <w:wordWrap w:val="0"/>
              <w:spacing w:beforeAutospacing="0" w:afterAutospacing="0" w:line="435" w:lineRule="atLeast"/>
              <w:rPr>
                <w:color w:val="auto"/>
                <w:highlight w:val="none"/>
              </w:rPr>
            </w:pPr>
            <w:r>
              <w:rPr>
                <w:rStyle w:val="13"/>
                <w:rFonts w:hint="eastAsia" w:ascii="宋体" w:hAnsi="宋体" w:cs="宋体"/>
                <w:color w:val="auto"/>
                <w:highlight w:val="none"/>
              </w:rPr>
              <w:t>本项目代理服务费由成交供应商支付。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ascii="宋体" w:hAnsi="宋体" w:eastAsia="宋体" w:cs="宋体"/>
                <w:color w:val="auto"/>
                <w:spacing w:val="0"/>
                <w:sz w:val="24"/>
                <w:szCs w:val="24"/>
              </w:rPr>
              <w:t>招标代理服务收费的标准：按差额定率累进法计算</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以</w:t>
            </w:r>
            <w:r>
              <w:rPr>
                <w:rFonts w:hint="eastAsia" w:ascii="宋体" w:hAnsi="宋体" w:cs="宋体"/>
                <w:color w:val="auto"/>
                <w:spacing w:val="0"/>
                <w:sz w:val="24"/>
                <w:szCs w:val="24"/>
                <w:lang w:eastAsia="zh-CN"/>
              </w:rPr>
              <w:t>成交</w:t>
            </w:r>
            <w:r>
              <w:rPr>
                <w:rFonts w:ascii="宋体" w:hAnsi="宋体" w:eastAsia="宋体" w:cs="宋体"/>
                <w:color w:val="auto"/>
                <w:spacing w:val="0"/>
                <w:sz w:val="24"/>
                <w:szCs w:val="24"/>
              </w:rPr>
              <w:t>金额作为收费的计算基数</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100(万元)以下1.50%</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rPr>
              <w:t>100</w:t>
            </w:r>
            <w:r>
              <w:rPr>
                <w:rFonts w:hint="eastAsia" w:ascii="宋体" w:hAnsi="宋体" w:eastAsia="宋体" w:cs="宋体"/>
                <w:color w:val="auto"/>
                <w:spacing w:val="0"/>
                <w:sz w:val="24"/>
                <w:szCs w:val="24"/>
                <w:lang w:val="en-US" w:eastAsia="zh-CN"/>
              </w:rPr>
              <w:t>-500</w:t>
            </w:r>
            <w:r>
              <w:rPr>
                <w:rFonts w:ascii="宋体" w:hAnsi="宋体" w:eastAsia="宋体" w:cs="宋体"/>
                <w:color w:val="auto"/>
                <w:spacing w:val="0"/>
                <w:sz w:val="24"/>
                <w:szCs w:val="24"/>
              </w:rPr>
              <w:t>(万元)以下</w:t>
            </w:r>
            <w:r>
              <w:rPr>
                <w:rFonts w:hint="eastAsia" w:ascii="宋体" w:hAnsi="宋体" w:eastAsia="宋体" w:cs="宋体"/>
                <w:color w:val="auto"/>
                <w:spacing w:val="0"/>
                <w:sz w:val="24"/>
                <w:szCs w:val="24"/>
                <w:lang w:val="en-US" w:eastAsia="zh-CN"/>
              </w:rPr>
              <w:t>0.8</w:t>
            </w:r>
            <w:r>
              <w:rPr>
                <w:rFonts w:ascii="宋体" w:hAnsi="宋体" w:eastAsia="宋体" w:cs="宋体"/>
                <w:color w:val="auto"/>
                <w:spacing w:val="0"/>
                <w:sz w:val="24"/>
                <w:szCs w:val="24"/>
              </w:rPr>
              <w:t>0%</w:t>
            </w:r>
            <w:r>
              <w:rPr>
                <w:rFonts w:hint="eastAsia" w:ascii="宋体" w:hAnsi="宋体" w:eastAsia="宋体" w:cs="宋体"/>
                <w:color w:val="auto"/>
                <w:spacing w:val="0"/>
                <w:sz w:val="24"/>
                <w:szCs w:val="24"/>
              </w:rPr>
              <w:t>。</w:t>
            </w:r>
            <w:r>
              <w:rPr>
                <w:rFonts w:ascii="宋体" w:hAnsi="宋体" w:eastAsia="宋体" w:cs="宋体"/>
                <w:color w:val="auto"/>
                <w:spacing w:val="0"/>
                <w:sz w:val="24"/>
                <w:szCs w:val="24"/>
              </w:rPr>
              <w:t>招标代理服务费缴交银行帐号：开户行：建设银行泉州分行，户名：福建景鑫招标有限公司泉州分公司，账号：3500 1652 4900 5251 6706。</w:t>
            </w:r>
            <w:r>
              <w:rPr>
                <w:rFonts w:hint="eastAsia" w:ascii="宋体" w:hAnsi="宋体" w:eastAsia="宋体" w:cs="宋体"/>
                <w:color w:val="auto"/>
                <w:spacing w:val="0"/>
                <w:sz w:val="24"/>
                <w:szCs w:val="24"/>
              </w:rPr>
              <w:t>成交供应商领取</w:t>
            </w:r>
            <w:r>
              <w:rPr>
                <w:rFonts w:hint="eastAsia" w:ascii="宋体" w:hAnsi="宋体" w:eastAsia="宋体" w:cs="宋体"/>
                <w:color w:val="auto"/>
                <w:spacing w:val="0"/>
                <w:sz w:val="24"/>
                <w:szCs w:val="24"/>
                <w:lang w:eastAsia="zh-CN"/>
              </w:rPr>
              <w:t>成交</w:t>
            </w:r>
            <w:r>
              <w:rPr>
                <w:rFonts w:hint="eastAsia" w:ascii="宋体" w:hAnsi="宋体" w:eastAsia="宋体" w:cs="宋体"/>
                <w:color w:val="auto"/>
                <w:spacing w:val="0"/>
                <w:sz w:val="24"/>
                <w:szCs w:val="24"/>
              </w:rPr>
              <w:t>通知书时须提供一份成交供应商的纸质投标文件副本，副本与正本保持一致（若不一致，以正本为准）。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highlight w:val="none"/>
        </w:rPr>
        <w:t>专项附件：</w:t>
      </w:r>
      <w:r>
        <w:rPr>
          <w:rStyle w:val="13"/>
          <w:rFonts w:ascii="宋体" w:cs="宋体"/>
          <w:color w:val="auto"/>
          <w:highlight w:val="none"/>
        </w:rPr>
        <w:t>    </w:t>
      </w:r>
      <w:r>
        <w:rPr>
          <w:rStyle w:val="13"/>
          <w:rFonts w:hint="eastAsia" w:ascii="宋体" w:hAnsi="宋体" w:cs="宋体"/>
          <w:color w:val="auto"/>
          <w:highlight w:val="none"/>
        </w:rPr>
        <w:t>评定成交的标准和方法</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spacing w:beforeAutospacing="0" w:afterAutospacing="0" w:line="405" w:lineRule="atLeast"/>
        <w:ind w:firstLine="465"/>
        <w:rPr>
          <w:color w:val="auto"/>
        </w:rPr>
      </w:pPr>
      <w:r>
        <w:rPr>
          <w:rFonts w:ascii="宋体" w:hAnsi="宋体" w:eastAsia="宋体" w:cs="宋体"/>
          <w:color w:val="auto"/>
          <w:sz w:val="24"/>
          <w:szCs w:val="24"/>
        </w:rPr>
        <w:t>（</w:t>
      </w:r>
      <w:r>
        <w:rPr>
          <w:rFonts w:hint="eastAsia" w:ascii="宋体" w:hAnsi="宋体" w:eastAsia="宋体" w:cs="宋体"/>
          <w:color w:val="auto"/>
          <w:sz w:val="24"/>
          <w:szCs w:val="24"/>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color w:val="auto"/>
        </w:rPr>
        <w:t xml:space="preserve"> </w:t>
      </w:r>
    </w:p>
    <w:p>
      <w:pPr>
        <w:pStyle w:val="9"/>
        <w:keepNext w:val="0"/>
        <w:keepLines w:val="0"/>
        <w:widowControl/>
        <w:suppressLineNumbers w:val="0"/>
        <w:spacing w:line="405" w:lineRule="atLeast"/>
        <w:ind w:left="0" w:right="0" w:firstLine="480"/>
        <w:rPr>
          <w:color w:val="auto"/>
        </w:rPr>
      </w:pPr>
      <w:r>
        <w:rPr>
          <w:rFonts w:hint="eastAsia" w:ascii="宋体" w:hAnsi="宋体" w:eastAsia="宋体" w:cs="宋体"/>
          <w:color w:val="auto"/>
          <w:sz w:val="24"/>
          <w:szCs w:val="24"/>
        </w:rPr>
        <w:t xml:space="preserve">（2）优先类节能产品、环境标志产品： </w:t>
      </w:r>
      <w:r>
        <w:rPr>
          <w:rFonts w:hint="eastAsia" w:ascii="宋体" w:hAnsi="宋体" w:cs="宋体"/>
          <w:color w:val="auto"/>
          <w:sz w:val="24"/>
          <w:szCs w:val="24"/>
          <w:lang w:eastAsia="zh-CN"/>
        </w:rPr>
        <w:t>无</w:t>
      </w:r>
      <w:r>
        <w:rPr>
          <w:rFonts w:hint="eastAsia" w:ascii="宋体" w:hAnsi="宋体" w:eastAsia="宋体" w:cs="宋体"/>
          <w:color w:val="auto"/>
          <w:sz w:val="24"/>
          <w:szCs w:val="24"/>
        </w:rPr>
        <w:t xml:space="preserve"> 。</w:t>
      </w:r>
      <w:r>
        <w:rPr>
          <w:color w:val="auto"/>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0" w:hRule="atLeast"/>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9"/>
        <w:widowControl/>
        <w:spacing w:before="75" w:beforeAutospacing="0" w:after="75" w:afterAutospacing="0" w:line="435" w:lineRule="atLeast"/>
        <w:rPr>
          <w:rFonts w:ascii="宋体" w:hAnsi="宋体" w:cs="宋体"/>
          <w:color w:val="auto"/>
          <w:highlight w:val="none"/>
        </w:rPr>
      </w:pP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w:t>
      </w:r>
      <w:r>
        <w:rPr>
          <w:rFonts w:hint="eastAsia" w:ascii="宋体" w:hAnsi="宋体" w:cs="宋体"/>
          <w:color w:val="auto"/>
          <w:highlight w:val="none"/>
        </w:rPr>
        <w:t>属于《政府采购非招标采购方式管理办法》财政部令第74号</w:t>
      </w:r>
      <w:r>
        <w:rPr>
          <w:rFonts w:hint="eastAsia" w:ascii="宋体" w:hAnsi="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lang w:eastAsia="zh-CN"/>
        </w:rPr>
        <w:t>泉州市财政局关于进一步规范政府采购工作的通知</w:t>
      </w:r>
      <w:r>
        <w:rPr>
          <w:rFonts w:hint="eastAsia" w:ascii="宋体" w:hAnsi="宋体" w:cs="宋体"/>
          <w:color w:val="auto"/>
          <w:highlight w:val="none"/>
        </w:rPr>
        <w:t>》</w:t>
      </w:r>
      <w:r>
        <w:rPr>
          <w:rFonts w:hint="eastAsia" w:ascii="宋体" w:hAnsi="宋体" w:cs="宋体"/>
          <w:color w:val="auto"/>
          <w:highlight w:val="none"/>
          <w:lang w:eastAsia="zh-CN"/>
        </w:rPr>
        <w:t>泉财采</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2017</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348号</w:t>
      </w:r>
      <w:r>
        <w:rPr>
          <w:rFonts w:hint="eastAsia" w:ascii="宋体" w:hAnsi="宋体" w:cs="宋体"/>
          <w:color w:val="auto"/>
          <w:highlight w:val="none"/>
        </w:rPr>
        <w:t>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r>
        <w:rPr>
          <w:rFonts w:hint="eastAsia" w:ascii="宋体" w:hAnsi="宋体" w:eastAsia="宋体" w:cs="宋体"/>
          <w:b/>
          <w:bCs/>
          <w:color w:val="auto"/>
          <w:sz w:val="24"/>
          <w:szCs w:val="22"/>
          <w:highlight w:val="none"/>
          <w:lang w:val="en-US" w:eastAsia="zh-CN"/>
        </w:rPr>
        <w:t>提交响应文件或者经评审实质性响应谈判文件要求的供应商只有两家时，继续进行竞争性谈判；提交响应文件或者经评审实质性响应谈判文件要求的供应商只有一家时，现场更改为单一来源采购</w:t>
      </w:r>
      <w:r>
        <w:rPr>
          <w:rFonts w:hint="eastAsia" w:hAnsi="宋体" w:eastAsia="宋体" w:cs="宋体"/>
          <w:b/>
          <w:bCs/>
          <w:color w:val="auto"/>
          <w:sz w:val="24"/>
          <w:szCs w:val="22"/>
          <w:highlight w:val="none"/>
          <w:lang w:val="en-US" w:eastAsia="zh-CN"/>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一、项目概况</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本次采购的服务主要用于泉州师范学院20</w:t>
      </w:r>
      <w:r>
        <w:rPr>
          <w:rFonts w:hint="eastAsia" w:ascii="Times New Roman" w:hAnsi="Times New Roman" w:cs="Times New Roman"/>
          <w:b w:val="0"/>
          <w:bCs w:val="0"/>
          <w:color w:val="auto"/>
          <w:kern w:val="2"/>
          <w:sz w:val="24"/>
          <w:szCs w:val="24"/>
          <w:highlight w:val="none"/>
          <w:lang w:val="en-US" w:eastAsia="zh-CN" w:bidi="ar-SA"/>
        </w:rPr>
        <w:t>21</w:t>
      </w:r>
      <w:r>
        <w:rPr>
          <w:rFonts w:hint="eastAsia" w:ascii="Times New Roman" w:hAnsi="Times New Roman" w:eastAsia="宋体" w:cs="Times New Roman"/>
          <w:b w:val="0"/>
          <w:bCs w:val="0"/>
          <w:color w:val="auto"/>
          <w:kern w:val="2"/>
          <w:sz w:val="24"/>
          <w:szCs w:val="24"/>
          <w:highlight w:val="none"/>
          <w:lang w:val="en-US" w:eastAsia="zh-CN" w:bidi="ar-SA"/>
        </w:rPr>
        <w:t>级</w:t>
      </w:r>
      <w:r>
        <w:rPr>
          <w:rFonts w:hint="eastAsia" w:ascii="Times New Roman" w:hAnsi="Times New Roman" w:cs="Times New Roman"/>
          <w:b w:val="0"/>
          <w:bCs w:val="0"/>
          <w:color w:val="auto"/>
          <w:kern w:val="2"/>
          <w:sz w:val="24"/>
          <w:szCs w:val="24"/>
          <w:highlight w:val="none"/>
          <w:lang w:val="en-US" w:eastAsia="zh-CN" w:bidi="ar-SA"/>
        </w:rPr>
        <w:t>、2022级</w:t>
      </w:r>
      <w:r>
        <w:rPr>
          <w:rFonts w:hint="eastAsia" w:ascii="Times New Roman" w:hAnsi="Times New Roman" w:eastAsia="宋体" w:cs="Times New Roman"/>
          <w:b w:val="0"/>
          <w:bCs w:val="0"/>
          <w:color w:val="auto"/>
          <w:kern w:val="2"/>
          <w:sz w:val="24"/>
          <w:szCs w:val="24"/>
          <w:highlight w:val="none"/>
          <w:lang w:val="en-US" w:eastAsia="zh-CN" w:bidi="ar-SA"/>
        </w:rPr>
        <w:t>新生入学体检服务（</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w:t>
      </w:r>
      <w:r>
        <w:rPr>
          <w:rFonts w:hint="eastAsia" w:ascii="Times New Roman" w:hAnsi="Times New Roman" w:eastAsia="宋体" w:cs="Times New Roman"/>
          <w:b w:val="0"/>
          <w:bCs w:val="0"/>
          <w:color w:val="auto"/>
          <w:kern w:val="2"/>
          <w:sz w:val="24"/>
          <w:szCs w:val="24"/>
          <w:highlight w:val="none"/>
          <w:lang w:val="en-US" w:eastAsia="zh-CN" w:bidi="ar-SA"/>
        </w:rPr>
        <w:t>）采购项目</w:t>
      </w:r>
      <w:r>
        <w:rPr>
          <w:rFonts w:hint="eastAsia" w:ascii="Times New Roman" w:hAnsi="Times New Roman" w:cs="Times New Roman"/>
          <w:b w:val="0"/>
          <w:bCs w:val="0"/>
          <w:color w:val="auto"/>
          <w:kern w:val="2"/>
          <w:sz w:val="24"/>
          <w:szCs w:val="24"/>
          <w:highlight w:val="none"/>
          <w:lang w:val="en-US" w:eastAsia="zh-CN" w:bidi="ar-SA"/>
        </w:rPr>
        <w:t>使用。</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pPr>
        <w:pStyle w:val="9"/>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技术和服务要求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21</w:t>
      </w:r>
      <w:r>
        <w:rPr>
          <w:rFonts w:hint="eastAsia" w:ascii="Times New Roman" w:hAnsi="Times New Roman" w:eastAsia="宋体" w:cs="Times New Roman"/>
          <w:b w:val="0"/>
          <w:bCs w:val="0"/>
          <w:color w:val="auto"/>
          <w:kern w:val="2"/>
          <w:sz w:val="24"/>
          <w:szCs w:val="24"/>
          <w:highlight w:val="none"/>
          <w:lang w:val="en-US" w:eastAsia="zh-CN" w:bidi="ar-SA"/>
        </w:rPr>
        <w:t>级</w:t>
      </w:r>
      <w:r>
        <w:rPr>
          <w:rFonts w:hint="eastAsia" w:ascii="Times New Roman" w:hAnsi="Times New Roman" w:cs="Times New Roman"/>
          <w:b w:val="0"/>
          <w:bCs w:val="0"/>
          <w:color w:val="auto"/>
          <w:kern w:val="2"/>
          <w:sz w:val="24"/>
          <w:szCs w:val="24"/>
          <w:highlight w:val="none"/>
          <w:lang w:val="en-US" w:eastAsia="zh-CN" w:bidi="ar-SA"/>
        </w:rPr>
        <w:t>、2022级</w:t>
      </w:r>
      <w:r>
        <w:rPr>
          <w:rFonts w:hint="eastAsia" w:ascii="Times New Roman" w:hAnsi="Times New Roman" w:eastAsia="宋体" w:cs="Times New Roman"/>
          <w:b w:val="0"/>
          <w:bCs w:val="0"/>
          <w:color w:val="auto"/>
          <w:kern w:val="2"/>
          <w:sz w:val="24"/>
          <w:szCs w:val="24"/>
          <w:highlight w:val="none"/>
          <w:lang w:val="en-US" w:eastAsia="zh-CN" w:bidi="ar-SA"/>
        </w:rPr>
        <w:t>新生（</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w:t>
      </w:r>
      <w:r>
        <w:rPr>
          <w:rFonts w:hint="eastAsia" w:ascii="Times New Roman" w:hAnsi="Times New Roman" w:eastAsia="宋体" w:cs="Times New Roman"/>
          <w:b w:val="0"/>
          <w:bCs w:val="0"/>
          <w:color w:val="auto"/>
          <w:kern w:val="2"/>
          <w:sz w:val="24"/>
          <w:szCs w:val="24"/>
          <w:highlight w:val="none"/>
          <w:lang w:val="en-US" w:eastAsia="zh-CN" w:bidi="ar-SA"/>
        </w:rPr>
        <w:t>）</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190元/人，供应商单价报价超过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w:t>
      </w:r>
      <w:r>
        <w:rPr>
          <w:rFonts w:hint="eastAsia" w:ascii="Times New Roman" w:hAnsi="Times New Roman" w:eastAsia="宋体" w:cs="Times New Roman"/>
          <w:b/>
          <w:bCs/>
          <w:color w:val="auto"/>
          <w:kern w:val="2"/>
          <w:sz w:val="24"/>
          <w:szCs w:val="24"/>
          <w:highlight w:val="none"/>
          <w:lang w:val="en-US" w:eastAsia="zh-CN" w:bidi="ar-SA"/>
        </w:rPr>
        <w:t>20</w:t>
      </w:r>
      <w:r>
        <w:rPr>
          <w:rFonts w:hint="eastAsia" w:ascii="Times New Roman" w:hAnsi="Times New Roman" w:cs="Times New Roman"/>
          <w:b/>
          <w:bCs/>
          <w:color w:val="auto"/>
          <w:kern w:val="2"/>
          <w:sz w:val="24"/>
          <w:szCs w:val="24"/>
          <w:highlight w:val="none"/>
          <w:lang w:val="en-US" w:eastAsia="zh-CN" w:bidi="ar-SA"/>
        </w:rPr>
        <w:t>21</w:t>
      </w:r>
      <w:r>
        <w:rPr>
          <w:rFonts w:hint="eastAsia" w:ascii="Times New Roman" w:hAnsi="Times New Roman" w:eastAsia="宋体" w:cs="Times New Roman"/>
          <w:b/>
          <w:bCs/>
          <w:color w:val="auto"/>
          <w:kern w:val="2"/>
          <w:sz w:val="24"/>
          <w:szCs w:val="24"/>
          <w:highlight w:val="none"/>
          <w:lang w:val="en-US" w:eastAsia="zh-CN" w:bidi="ar-SA"/>
        </w:rPr>
        <w:t>级</w:t>
      </w:r>
      <w:r>
        <w:rPr>
          <w:rFonts w:hint="eastAsia" w:ascii="Times New Roman" w:hAnsi="Times New Roman" w:cs="Times New Roman"/>
          <w:b/>
          <w:bCs/>
          <w:color w:val="auto"/>
          <w:kern w:val="2"/>
          <w:sz w:val="24"/>
          <w:szCs w:val="24"/>
          <w:highlight w:val="none"/>
          <w:lang w:val="en-US" w:eastAsia="zh-CN" w:bidi="ar-SA"/>
        </w:rPr>
        <w:t>、2022级</w:t>
      </w:r>
      <w:r>
        <w:rPr>
          <w:rFonts w:hint="eastAsia" w:asciiTheme="minorEastAsia" w:hAnsiTheme="minorEastAsia"/>
          <w:b/>
          <w:bCs/>
          <w:color w:val="auto"/>
          <w:sz w:val="24"/>
          <w:szCs w:val="24"/>
          <w:highlight w:val="none"/>
          <w:lang w:val="en-US" w:eastAsia="zh-CN"/>
        </w:rPr>
        <w:t>新生（</w:t>
      </w:r>
      <w:r>
        <w:rPr>
          <w:rFonts w:hint="eastAsia" w:ascii="宋体" w:hAnsi="宋体" w:cs="宋体"/>
          <w:b/>
          <w:bCs/>
          <w:color w:val="auto"/>
          <w:highlight w:val="none"/>
          <w:u w:val="none"/>
          <w:lang w:eastAsia="zh-CN"/>
        </w:rPr>
        <w:t>主校区、南安</w:t>
      </w:r>
      <w:r>
        <w:rPr>
          <w:rFonts w:hint="eastAsia" w:ascii="宋体" w:hAnsi="宋体" w:cs="宋体"/>
          <w:b/>
          <w:bCs/>
          <w:color w:val="auto"/>
          <w:highlight w:val="none"/>
          <w:u w:val="none"/>
        </w:rPr>
        <w:t>校区</w:t>
      </w:r>
      <w:r>
        <w:rPr>
          <w:rFonts w:hint="eastAsia" w:asciiTheme="minorEastAsia" w:hAnsiTheme="minorEastAsia"/>
          <w:b/>
          <w:bCs/>
          <w:color w:val="auto"/>
          <w:sz w:val="24"/>
          <w:szCs w:val="24"/>
          <w:highlight w:val="none"/>
          <w:lang w:val="en-US" w:eastAsia="zh-CN"/>
        </w:rPr>
        <w:t>），此预算单价包含每生从主校区到体检单位接送所产生的费用（南安校区学生到主校区来回由采购单位统一接送）。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cs="Times New Roman"/>
          <w:b/>
          <w:bCs/>
          <w:color w:val="auto"/>
          <w:kern w:val="2"/>
          <w:sz w:val="24"/>
          <w:szCs w:val="24"/>
          <w:highlight w:val="none"/>
          <w:lang w:val="en-US" w:eastAsia="zh-CN" w:bidi="ar-SA"/>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9"/>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三、商务条件</w:t>
      </w:r>
    </w:p>
    <w:p>
      <w:pPr>
        <w:pStyle w:val="9"/>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全部验收合格后无息退还。提交方式为：支票、汇票、本票、保函等非现金方式。</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0"/>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2021级新生（</w:t>
            </w:r>
            <w:r>
              <w:rPr>
                <w:rFonts w:hint="eastAsia" w:ascii="宋体" w:hAnsi="宋体" w:eastAsia="宋体" w:cs="宋体"/>
                <w:color w:val="auto"/>
                <w:sz w:val="24"/>
                <w:szCs w:val="24"/>
                <w:highlight w:val="none"/>
                <w:lang w:eastAsia="zh-CN"/>
              </w:rPr>
              <w:t>主校区、南安</w:t>
            </w:r>
            <w:r>
              <w:rPr>
                <w:rFonts w:hint="eastAsia" w:ascii="宋体" w:hAnsi="宋体" w:eastAsia="宋体" w:cs="宋体"/>
                <w:color w:val="auto"/>
                <w:sz w:val="24"/>
                <w:szCs w:val="24"/>
                <w:highlight w:val="none"/>
              </w:rPr>
              <w:t>校区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体检结果一份书面报告</w:t>
            </w:r>
            <w:r>
              <w:rPr>
                <w:rFonts w:hint="eastAsia" w:ascii="宋体" w:hAnsi="宋体" w:eastAsia="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eastAsia="宋体" w:cs="宋体"/>
                <w:color w:val="auto"/>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6662" w:type="dxa"/>
            <w:vAlign w:val="center"/>
          </w:tcPr>
          <w:p>
            <w:pPr>
              <w:widowControl/>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级新生（</w:t>
            </w:r>
            <w:r>
              <w:rPr>
                <w:rFonts w:hint="eastAsia" w:ascii="宋体" w:hAnsi="宋体" w:eastAsia="宋体" w:cs="宋体"/>
                <w:color w:val="auto"/>
                <w:sz w:val="24"/>
                <w:szCs w:val="24"/>
                <w:highlight w:val="none"/>
                <w:lang w:eastAsia="zh-CN"/>
              </w:rPr>
              <w:t>主校区、南安</w:t>
            </w:r>
            <w:r>
              <w:rPr>
                <w:rFonts w:hint="eastAsia" w:ascii="宋体" w:hAnsi="宋体" w:eastAsia="宋体" w:cs="宋体"/>
                <w:color w:val="auto"/>
                <w:sz w:val="24"/>
                <w:szCs w:val="24"/>
                <w:highlight w:val="none"/>
              </w:rPr>
              <w:t>校区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体检结果一份书面报告</w:t>
            </w:r>
            <w:r>
              <w:rPr>
                <w:rFonts w:hint="eastAsia" w:ascii="宋体" w:hAnsi="宋体" w:eastAsia="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eastAsia="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rFonts w:hint="default" w:eastAsia="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50%</w:t>
            </w:r>
          </w:p>
        </w:tc>
        <w:tc>
          <w:tcPr>
            <w:tcW w:w="5236" w:type="dxa"/>
            <w:vAlign w:val="center"/>
          </w:tcPr>
          <w:p>
            <w:pPr>
              <w:pStyle w:val="9"/>
              <w:widowControl/>
              <w:spacing w:before="75" w:beforeAutospacing="0" w:after="75" w:afterAutospacing="0" w:line="375" w:lineRule="atLeast"/>
              <w:rPr>
                <w:b w:val="0"/>
                <w:bCs w:val="0"/>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20</w:t>
            </w:r>
            <w:r>
              <w:rPr>
                <w:rFonts w:hint="eastAsia" w:ascii="Times New Roman" w:hAnsi="Times New Roman" w:cs="Times New Roman"/>
                <w:b/>
                <w:bCs/>
                <w:color w:val="auto"/>
                <w:kern w:val="2"/>
                <w:sz w:val="24"/>
                <w:szCs w:val="24"/>
                <w:highlight w:val="none"/>
                <w:lang w:val="en-US" w:eastAsia="zh-CN" w:bidi="ar-SA"/>
              </w:rPr>
              <w:t>21</w:t>
            </w:r>
            <w:r>
              <w:rPr>
                <w:rFonts w:hint="eastAsia" w:ascii="Times New Roman" w:hAnsi="Times New Roman" w:eastAsia="宋体" w:cs="Times New Roman"/>
                <w:b/>
                <w:bCs/>
                <w:color w:val="auto"/>
                <w:kern w:val="2"/>
                <w:sz w:val="24"/>
                <w:szCs w:val="24"/>
                <w:highlight w:val="none"/>
                <w:lang w:val="en-US" w:eastAsia="zh-CN" w:bidi="ar-SA"/>
              </w:rPr>
              <w:t>级</w:t>
            </w:r>
            <w:r>
              <w:rPr>
                <w:rFonts w:hint="eastAsia" w:asciiTheme="minorEastAsia" w:hAnsiTheme="minorEastAsia"/>
                <w:b/>
                <w:bCs/>
                <w:color w:val="auto"/>
                <w:sz w:val="24"/>
                <w:szCs w:val="24"/>
                <w:highlight w:val="none"/>
                <w:lang w:val="en-US" w:eastAsia="zh-CN"/>
              </w:rPr>
              <w:t>新生（</w:t>
            </w:r>
            <w:r>
              <w:rPr>
                <w:rFonts w:hint="eastAsia" w:ascii="宋体" w:hAnsi="宋体" w:cs="宋体"/>
                <w:b/>
                <w:bCs/>
                <w:color w:val="auto"/>
                <w:highlight w:val="none"/>
                <w:u w:val="none"/>
                <w:lang w:eastAsia="zh-CN"/>
              </w:rPr>
              <w:t>主校区、南安</w:t>
            </w:r>
            <w:r>
              <w:rPr>
                <w:rFonts w:hint="eastAsia" w:ascii="宋体" w:hAnsi="宋体" w:cs="宋体"/>
                <w:b/>
                <w:bCs/>
                <w:color w:val="auto"/>
                <w:highlight w:val="none"/>
                <w:u w:val="none"/>
              </w:rPr>
              <w:t>校区</w:t>
            </w:r>
            <w:r>
              <w:rPr>
                <w:rFonts w:hint="eastAsia" w:asciiTheme="minorEastAsia" w:hAnsiTheme="minorEastAsia"/>
                <w:b/>
                <w:bCs/>
                <w:color w:val="auto"/>
                <w:sz w:val="24"/>
                <w:szCs w:val="24"/>
                <w:highlight w:val="none"/>
                <w:lang w:val="en-US" w:eastAsia="zh-CN"/>
              </w:rPr>
              <w:t>）</w:t>
            </w:r>
            <w:r>
              <w:rPr>
                <w:rStyle w:val="13"/>
                <w:rFonts w:ascii="宋体" w:hAnsi="宋体" w:eastAsia="宋体" w:cs="宋体"/>
                <w:b w:val="0"/>
                <w:bCs w:val="0"/>
                <w:color w:val="auto"/>
                <w:sz w:val="24"/>
                <w:szCs w:val="24"/>
                <w:highlight w:val="none"/>
              </w:rPr>
              <w:t>体检全部结束后，所有体检数据及体检报告单出具后，根据实际体检的花名册，</w:t>
            </w:r>
            <w:r>
              <w:rPr>
                <w:rStyle w:val="13"/>
                <w:rFonts w:hint="eastAsia" w:ascii="宋体" w:hAnsi="宋体" w:cs="宋体"/>
                <w:b w:val="0"/>
                <w:bCs w:val="0"/>
                <w:color w:val="auto"/>
                <w:sz w:val="24"/>
                <w:szCs w:val="24"/>
                <w:highlight w:val="none"/>
                <w:lang w:val="en-US" w:eastAsia="zh-CN"/>
              </w:rPr>
              <w:t>1</w:t>
            </w:r>
            <w:r>
              <w:rPr>
                <w:rStyle w:val="13"/>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433" w:type="dxa"/>
            <w:vAlign w:val="center"/>
          </w:tcPr>
          <w:p>
            <w:pPr>
              <w:widowControl/>
              <w:jc w:val="center"/>
              <w:rPr>
                <w:rFonts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50%</w:t>
            </w:r>
          </w:p>
        </w:tc>
        <w:tc>
          <w:tcPr>
            <w:tcW w:w="5236" w:type="dxa"/>
            <w:vAlign w:val="center"/>
          </w:tcPr>
          <w:p>
            <w:pPr>
              <w:pStyle w:val="9"/>
              <w:widowControl/>
              <w:spacing w:before="75" w:beforeAutospacing="0" w:after="75" w:afterAutospacing="0" w:line="375" w:lineRule="atLeast"/>
              <w:rPr>
                <w:rStyle w:val="13"/>
                <w:rFonts w:ascii="宋体" w:hAnsi="宋体" w:eastAsia="宋体" w:cs="宋体"/>
                <w:b w:val="0"/>
                <w:bCs w:val="0"/>
                <w:color w:val="auto"/>
                <w:sz w:val="24"/>
                <w:szCs w:val="24"/>
                <w:highlight w:val="none"/>
              </w:rPr>
            </w:pPr>
            <w:r>
              <w:rPr>
                <w:rFonts w:hint="eastAsia" w:ascii="Times New Roman" w:hAnsi="Times New Roman" w:cs="Times New Roman"/>
                <w:b/>
                <w:bCs/>
                <w:color w:val="auto"/>
                <w:kern w:val="2"/>
                <w:sz w:val="24"/>
                <w:szCs w:val="24"/>
                <w:highlight w:val="none"/>
                <w:lang w:val="en-US" w:eastAsia="zh-CN" w:bidi="ar-SA"/>
              </w:rPr>
              <w:t>2022级</w:t>
            </w:r>
            <w:r>
              <w:rPr>
                <w:rFonts w:hint="eastAsia" w:asciiTheme="minorEastAsia" w:hAnsiTheme="minorEastAsia"/>
                <w:b/>
                <w:bCs/>
                <w:color w:val="auto"/>
                <w:sz w:val="24"/>
                <w:szCs w:val="24"/>
                <w:highlight w:val="none"/>
                <w:lang w:val="en-US" w:eastAsia="zh-CN"/>
              </w:rPr>
              <w:t>新生（</w:t>
            </w:r>
            <w:r>
              <w:rPr>
                <w:rFonts w:hint="eastAsia" w:ascii="宋体" w:hAnsi="宋体" w:cs="宋体"/>
                <w:b/>
                <w:bCs/>
                <w:color w:val="auto"/>
                <w:highlight w:val="none"/>
                <w:u w:val="none"/>
                <w:lang w:eastAsia="zh-CN"/>
              </w:rPr>
              <w:t>主校区、南安</w:t>
            </w:r>
            <w:r>
              <w:rPr>
                <w:rFonts w:hint="eastAsia" w:ascii="宋体" w:hAnsi="宋体" w:cs="宋体"/>
                <w:b/>
                <w:bCs/>
                <w:color w:val="auto"/>
                <w:highlight w:val="none"/>
                <w:u w:val="none"/>
              </w:rPr>
              <w:t>校区</w:t>
            </w:r>
            <w:r>
              <w:rPr>
                <w:rFonts w:hint="eastAsia" w:asciiTheme="minorEastAsia" w:hAnsiTheme="minorEastAsia"/>
                <w:b/>
                <w:bCs/>
                <w:color w:val="auto"/>
                <w:sz w:val="24"/>
                <w:szCs w:val="24"/>
                <w:highlight w:val="none"/>
                <w:lang w:val="en-US" w:eastAsia="zh-CN"/>
              </w:rPr>
              <w:t>）</w:t>
            </w:r>
            <w:r>
              <w:rPr>
                <w:rStyle w:val="13"/>
                <w:rFonts w:ascii="宋体" w:hAnsi="宋体" w:eastAsia="宋体" w:cs="宋体"/>
                <w:b w:val="0"/>
                <w:bCs w:val="0"/>
                <w:color w:val="auto"/>
                <w:sz w:val="24"/>
                <w:szCs w:val="24"/>
                <w:highlight w:val="none"/>
              </w:rPr>
              <w:t>体检全部结束后，所有体检数据及体检报告单出具后，根据实际体检的花名册，</w:t>
            </w:r>
            <w:r>
              <w:rPr>
                <w:rStyle w:val="13"/>
                <w:rFonts w:hint="eastAsia" w:ascii="宋体" w:hAnsi="宋体" w:cs="宋体"/>
                <w:b w:val="0"/>
                <w:bCs w:val="0"/>
                <w:color w:val="auto"/>
                <w:sz w:val="24"/>
                <w:szCs w:val="24"/>
                <w:highlight w:val="none"/>
                <w:lang w:val="en-US" w:eastAsia="zh-CN"/>
              </w:rPr>
              <w:t>1</w:t>
            </w:r>
            <w:r>
              <w:rPr>
                <w:rStyle w:val="13"/>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9"/>
        <w:widowControl/>
        <w:spacing w:before="75" w:beforeAutospacing="0" w:after="75" w:afterAutospacing="0"/>
        <w:rPr>
          <w:rFonts w:ascii="宋体" w:hAnsi="宋体" w:cs="宋体"/>
          <w:b/>
          <w:bCs/>
          <w:color w:val="auto"/>
          <w:sz w:val="24"/>
          <w:szCs w:val="24"/>
          <w:highlight w:val="none"/>
        </w:rPr>
      </w:pPr>
    </w:p>
    <w:p>
      <w:pPr>
        <w:pStyle w:val="9"/>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其</w:t>
      </w:r>
      <w:r>
        <w:rPr>
          <w:rFonts w:hint="eastAsia" w:ascii="宋体" w:hAnsi="宋体" w:cs="宋体"/>
          <w:b/>
          <w:bCs/>
          <w:color w:val="auto"/>
          <w:sz w:val="24"/>
          <w:szCs w:val="24"/>
          <w:highlight w:val="none"/>
        </w:rPr>
        <w:t>他要求</w:t>
      </w:r>
    </w:p>
    <w:p>
      <w:pPr>
        <w:pStyle w:val="9"/>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投标时，供应商必须按采购内容及要求进行投标报价。以综合单价（含人工费、</w:t>
      </w:r>
      <w:r>
        <w:rPr>
          <w:rFonts w:hint="eastAsia" w:ascii="宋体" w:hAnsi="宋体" w:cs="宋体"/>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材料费、税金、政策性文件规定及合同包含的所有风险、责任等所有费用）为结算依据。</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9"/>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10"/>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color w:val="auto"/>
                <w:highlight w:val="none"/>
              </w:rPr>
            </w:pPr>
            <w:r>
              <w:rPr>
                <w:rFonts w:hint="eastAsia" w:ascii="宋体" w:hAnsi="宋体" w:cs="宋体"/>
                <w:color w:val="auto"/>
                <w:highlight w:val="none"/>
              </w:rPr>
              <w:t>合同包</w:t>
            </w:r>
          </w:p>
        </w:tc>
        <w:tc>
          <w:tcPr>
            <w:tcW w:w="731"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品目号</w:t>
            </w:r>
          </w:p>
        </w:tc>
        <w:tc>
          <w:tcPr>
            <w:tcW w:w="1877"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名称</w:t>
            </w:r>
          </w:p>
        </w:tc>
        <w:tc>
          <w:tcPr>
            <w:tcW w:w="1597" w:type="dxa"/>
            <w:tcMar>
              <w:top w:w="0" w:type="dxa"/>
              <w:left w:w="105" w:type="dxa"/>
              <w:bottom w:w="0" w:type="dxa"/>
              <w:right w:w="105" w:type="dxa"/>
            </w:tcMar>
            <w:vAlign w:val="center"/>
          </w:tcPr>
          <w:p>
            <w:pPr>
              <w:pStyle w:val="9"/>
              <w:widowControl/>
              <w:spacing w:beforeAutospacing="0" w:afterAutospacing="0" w:line="465" w:lineRule="atLeast"/>
              <w:jc w:val="center"/>
              <w:rPr>
                <w:color w:val="auto"/>
                <w:highlight w:val="none"/>
              </w:rPr>
            </w:pPr>
            <w:r>
              <w:rPr>
                <w:rFonts w:hint="eastAsia" w:ascii="宋体" w:hAnsi="宋体" w:cs="宋体"/>
                <w:color w:val="auto"/>
                <w:highlight w:val="none"/>
              </w:rPr>
              <w:t>首次报价</w:t>
            </w:r>
          </w:p>
        </w:tc>
        <w:tc>
          <w:tcPr>
            <w:tcW w:w="2274" w:type="dxa"/>
            <w:tcMar>
              <w:top w:w="0" w:type="dxa"/>
              <w:left w:w="105" w:type="dxa"/>
              <w:bottom w:w="0" w:type="dxa"/>
              <w:right w:w="105" w:type="dxa"/>
            </w:tcMar>
            <w:vAlign w:val="center"/>
          </w:tcPr>
          <w:p>
            <w:pPr>
              <w:pStyle w:val="9"/>
              <w:widowControl/>
              <w:spacing w:beforeAutospacing="0" w:afterAutospacing="0" w:line="465" w:lineRule="atLeast"/>
              <w:jc w:val="center"/>
              <w:rPr>
                <w:color w:val="auto"/>
                <w:highlight w:val="none"/>
              </w:rPr>
            </w:pPr>
            <w:r>
              <w:rPr>
                <w:rFonts w:hint="eastAsia" w:ascii="宋体" w:hAnsi="宋体" w:cs="宋体"/>
                <w:color w:val="auto"/>
                <w:highlight w:val="none"/>
              </w:rPr>
              <w:t>项目完成时间</w:t>
            </w:r>
          </w:p>
        </w:tc>
        <w:tc>
          <w:tcPr>
            <w:tcW w:w="966" w:type="dxa"/>
            <w:tcMar>
              <w:top w:w="0" w:type="dxa"/>
              <w:left w:w="105" w:type="dxa"/>
              <w:bottom w:w="0" w:type="dxa"/>
              <w:right w:w="105" w:type="dxa"/>
            </w:tcMar>
            <w:vAlign w:val="center"/>
          </w:tcPr>
          <w:p>
            <w:pPr>
              <w:pStyle w:val="9"/>
              <w:widowControl/>
              <w:spacing w:beforeAutospacing="0" w:afterAutospacing="0" w:line="465" w:lineRule="atLeast"/>
              <w:jc w:val="center"/>
              <w:rPr>
                <w:color w:val="auto"/>
                <w:highlight w:val="none"/>
              </w:rPr>
            </w:pPr>
            <w:r>
              <w:rPr>
                <w:rFonts w:hint="eastAsia" w:ascii="宋体" w:hAnsi="宋体" w:cs="宋体"/>
                <w:color w:val="auto"/>
                <w:highlight w:val="none"/>
              </w:rPr>
              <w:t>谈判保证金</w:t>
            </w:r>
          </w:p>
        </w:tc>
        <w:tc>
          <w:tcPr>
            <w:tcW w:w="910" w:type="dxa"/>
            <w:tcMar>
              <w:top w:w="0" w:type="dxa"/>
              <w:left w:w="105" w:type="dxa"/>
              <w:bottom w:w="0" w:type="dxa"/>
              <w:right w:w="105" w:type="dxa"/>
            </w:tcMar>
            <w:vAlign w:val="center"/>
          </w:tcPr>
          <w:p>
            <w:pPr>
              <w:pStyle w:val="9"/>
              <w:widowControl/>
              <w:spacing w:beforeAutospacing="0" w:afterAutospacing="0" w:line="465" w:lineRule="atLeast"/>
              <w:jc w:val="center"/>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rFonts w:hint="default" w:eastAsia="宋体"/>
                <w:color w:val="auto"/>
                <w:highlight w:val="none"/>
                <w:lang w:val="en-US" w:eastAsia="zh-CN"/>
              </w:rPr>
            </w:pPr>
            <w:r>
              <w:rPr>
                <w:rFonts w:hint="eastAsia"/>
                <w:color w:val="auto"/>
                <w:highlight w:val="none"/>
                <w:lang w:val="en-US" w:eastAsia="zh-CN"/>
              </w:rPr>
              <w:t>1</w:t>
            </w:r>
          </w:p>
        </w:tc>
        <w:tc>
          <w:tcPr>
            <w:tcW w:w="731"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87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2021</w:t>
            </w:r>
            <w:r>
              <w:rPr>
                <w:rFonts w:hint="eastAsia" w:ascii="宋体" w:hAnsi="宋体" w:cs="宋体"/>
                <w:color w:val="auto"/>
                <w:highlight w:val="none"/>
              </w:rPr>
              <w:t>级</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2022级</w:t>
            </w:r>
            <w:r>
              <w:rPr>
                <w:rFonts w:hint="eastAsia" w:ascii="宋体" w:hAnsi="宋体" w:cs="宋体"/>
                <w:color w:val="auto"/>
                <w:highlight w:val="none"/>
              </w:rPr>
              <w:t>新生入学体检</w:t>
            </w:r>
            <w:r>
              <w:rPr>
                <w:rFonts w:hint="eastAsia" w:ascii="宋体" w:hAnsi="宋体" w:cs="宋体"/>
                <w:color w:val="auto"/>
                <w:highlight w:val="none"/>
                <w:lang w:eastAsia="zh-CN"/>
              </w:rPr>
              <w:t>服务</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none"/>
                <w:lang w:eastAsia="zh-CN"/>
              </w:rPr>
              <w:t>主校区、南安</w:t>
            </w:r>
            <w:r>
              <w:rPr>
                <w:rFonts w:hint="eastAsia" w:ascii="宋体" w:hAnsi="宋体" w:cs="宋体"/>
                <w:color w:val="auto"/>
                <w:highlight w:val="none"/>
                <w:u w:val="none"/>
              </w:rPr>
              <w:t>校区</w:t>
            </w:r>
            <w:r>
              <w:rPr>
                <w:rFonts w:hint="eastAsia" w:ascii="宋体" w:hAnsi="宋体" w:cs="宋体"/>
                <w:color w:val="auto"/>
                <w:highlight w:val="none"/>
              </w:rPr>
              <w:t>）</w:t>
            </w:r>
          </w:p>
        </w:tc>
        <w:tc>
          <w:tcPr>
            <w:tcW w:w="159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0</w:t>
            </w:r>
          </w:p>
        </w:tc>
        <w:tc>
          <w:tcPr>
            <w:tcW w:w="910" w:type="dxa"/>
            <w:tcMar>
              <w:top w:w="0" w:type="dxa"/>
              <w:left w:w="105" w:type="dxa"/>
              <w:bottom w:w="0" w:type="dxa"/>
              <w:right w:w="105" w:type="dxa"/>
            </w:tcMar>
            <w:vAlign w:val="center"/>
          </w:tcPr>
          <w:p>
            <w:pPr>
              <w:widowControl/>
              <w:jc w:val="center"/>
              <w:rPr>
                <w:rFonts w:hint="eastAsia" w:eastAsia="宋体"/>
                <w:color w:val="auto"/>
                <w:highlight w:val="none"/>
                <w:lang w:eastAsia="zh-CN"/>
              </w:rPr>
            </w:pPr>
            <w:r>
              <w:rPr>
                <w:rFonts w:hint="eastAsia"/>
                <w:color w:val="auto"/>
                <w:highlight w:val="none"/>
                <w:lang w:eastAsia="zh-CN"/>
              </w:rPr>
              <w:t>含接送费用</w:t>
            </w: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hint="eastAsia" w:ascii="宋体" w:cs="宋体"/>
          <w:color w:val="auto"/>
          <w:sz w:val="21"/>
          <w:szCs w:val="21"/>
          <w:highlight w:val="none"/>
          <w:lang w:val="en-US" w:eastAsia="zh-CN"/>
        </w:rPr>
        <w:t>1</w:t>
      </w:r>
      <w:r>
        <w:rPr>
          <w:rFonts w:hint="eastAsia" w:asciiTheme="minorEastAsia" w:hAnsiTheme="minorEastAsia"/>
          <w:b/>
          <w:bCs/>
          <w:color w:val="auto"/>
          <w:sz w:val="24"/>
          <w:szCs w:val="24"/>
          <w:highlight w:val="none"/>
          <w:lang w:val="en-US" w:eastAsia="zh-CN"/>
        </w:rPr>
        <w:t>、</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190元/人，供应商单价报价超过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2、体检对象泉州师范学院2021级、2022级新生（</w:t>
      </w:r>
      <w:r>
        <w:rPr>
          <w:rFonts w:hint="eastAsia" w:ascii="宋体" w:hAnsi="宋体" w:cs="宋体"/>
          <w:b/>
          <w:bCs/>
          <w:color w:val="auto"/>
          <w:highlight w:val="none"/>
          <w:u w:val="none"/>
          <w:lang w:eastAsia="zh-CN"/>
        </w:rPr>
        <w:t>主校区、南安</w:t>
      </w:r>
      <w:r>
        <w:rPr>
          <w:rFonts w:hint="eastAsia" w:ascii="宋体" w:hAnsi="宋体" w:cs="宋体"/>
          <w:b/>
          <w:bCs/>
          <w:color w:val="auto"/>
          <w:highlight w:val="none"/>
          <w:u w:val="none"/>
        </w:rPr>
        <w:t>校区</w:t>
      </w:r>
      <w:r>
        <w:rPr>
          <w:rFonts w:hint="eastAsia" w:asciiTheme="minorEastAsia" w:hAnsiTheme="minorEastAsia"/>
          <w:b/>
          <w:bCs/>
          <w:color w:val="auto"/>
          <w:sz w:val="24"/>
          <w:szCs w:val="24"/>
          <w:highlight w:val="none"/>
          <w:lang w:val="en-US" w:eastAsia="zh-CN"/>
        </w:rPr>
        <w:t>），此预算单价包含每生从主校区到体检单位接送所产生的费用（南安校区学生到主校区来回由采购单位统一接送）。</w:t>
      </w:r>
    </w:p>
    <w:p>
      <w:pPr>
        <w:pStyle w:val="9"/>
        <w:widowControl/>
        <w:spacing w:before="75" w:beforeAutospacing="0" w:after="75" w:afterAutospacing="0" w:line="375" w:lineRule="atLeast"/>
        <w:rPr>
          <w:rFonts w:ascii="宋体" w:cs="宋体"/>
          <w:color w:val="auto"/>
          <w:sz w:val="21"/>
          <w:szCs w:val="21"/>
          <w:highlight w:val="none"/>
        </w:rPr>
      </w:pPr>
      <w:r>
        <w:rPr>
          <w:rFonts w:hint="eastAsia" w:asciiTheme="minorEastAsia" w:hAnsiTheme="minorEastAsia"/>
          <w:b/>
          <w:bCs/>
          <w:color w:val="auto"/>
          <w:sz w:val="24"/>
          <w:szCs w:val="24"/>
          <w:highlight w:val="none"/>
          <w:lang w:val="en-US" w:eastAsia="zh-CN"/>
        </w:rPr>
        <w:t>4、本次体检数量为预估数量，本项目按学生体检实际数量结算。</w:t>
      </w: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3"/>
          <w:rFonts w:ascii="宋体" w:cs="宋体"/>
          <w:color w:val="auto"/>
          <w:highlight w:val="none"/>
        </w:rPr>
        <w:t> </w:t>
      </w:r>
      <w:r>
        <w:rPr>
          <w:rFonts w:hint="eastAsia" w:ascii="宋体" w:hAnsi="宋体" w:cs="宋体"/>
          <w:color w:val="auto"/>
          <w:highlight w:val="none"/>
        </w:rPr>
        <w:t>供应商名称：（全称加盖单位公章）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1"/>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9"/>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9"/>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190元/人，供应商单价报价超过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2、体检对象泉州师范学院2021级、2022级新生（</w:t>
            </w:r>
            <w:r>
              <w:rPr>
                <w:rFonts w:hint="eastAsia" w:ascii="宋体" w:hAnsi="宋体" w:cs="宋体"/>
                <w:b/>
                <w:bCs/>
                <w:color w:val="auto"/>
                <w:highlight w:val="none"/>
                <w:u w:val="none"/>
                <w:lang w:eastAsia="zh-CN"/>
              </w:rPr>
              <w:t>主校区、南安</w:t>
            </w:r>
            <w:r>
              <w:rPr>
                <w:rFonts w:hint="eastAsia" w:ascii="宋体" w:hAnsi="宋体" w:cs="宋体"/>
                <w:b/>
                <w:bCs/>
                <w:color w:val="auto"/>
                <w:highlight w:val="none"/>
                <w:u w:val="none"/>
              </w:rPr>
              <w:t>校区</w:t>
            </w:r>
            <w:r>
              <w:rPr>
                <w:rFonts w:hint="eastAsia" w:asciiTheme="minorEastAsia" w:hAnsiTheme="minorEastAsia"/>
                <w:b/>
                <w:bCs/>
                <w:color w:val="auto"/>
                <w:sz w:val="24"/>
                <w:szCs w:val="24"/>
                <w:highlight w:val="none"/>
                <w:lang w:val="en-US" w:eastAsia="zh-CN"/>
              </w:rPr>
              <w:t>），此预算单价包含每生从</w:t>
            </w:r>
            <w:r>
              <w:rPr>
                <w:rFonts w:hint="eastAsia" w:ascii="宋体" w:hAnsi="宋体" w:cs="宋体"/>
                <w:b/>
                <w:bCs/>
                <w:color w:val="auto"/>
                <w:highlight w:val="none"/>
                <w:u w:val="none"/>
                <w:lang w:eastAsia="zh-CN"/>
              </w:rPr>
              <w:t>主校区</w:t>
            </w:r>
            <w:r>
              <w:rPr>
                <w:rFonts w:hint="eastAsia" w:asciiTheme="minorEastAsia" w:hAnsiTheme="minorEastAsia"/>
                <w:b/>
                <w:bCs/>
                <w:color w:val="auto"/>
                <w:sz w:val="24"/>
                <w:szCs w:val="24"/>
                <w:highlight w:val="none"/>
                <w:lang w:val="en-US" w:eastAsia="zh-CN"/>
              </w:rPr>
              <w:t>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bl>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u w:val="single"/>
        </w:rPr>
        <w:t>     </w:t>
      </w:r>
      <w:r>
        <w:rPr>
          <w:rFonts w:hint="eastAsia" w:asci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w:t>
      </w:r>
      <w:r>
        <w:rPr>
          <w:rFonts w:hint="eastAsia" w:ascii="宋体" w:hAnsi="宋体" w:cs="宋体"/>
          <w:color w:val="auto"/>
          <w:highlight w:val="none"/>
          <w:lang w:eastAsia="zh-CN"/>
        </w:rPr>
        <w:t>并接受相关法律法规的处罚</w:t>
      </w:r>
      <w:r>
        <w:rPr>
          <w:rFonts w:hint="eastAsia" w:ascii="宋体" w:hAnsi="宋体" w:cs="宋体"/>
          <w:color w:val="auto"/>
          <w:highlight w:val="none"/>
        </w:rPr>
        <w:t>。</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附件</w:t>
      </w:r>
      <w:r>
        <w:rPr>
          <w:rFonts w:ascii="宋体" w:hAnsi="宋体" w:cs="宋体"/>
          <w:color w:val="auto"/>
          <w:highlight w:val="none"/>
        </w:rPr>
        <w:t xml:space="preserve">3-5 </w:t>
      </w:r>
      <w:r>
        <w:rPr>
          <w:rFonts w:hint="eastAsia" w:ascii="宋体" w:hAnsi="宋体" w:cs="宋体"/>
          <w:b/>
          <w:bCs/>
          <w:color w:val="auto"/>
          <w:highlight w:val="none"/>
          <w:lang w:eastAsia="zh-CN"/>
        </w:rPr>
        <w:t>符合《中华人民共和国政府采购法》第二十二条规定条件书面声明 </w:t>
      </w:r>
    </w:p>
    <w:p>
      <w:pPr>
        <w:pStyle w:val="9"/>
        <w:widowControl/>
        <w:spacing w:before="75" w:beforeAutospacing="0" w:after="75" w:afterAutospacing="0" w:line="435" w:lineRule="atLeast"/>
        <w:jc w:val="both"/>
        <w:rPr>
          <w:rFonts w:hint="eastAsia" w:ascii="宋体" w:hAnsi="宋体" w:cs="宋体"/>
          <w:color w:val="auto"/>
          <w:highlight w:val="none"/>
        </w:rPr>
      </w:pP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我方已知晓</w:t>
      </w:r>
      <w:r>
        <w:rPr>
          <w:rFonts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项目（项目编号</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）竞争性谈判文件要求并认真审核自身情况，在此郑重声明，我方具备并满足下列各项条款的规定。本声明如有虚假或不实之处，我方将失去合格供应商资格</w:t>
      </w:r>
      <w:r>
        <w:rPr>
          <w:rFonts w:hint="eastAsia" w:ascii="宋体" w:hAnsi="宋体"/>
          <w:color w:val="auto"/>
          <w:sz w:val="24"/>
          <w:highlight w:val="none"/>
          <w:lang w:eastAsia="zh-CN"/>
        </w:rPr>
        <w:t>并接受相关法律法规的处罚</w:t>
      </w:r>
      <w:r>
        <w:rPr>
          <w:rFonts w:hint="eastAsia" w:ascii="宋体" w:hAnsi="宋体"/>
          <w:color w:val="auto"/>
          <w:sz w:val="24"/>
          <w:highlight w:val="none"/>
        </w:rPr>
        <w:t>。声明如下：</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)我们</w:t>
      </w:r>
      <w:r>
        <w:rPr>
          <w:rFonts w:ascii="宋体" w:hAnsi="宋体"/>
          <w:color w:val="auto"/>
          <w:sz w:val="24"/>
          <w:highlight w:val="none"/>
        </w:rPr>
        <w:t>具有独立承担民事责任的能力；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)我们</w:t>
      </w:r>
      <w:r>
        <w:rPr>
          <w:rFonts w:ascii="宋体" w:hAnsi="宋体"/>
          <w:color w:val="auto"/>
          <w:sz w:val="24"/>
          <w:highlight w:val="none"/>
        </w:rPr>
        <w:t>具有良好的商业信誉和健全的财务会计制度；</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)我们</w:t>
      </w:r>
      <w:r>
        <w:rPr>
          <w:rFonts w:ascii="宋体" w:hAnsi="宋体"/>
          <w:color w:val="auto"/>
          <w:sz w:val="24"/>
          <w:highlight w:val="none"/>
        </w:rPr>
        <w:t>具有履行合同所必需的设备和专业技术能力；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)我们</w:t>
      </w:r>
      <w:r>
        <w:rPr>
          <w:rFonts w:ascii="宋体" w:hAnsi="宋体"/>
          <w:color w:val="auto"/>
          <w:sz w:val="24"/>
          <w:highlight w:val="none"/>
        </w:rPr>
        <w:t>有依法缴纳税收和社会保障资金的良好记录；</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)我们参加政府采购活动前</w:t>
      </w:r>
      <w:r>
        <w:rPr>
          <w:rFonts w:ascii="宋体" w:hAnsi="宋体"/>
          <w:color w:val="auto"/>
          <w:sz w:val="24"/>
          <w:highlight w:val="none"/>
        </w:rPr>
        <w:t>三年内，在经营活动中没有重大违法记录</w:t>
      </w:r>
      <w:r>
        <w:rPr>
          <w:rFonts w:hint="eastAsia" w:ascii="宋体" w:hAnsi="宋体"/>
          <w:color w:val="auto"/>
          <w:sz w:val="24"/>
          <w:highlight w:val="none"/>
        </w:rPr>
        <w:t>且</w:t>
      </w:r>
      <w:r>
        <w:rPr>
          <w:rFonts w:ascii="宋体" w:hAnsi="宋体"/>
          <w:color w:val="auto"/>
          <w:sz w:val="24"/>
          <w:highlight w:val="none"/>
        </w:rPr>
        <w:t>无行贿犯罪记录</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）法律、行政法规规定的其他条件。</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（7）我们符合《政府采购法实施条例》第十九条第二款规定条件。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hint="eastAsia" w:ascii="宋体" w:hAnsi="宋体"/>
          <w:bCs/>
          <w:color w:val="auto"/>
          <w:sz w:val="24"/>
          <w:highlight w:val="none"/>
        </w:rPr>
        <w:t>我们未被列入财政部政府采购严重违法失信行为记录名单。</w:t>
      </w:r>
    </w:p>
    <w:p>
      <w:pPr>
        <w:spacing w:line="44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（9）我们未</w:t>
      </w:r>
      <w:r>
        <w:rPr>
          <w:rFonts w:hint="eastAsia" w:ascii="宋体" w:hAnsi="宋体"/>
          <w:bCs/>
          <w:color w:val="auto"/>
          <w:sz w:val="24"/>
          <w:highlight w:val="none"/>
        </w:rPr>
        <w:t>被人民法院列入生效的失信被执行人名单。</w:t>
      </w:r>
    </w:p>
    <w:p>
      <w:pPr>
        <w:spacing w:line="44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（10）</w:t>
      </w:r>
      <w:r>
        <w:rPr>
          <w:rFonts w:hint="eastAsia" w:ascii="宋体" w:hAnsi="宋体"/>
          <w:color w:val="auto"/>
          <w:sz w:val="24"/>
          <w:highlight w:val="none"/>
        </w:rPr>
        <w:t>我们未</w:t>
      </w:r>
      <w:r>
        <w:rPr>
          <w:rFonts w:hint="eastAsia" w:ascii="宋体" w:hAnsi="宋体"/>
          <w:bCs/>
          <w:color w:val="auto"/>
          <w:sz w:val="24"/>
          <w:highlight w:val="none"/>
        </w:rPr>
        <w:t>被列入安全生产不良记录名单。</w:t>
      </w:r>
    </w:p>
    <w:p>
      <w:pPr>
        <w:pStyle w:val="9"/>
        <w:widowControl/>
        <w:spacing w:before="75" w:beforeAutospacing="0" w:after="75" w:afterAutospacing="0" w:line="435" w:lineRule="atLeast"/>
        <w:jc w:val="both"/>
        <w:rPr>
          <w:b/>
          <w:bCs/>
          <w:color w:val="auto"/>
          <w:highlight w:val="none"/>
        </w:rPr>
      </w:pPr>
      <w:r>
        <w:rPr>
          <w:rStyle w:val="13"/>
          <w:rFonts w:ascii="宋体" w:cs="宋体"/>
          <w:b/>
          <w:bCs/>
          <w:color w:val="auto"/>
          <w:sz w:val="21"/>
          <w:szCs w:val="21"/>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6</w:t>
      </w:r>
      <w:r>
        <w:rPr>
          <w:rFonts w:ascii="宋体" w:hAnsi="宋体" w:cs="宋体"/>
          <w:color w:val="auto"/>
          <w:highlight w:val="none"/>
        </w:rPr>
        <w:t>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7</w:t>
      </w:r>
      <w:r>
        <w:rPr>
          <w:rFonts w:ascii="宋体" w:hAnsi="宋体" w:cs="宋体"/>
          <w:color w:val="auto"/>
          <w:highlight w:val="none"/>
        </w:rPr>
        <w:t>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8</w:t>
      </w:r>
      <w:r>
        <w:rPr>
          <w:rFonts w:ascii="宋体" w:hAnsi="宋体" w:cs="宋体"/>
          <w:color w:val="auto"/>
          <w:highlight w:val="none"/>
        </w:rPr>
        <w:t xml:space="preserve">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9</w:t>
      </w:r>
      <w:r>
        <w:rPr>
          <w:rFonts w:ascii="宋体" w:hAnsi="宋体" w:cs="宋体"/>
          <w:color w:val="auto"/>
          <w:highlight w:val="none"/>
        </w:rPr>
        <w:t>     </w:t>
      </w:r>
      <w:r>
        <w:rPr>
          <w:rStyle w:val="13"/>
          <w:rFonts w:hint="eastAsia" w:ascii="宋体" w:cs="宋体"/>
          <w:color w:val="auto"/>
          <w:highlight w:val="none"/>
        </w:rPr>
        <w:t>主管部门颁发的医疗机构执业许可证复印件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line="420" w:lineRule="atLeast"/>
        <w:jc w:val="center"/>
        <w:rPr>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3-1</w:t>
      </w:r>
      <w:r>
        <w:rPr>
          <w:rFonts w:hint="eastAsia" w:ascii="宋体" w:hAnsi="宋体" w:cs="宋体"/>
          <w:b/>
          <w:bCs/>
          <w:color w:val="auto"/>
          <w:highlight w:val="none"/>
          <w:lang w:val="en-US" w:eastAsia="zh-CN"/>
        </w:rPr>
        <w:t>0</w:t>
      </w:r>
      <w:r>
        <w:rPr>
          <w:rFonts w:ascii="宋体" w:hAnsi="宋体" w:cs="宋体"/>
          <w:b/>
          <w:bCs/>
          <w:color w:val="auto"/>
          <w:highlight w:val="none"/>
        </w:rPr>
        <w:t>    </w:t>
      </w:r>
      <w:r>
        <w:rPr>
          <w:rFonts w:hint="eastAsia" w:ascii="宋体" w:hAnsi="宋体" w:cs="宋体"/>
          <w:b/>
          <w:bCs/>
          <w:color w:val="auto"/>
          <w:kern w:val="0"/>
          <w:sz w:val="24"/>
          <w:szCs w:val="24"/>
          <w:highlight w:val="none"/>
          <w:lang w:val="en-US" w:eastAsia="zh-CN" w:bidi="ar"/>
        </w:rPr>
        <w:t>三级甲等公立医院证明材料复印件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1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628"/>
        <w:gridCol w:w="21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9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15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48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588"/>
        <w:gridCol w:w="24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5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40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2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5</w:t>
      </w:r>
      <w:r>
        <w:rPr>
          <w:rFonts w:ascii="宋体" w:hAnsi="宋体" w:cs="宋体"/>
          <w:color w:val="auto"/>
          <w:highlight w:val="none"/>
        </w:rPr>
        <w:t xml:space="preserve">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6</w:t>
      </w:r>
      <w:r>
        <w:rPr>
          <w:rFonts w:ascii="宋体" w:hAnsi="宋体" w:cs="宋体"/>
          <w:color w:val="auto"/>
          <w:highlight w:val="none"/>
        </w:rPr>
        <w:t xml:space="preserve">     </w:t>
      </w:r>
      <w:r>
        <w:rPr>
          <w:rStyle w:val="13"/>
          <w:rFonts w:hint="eastAsia" w:ascii="宋体" w:hAnsi="宋体" w:cs="宋体"/>
          <w:color w:val="auto"/>
          <w:highlight w:val="none"/>
        </w:rPr>
        <w:t>供应商提交符合政府采购政策的证明材料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6</w:t>
      </w:r>
      <w:r>
        <w:rPr>
          <w:rFonts w:ascii="宋体" w:hAnsi="宋体" w:cs="宋体"/>
          <w:color w:val="auto"/>
          <w:highlight w:val="none"/>
        </w:rPr>
        <w:t>-1-1        </w:t>
      </w:r>
      <w:r>
        <w:rPr>
          <w:rStyle w:val="13"/>
          <w:rFonts w:hint="eastAsia" w:ascii="宋体" w:hAnsi="宋体" w:cs="宋体"/>
          <w:color w:val="auto"/>
          <w:highlight w:val="none"/>
        </w:rPr>
        <w:t>中小企业声明函（</w:t>
      </w:r>
      <w:r>
        <w:rPr>
          <w:rStyle w:val="13"/>
          <w:rFonts w:hint="eastAsia" w:ascii="宋体" w:hAnsi="宋体" w:cs="宋体"/>
          <w:color w:val="auto"/>
          <w:highlight w:val="none"/>
          <w:lang w:eastAsia="zh-CN"/>
        </w:rPr>
        <w:t>此表必须声明</w:t>
      </w:r>
      <w:r>
        <w:rPr>
          <w:rStyle w:val="13"/>
          <w:rFonts w:hint="eastAsia" w:ascii="宋体" w:hAnsi="宋体" w:cs="宋体"/>
          <w:color w:val="auto"/>
          <w:highlight w:val="none"/>
        </w:rPr>
        <w:t>）</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6</w:t>
      </w:r>
      <w:r>
        <w:rPr>
          <w:rFonts w:ascii="宋体" w:hAnsi="宋体" w:cs="宋体"/>
          <w:color w:val="auto"/>
          <w:highlight w:val="none"/>
        </w:rPr>
        <w:t>-1-2</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残疾人福利性单位声明函（如果有的话）</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3"/>
          <w:rFonts w:hint="eastAsia" w:ascii="宋体" w:hAnsi="宋体" w:cs="宋体"/>
          <w:color w:val="auto"/>
          <w:highlight w:val="none"/>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9"/>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9"/>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7</w:t>
      </w:r>
      <w:r>
        <w:rPr>
          <w:rFonts w:ascii="宋体" w:hAnsi="宋体" w:cs="宋体"/>
          <w:color w:val="auto"/>
          <w:highlight w:val="none"/>
        </w:rPr>
        <w:t>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Style w:val="13"/>
          <w:rFonts w:hint="eastAsia" w:ascii="宋体" w:hAnsi="宋体" w:eastAsia="宋体" w:cs="宋体"/>
          <w:color w:val="auto"/>
          <w:kern w:val="0"/>
          <w:sz w:val="24"/>
          <w:szCs w:val="24"/>
          <w:highlight w:val="none"/>
          <w:lang w:val="en-US" w:eastAsia="zh-CN" w:bidi="ar-SA"/>
        </w:rPr>
      </w:pPr>
      <w:r>
        <w:rPr>
          <w:rFonts w:hint="eastAsia" w:ascii="宋体" w:hAnsi="宋体" w:cs="宋体"/>
          <w:color w:val="auto"/>
          <w:highlight w:val="none"/>
        </w:rPr>
        <w:t>附件</w:t>
      </w:r>
      <w:r>
        <w:rPr>
          <w:rFonts w:hint="eastAsia" w:ascii="宋体" w:hAnsi="宋体" w:cs="宋体"/>
          <w:color w:val="auto"/>
          <w:highlight w:val="none"/>
          <w:lang w:val="en-US" w:eastAsia="zh-CN"/>
        </w:rPr>
        <w:t xml:space="preserve">8                            </w:t>
      </w:r>
      <w:r>
        <w:rPr>
          <w:rStyle w:val="13"/>
          <w:rFonts w:hint="eastAsia" w:ascii="宋体" w:hAnsi="宋体" w:eastAsia="宋体" w:cs="宋体"/>
          <w:color w:val="auto"/>
          <w:kern w:val="0"/>
          <w:sz w:val="24"/>
          <w:szCs w:val="24"/>
          <w:highlight w:val="none"/>
          <w:lang w:val="en-US" w:eastAsia="zh-CN" w:bidi="ar-SA"/>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1E79"/>
    <w:rsid w:val="0097574E"/>
    <w:rsid w:val="009B0293"/>
    <w:rsid w:val="00A157B1"/>
    <w:rsid w:val="00A7461F"/>
    <w:rsid w:val="00AC5BF3"/>
    <w:rsid w:val="00B15320"/>
    <w:rsid w:val="00C27EA4"/>
    <w:rsid w:val="00C43740"/>
    <w:rsid w:val="00C853F2"/>
    <w:rsid w:val="00C874C3"/>
    <w:rsid w:val="00C9752F"/>
    <w:rsid w:val="00C97544"/>
    <w:rsid w:val="00CA0EE9"/>
    <w:rsid w:val="00D26C81"/>
    <w:rsid w:val="00DB7D0E"/>
    <w:rsid w:val="00E005C1"/>
    <w:rsid w:val="00E53C14"/>
    <w:rsid w:val="00E937B9"/>
    <w:rsid w:val="00F45F9F"/>
    <w:rsid w:val="00FB4173"/>
    <w:rsid w:val="011047D1"/>
    <w:rsid w:val="02B00670"/>
    <w:rsid w:val="02C7345D"/>
    <w:rsid w:val="034051F1"/>
    <w:rsid w:val="039F551A"/>
    <w:rsid w:val="03BE5325"/>
    <w:rsid w:val="03F649F1"/>
    <w:rsid w:val="04A95D11"/>
    <w:rsid w:val="04E7345F"/>
    <w:rsid w:val="05147600"/>
    <w:rsid w:val="055A128A"/>
    <w:rsid w:val="05AD1DB2"/>
    <w:rsid w:val="05BF5272"/>
    <w:rsid w:val="08CC53B5"/>
    <w:rsid w:val="099A329E"/>
    <w:rsid w:val="099F75F3"/>
    <w:rsid w:val="09D31B31"/>
    <w:rsid w:val="0AF41E2B"/>
    <w:rsid w:val="0B27326B"/>
    <w:rsid w:val="0D1D6AD1"/>
    <w:rsid w:val="0F1B3731"/>
    <w:rsid w:val="0F347704"/>
    <w:rsid w:val="0F5E6FEE"/>
    <w:rsid w:val="0FD315B9"/>
    <w:rsid w:val="1022244B"/>
    <w:rsid w:val="11213DEC"/>
    <w:rsid w:val="112B080C"/>
    <w:rsid w:val="12355A70"/>
    <w:rsid w:val="12571DA5"/>
    <w:rsid w:val="137F4488"/>
    <w:rsid w:val="13DF0D41"/>
    <w:rsid w:val="144947B6"/>
    <w:rsid w:val="14B611D5"/>
    <w:rsid w:val="14D82DF3"/>
    <w:rsid w:val="15A41BB8"/>
    <w:rsid w:val="16DA08F8"/>
    <w:rsid w:val="173B2189"/>
    <w:rsid w:val="18254BD8"/>
    <w:rsid w:val="1976764C"/>
    <w:rsid w:val="1A080298"/>
    <w:rsid w:val="1AE43623"/>
    <w:rsid w:val="1B470700"/>
    <w:rsid w:val="1BCB3C3A"/>
    <w:rsid w:val="1C546690"/>
    <w:rsid w:val="1CD958E1"/>
    <w:rsid w:val="1F147A6A"/>
    <w:rsid w:val="1F6944B3"/>
    <w:rsid w:val="1FCE120F"/>
    <w:rsid w:val="20434937"/>
    <w:rsid w:val="206C3B37"/>
    <w:rsid w:val="219C0203"/>
    <w:rsid w:val="238F4930"/>
    <w:rsid w:val="24491B09"/>
    <w:rsid w:val="246C57BD"/>
    <w:rsid w:val="25E5738D"/>
    <w:rsid w:val="260072B6"/>
    <w:rsid w:val="260A3AAF"/>
    <w:rsid w:val="270A428C"/>
    <w:rsid w:val="280C0394"/>
    <w:rsid w:val="28716BD5"/>
    <w:rsid w:val="292A166D"/>
    <w:rsid w:val="2A006F31"/>
    <w:rsid w:val="2ADC270B"/>
    <w:rsid w:val="2B5B4712"/>
    <w:rsid w:val="2B8071C3"/>
    <w:rsid w:val="2BEE3252"/>
    <w:rsid w:val="2CCA784D"/>
    <w:rsid w:val="2D281490"/>
    <w:rsid w:val="2D5E3FBF"/>
    <w:rsid w:val="2F126354"/>
    <w:rsid w:val="2F566985"/>
    <w:rsid w:val="2FD57344"/>
    <w:rsid w:val="30401ABE"/>
    <w:rsid w:val="30F56F3D"/>
    <w:rsid w:val="31EE0DDF"/>
    <w:rsid w:val="32020025"/>
    <w:rsid w:val="32260C37"/>
    <w:rsid w:val="34955BE1"/>
    <w:rsid w:val="351A5A71"/>
    <w:rsid w:val="356E3C9D"/>
    <w:rsid w:val="364431A8"/>
    <w:rsid w:val="36B607C0"/>
    <w:rsid w:val="37FB074A"/>
    <w:rsid w:val="39C80226"/>
    <w:rsid w:val="3AE439C3"/>
    <w:rsid w:val="3B465907"/>
    <w:rsid w:val="3BBF1141"/>
    <w:rsid w:val="3CB02ABE"/>
    <w:rsid w:val="4022256A"/>
    <w:rsid w:val="43BE03B5"/>
    <w:rsid w:val="43C44629"/>
    <w:rsid w:val="43C96417"/>
    <w:rsid w:val="44966894"/>
    <w:rsid w:val="44BB07C1"/>
    <w:rsid w:val="45304DA5"/>
    <w:rsid w:val="45AE0074"/>
    <w:rsid w:val="45E95A28"/>
    <w:rsid w:val="460C5F30"/>
    <w:rsid w:val="461A48DA"/>
    <w:rsid w:val="46EF5703"/>
    <w:rsid w:val="474775AC"/>
    <w:rsid w:val="48B531D0"/>
    <w:rsid w:val="48BA0D25"/>
    <w:rsid w:val="48D70D31"/>
    <w:rsid w:val="4A473935"/>
    <w:rsid w:val="4B667E15"/>
    <w:rsid w:val="4C4421CC"/>
    <w:rsid w:val="4D4A1AC9"/>
    <w:rsid w:val="4EAF7D38"/>
    <w:rsid w:val="4F534DC3"/>
    <w:rsid w:val="4F6159F8"/>
    <w:rsid w:val="50DA4690"/>
    <w:rsid w:val="51EC5E55"/>
    <w:rsid w:val="522F3E68"/>
    <w:rsid w:val="528D34D7"/>
    <w:rsid w:val="53451F23"/>
    <w:rsid w:val="53B44A19"/>
    <w:rsid w:val="545F7A6F"/>
    <w:rsid w:val="54EC5C4E"/>
    <w:rsid w:val="5567397F"/>
    <w:rsid w:val="559348C8"/>
    <w:rsid w:val="561803FE"/>
    <w:rsid w:val="57047C3F"/>
    <w:rsid w:val="58183AA3"/>
    <w:rsid w:val="58926B90"/>
    <w:rsid w:val="5AA4657B"/>
    <w:rsid w:val="5B8B0672"/>
    <w:rsid w:val="5BD11374"/>
    <w:rsid w:val="5E873DF6"/>
    <w:rsid w:val="5FCB504F"/>
    <w:rsid w:val="60BF3939"/>
    <w:rsid w:val="62134D96"/>
    <w:rsid w:val="635162DD"/>
    <w:rsid w:val="638C44FC"/>
    <w:rsid w:val="644172F7"/>
    <w:rsid w:val="64EF3E19"/>
    <w:rsid w:val="650A2F58"/>
    <w:rsid w:val="662C7364"/>
    <w:rsid w:val="66550560"/>
    <w:rsid w:val="675B6040"/>
    <w:rsid w:val="69114E2D"/>
    <w:rsid w:val="6A5F47A3"/>
    <w:rsid w:val="6AAE6500"/>
    <w:rsid w:val="6ADB06F8"/>
    <w:rsid w:val="6ADE38D1"/>
    <w:rsid w:val="6B4F6A86"/>
    <w:rsid w:val="6B785CF6"/>
    <w:rsid w:val="6CB63BA7"/>
    <w:rsid w:val="6D0F3731"/>
    <w:rsid w:val="6D753147"/>
    <w:rsid w:val="6DF91CED"/>
    <w:rsid w:val="6EEC1A67"/>
    <w:rsid w:val="6EF2778E"/>
    <w:rsid w:val="72696324"/>
    <w:rsid w:val="736075E1"/>
    <w:rsid w:val="75C5092F"/>
    <w:rsid w:val="76471E29"/>
    <w:rsid w:val="7656443D"/>
    <w:rsid w:val="76DA7CC5"/>
    <w:rsid w:val="781118FB"/>
    <w:rsid w:val="786070F4"/>
    <w:rsid w:val="7A226B49"/>
    <w:rsid w:val="7BE46CD9"/>
    <w:rsid w:val="7BFE0B32"/>
    <w:rsid w:val="7C1C3FDC"/>
    <w:rsid w:val="7C820508"/>
    <w:rsid w:val="7DED2FEE"/>
    <w:rsid w:val="7ED21E27"/>
    <w:rsid w:val="7F0263E1"/>
    <w:rsid w:val="7F6A224F"/>
    <w:rsid w:val="7F861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23</TotalTime>
  <ScaleCrop>false</ScaleCrop>
  <LinksUpToDate>false</LinksUpToDate>
  <CharactersWithSpaces>43017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2021-05-24T02:30:00Z</cp:lastPrinted>
  <dcterms:modified xsi:type="dcterms:W3CDTF">2021-06-07T02:06:36Z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2CC0156520EA4073A50BA520D3E61731</vt:lpwstr>
  </property>
</Properties>
</file>