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BCBB1">
      <w:pPr>
        <w:ind w:firstLine="1572"/>
        <w:rPr>
          <w:rFonts w:ascii="宋体" w:hAnsi="宋体"/>
          <w:b/>
          <w:w w:val="150"/>
          <w:sz w:val="52"/>
        </w:rPr>
      </w:pPr>
    </w:p>
    <w:p w14:paraId="2741F03D">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27AA0AB6">
      <w:pPr>
        <w:rPr>
          <w:rFonts w:ascii="宋体" w:hAnsi="宋体"/>
          <w:b/>
          <w:bCs/>
          <w:sz w:val="48"/>
          <w:szCs w:val="48"/>
        </w:rPr>
      </w:pPr>
    </w:p>
    <w:p w14:paraId="4169A496">
      <w:pPr>
        <w:rPr>
          <w:rFonts w:ascii="宋体" w:hAnsi="宋体"/>
          <w:sz w:val="24"/>
        </w:rPr>
      </w:pPr>
    </w:p>
    <w:p w14:paraId="0CDBD860">
      <w:pPr>
        <w:tabs>
          <w:tab w:val="left" w:pos="1140"/>
        </w:tabs>
        <w:ind w:firstLine="1510" w:firstLineChars="472"/>
        <w:rPr>
          <w:rFonts w:ascii="宋体" w:hAnsi="宋体"/>
          <w:sz w:val="32"/>
        </w:rPr>
      </w:pPr>
    </w:p>
    <w:p w14:paraId="69089218">
      <w:pPr>
        <w:pStyle w:val="16"/>
      </w:pPr>
    </w:p>
    <w:p w14:paraId="08D99DE8"/>
    <w:p w14:paraId="1F8B7213">
      <w:pPr>
        <w:spacing w:line="360" w:lineRule="auto"/>
        <w:ind w:firstLine="1446" w:firstLineChars="400"/>
        <w:rPr>
          <w:rFonts w:ascii="宋体" w:hAnsi="宋体"/>
          <w:color w:val="000000" w:themeColor="text1"/>
          <w:sz w:val="32"/>
          <w14:textFill>
            <w14:solidFill>
              <w14:schemeClr w14:val="tx1"/>
            </w14:solidFill>
          </w14:textFill>
        </w:rPr>
      </w:pPr>
      <w:r>
        <w:rPr>
          <w:rFonts w:hint="eastAsia" w:ascii="宋体" w:hAnsi="宋体"/>
          <w:b/>
          <w:sz w:val="36"/>
          <w:szCs w:val="36"/>
        </w:rPr>
        <w:t>采购编号：</w:t>
      </w:r>
      <w:r>
        <w:rPr>
          <w:rFonts w:hint="eastAsia" w:ascii="宋体" w:hAnsi="宋体"/>
          <w:b/>
          <w:color w:val="000000" w:themeColor="text1"/>
          <w:sz w:val="36"/>
          <w:szCs w:val="36"/>
          <w:highlight w:val="none"/>
          <w14:textFill>
            <w14:solidFill>
              <w14:schemeClr w14:val="tx1"/>
            </w14:solidFill>
          </w14:textFill>
        </w:rPr>
        <w:t xml:space="preserve"> </w:t>
      </w:r>
      <w:r>
        <w:rPr>
          <w:rFonts w:hint="eastAsia" w:ascii="宋体" w:hAnsi="宋体"/>
          <w:b/>
          <w:color w:val="000000" w:themeColor="text1"/>
          <w:sz w:val="36"/>
          <w:szCs w:val="36"/>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lang w:val="en-US" w:eastAsia="zh-CN"/>
          <w14:textFill>
            <w14:solidFill>
              <w14:schemeClr w14:val="tx1"/>
            </w14:solidFill>
          </w14:textFill>
        </w:rPr>
        <w:t>JXJYXY2026001</w:t>
      </w:r>
      <w:r>
        <w:rPr>
          <w:rFonts w:hint="eastAsia" w:ascii="Arial" w:hAnsi="Arial" w:cs="Arial"/>
          <w:b/>
          <w:color w:val="000000" w:themeColor="text1"/>
          <w:sz w:val="27"/>
          <w:szCs w:val="27"/>
          <w:highlight w:val="none"/>
          <w:u w:val="single"/>
          <w:shd w:val="clear" w:color="auto" w:fill="FFFFFF"/>
          <w14:textFill>
            <w14:solidFill>
              <w14:schemeClr w14:val="tx1"/>
            </w14:solidFill>
          </w14:textFill>
        </w:rPr>
        <w:t xml:space="preserve">  </w:t>
      </w:r>
      <w:r>
        <w:rPr>
          <w:rFonts w:hint="eastAsia" w:ascii="Arial" w:hAnsi="Arial" w:cs="Arial"/>
          <w:color w:val="000000" w:themeColor="text1"/>
          <w:sz w:val="27"/>
          <w:szCs w:val="27"/>
          <w:highlight w:val="none"/>
          <w:u w:val="single"/>
          <w:shd w:val="clear" w:color="auto" w:fill="FFFFFF"/>
          <w14:textFill>
            <w14:solidFill>
              <w14:schemeClr w14:val="tx1"/>
            </w14:solidFill>
          </w14:textFill>
        </w:rPr>
        <w:t xml:space="preserve">  </w:t>
      </w:r>
      <w:r>
        <w:rPr>
          <w:rFonts w:hint="eastAsia" w:ascii="Arial" w:hAnsi="Arial" w:cs="Arial"/>
          <w:color w:val="000000" w:themeColor="text1"/>
          <w:sz w:val="27"/>
          <w:szCs w:val="27"/>
          <w:highlight w:val="none"/>
          <w:u w:val="single"/>
          <w:shd w:val="clear" w:color="auto" w:fill="FFFFFF"/>
          <w:lang w:val="en-US" w:eastAsia="zh-CN"/>
          <w14:textFill>
            <w14:solidFill>
              <w14:schemeClr w14:val="tx1"/>
            </w14:solidFill>
          </w14:textFill>
        </w:rPr>
        <w:t xml:space="preserve"> </w:t>
      </w:r>
      <w:r>
        <w:rPr>
          <w:rFonts w:hint="eastAsia" w:ascii="Arial" w:hAnsi="Arial" w:cs="Arial"/>
          <w:color w:val="000000" w:themeColor="text1"/>
          <w:sz w:val="27"/>
          <w:szCs w:val="27"/>
          <w:u w:val="single"/>
          <w:shd w:val="clear" w:color="auto" w:fill="FFFFFF"/>
          <w:lang w:val="en-US" w:eastAsia="zh-CN"/>
          <w14:textFill>
            <w14:solidFill>
              <w14:schemeClr w14:val="tx1"/>
            </w14:solidFill>
          </w14:textFill>
        </w:rPr>
        <w:t xml:space="preserve">   </w:t>
      </w:r>
      <w:r>
        <w:rPr>
          <w:rFonts w:hint="eastAsia" w:ascii="Arial" w:hAnsi="Arial" w:cs="Arial"/>
          <w:color w:val="000000" w:themeColor="text1"/>
          <w:sz w:val="27"/>
          <w:szCs w:val="27"/>
          <w:u w:val="single"/>
          <w:shd w:val="clear" w:color="auto" w:fill="FFFFFF"/>
          <w14:textFill>
            <w14:solidFill>
              <w14:schemeClr w14:val="tx1"/>
            </w14:solidFill>
          </w14:textFill>
        </w:rPr>
        <w:t xml:space="preserve">    </w:t>
      </w:r>
      <w:r>
        <w:rPr>
          <w:rFonts w:hint="eastAsia" w:ascii="宋体" w:hAnsi="宋体"/>
          <w:b/>
          <w:color w:val="000000" w:themeColor="text1"/>
          <w:sz w:val="36"/>
          <w:szCs w:val="36"/>
          <w:u w:val="single"/>
          <w14:textFill>
            <w14:solidFill>
              <w14:schemeClr w14:val="tx1"/>
            </w14:solidFill>
          </w14:textFill>
        </w:rPr>
        <w:t xml:space="preserve">  </w:t>
      </w:r>
    </w:p>
    <w:p w14:paraId="43A3FD7F">
      <w:pPr>
        <w:ind w:left="3243" w:leftChars="684" w:hanging="1807" w:hangingChars="500"/>
        <w:rPr>
          <w:rFonts w:hint="eastAsia" w:ascii="宋体" w:hAnsi="宋体" w:eastAsia="宋体" w:cs="Arial"/>
          <w:b/>
          <w:bCs w:val="0"/>
          <w:color w:val="000000" w:themeColor="text1"/>
          <w:sz w:val="36"/>
          <w:szCs w:val="36"/>
          <w:u w:val="single"/>
          <w:lang w:eastAsia="zh-CN"/>
          <w14:textFill>
            <w14:solidFill>
              <w14:schemeClr w14:val="tx1"/>
            </w14:solidFill>
          </w14:textFill>
        </w:rPr>
      </w:pPr>
      <w:r>
        <w:rPr>
          <w:rFonts w:hint="eastAsia" w:ascii="宋体" w:hAnsi="宋体"/>
          <w:b/>
          <w:bCs w:val="0"/>
          <w:color w:val="000000" w:themeColor="text1"/>
          <w:sz w:val="36"/>
          <w:szCs w:val="36"/>
          <w14:textFill>
            <w14:solidFill>
              <w14:schemeClr w14:val="tx1"/>
            </w14:solidFill>
          </w14:textFill>
        </w:rPr>
        <w:t>项目名称：</w:t>
      </w:r>
      <w:r>
        <w:rPr>
          <w:rFonts w:hint="eastAsia" w:ascii="宋体" w:hAnsi="宋体"/>
          <w:color w:val="000000" w:themeColor="text1"/>
          <w:sz w:val="28"/>
          <w:szCs w:val="28"/>
          <w:highlight w:val="none"/>
          <w:u w:val="single"/>
          <w:lang w:val="en-US" w:eastAsia="zh-CN"/>
          <w14:textFill>
            <w14:solidFill>
              <w14:schemeClr w14:val="tx1"/>
            </w14:solidFill>
          </w14:textFill>
        </w:rPr>
        <w:t>泉州师范学院继续教育学院2026级成人高等教育教学管理综合平台服务</w:t>
      </w:r>
    </w:p>
    <w:p w14:paraId="0540CCA1">
      <w:pPr>
        <w:rPr>
          <w:rFonts w:ascii="宋体" w:hAnsi="宋体"/>
          <w:b/>
          <w:bCs w:val="0"/>
          <w:sz w:val="24"/>
        </w:rPr>
      </w:pPr>
    </w:p>
    <w:p w14:paraId="21F6E7A6">
      <w:pPr>
        <w:rPr>
          <w:rFonts w:ascii="宋体" w:hAnsi="宋体"/>
        </w:rPr>
      </w:pPr>
    </w:p>
    <w:p w14:paraId="182196C3">
      <w:pPr>
        <w:rPr>
          <w:rFonts w:ascii="宋体" w:hAnsi="宋体"/>
        </w:rPr>
      </w:pPr>
    </w:p>
    <w:p w14:paraId="5BA166F1">
      <w:pPr>
        <w:rPr>
          <w:rFonts w:ascii="宋体" w:hAnsi="宋体"/>
        </w:rPr>
      </w:pPr>
    </w:p>
    <w:p w14:paraId="59F71CEB">
      <w:pPr>
        <w:ind w:firstLine="1792" w:firstLineChars="498"/>
        <w:rPr>
          <w:rFonts w:ascii="宋体" w:hAnsi="宋体"/>
          <w:sz w:val="36"/>
        </w:rPr>
      </w:pPr>
    </w:p>
    <w:p w14:paraId="781D3663">
      <w:pPr>
        <w:pStyle w:val="16"/>
      </w:pPr>
    </w:p>
    <w:p w14:paraId="13BC7E10">
      <w:pPr>
        <w:rPr>
          <w:rFonts w:ascii="宋体" w:hAnsi="宋体"/>
          <w:sz w:val="36"/>
        </w:rPr>
      </w:pPr>
    </w:p>
    <w:p w14:paraId="413CD64C">
      <w:pPr>
        <w:ind w:firstLine="2530" w:firstLineChars="700"/>
        <w:rPr>
          <w:rFonts w:ascii="宋体" w:hAnsi="宋体"/>
          <w:b/>
          <w:sz w:val="36"/>
          <w:szCs w:val="36"/>
          <w:u w:val="single"/>
        </w:rPr>
      </w:pPr>
      <w:r>
        <w:rPr>
          <w:rFonts w:hint="eastAsia" w:ascii="宋体" w:hAnsi="宋体"/>
          <w:b/>
          <w:sz w:val="36"/>
          <w:szCs w:val="36"/>
        </w:rPr>
        <w:t>泉州师范学院继续教育学院</w:t>
      </w:r>
    </w:p>
    <w:p w14:paraId="160F4335">
      <w:pPr>
        <w:spacing w:before="312" w:beforeLines="100" w:after="312"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w:t>
      </w:r>
      <w:r>
        <w:rPr>
          <w:rFonts w:hint="eastAsia" w:ascii="宋体" w:hAnsi="宋体"/>
          <w:b/>
          <w:sz w:val="36"/>
          <w:szCs w:val="36"/>
          <w:lang w:val="en-US" w:eastAsia="zh-CN"/>
        </w:rPr>
        <w:t>6</w:t>
      </w:r>
      <w:r>
        <w:rPr>
          <w:rFonts w:hint="eastAsia" w:ascii="宋体" w:hAnsi="宋体"/>
          <w:b/>
          <w:sz w:val="36"/>
          <w:szCs w:val="36"/>
        </w:rPr>
        <w:t>年</w:t>
      </w:r>
      <w:r>
        <w:rPr>
          <w:rFonts w:hint="eastAsia" w:ascii="宋体" w:hAnsi="宋体"/>
          <w:b/>
          <w:sz w:val="36"/>
          <w:szCs w:val="36"/>
          <w:lang w:val="en-US" w:eastAsia="zh-CN"/>
        </w:rPr>
        <w:t>5</w:t>
      </w:r>
      <w:r>
        <w:rPr>
          <w:rFonts w:hint="eastAsia" w:ascii="宋体" w:hAnsi="宋体"/>
          <w:b/>
          <w:sz w:val="36"/>
          <w:szCs w:val="36"/>
        </w:rPr>
        <w:t>月</w:t>
      </w:r>
    </w:p>
    <w:p w14:paraId="58ADDD18">
      <w:pPr>
        <w:pStyle w:val="24"/>
      </w:pPr>
    </w:p>
    <w:p w14:paraId="2107CFB7">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rPr>
        <w:id w:val="147453954"/>
        <w15:color w:val="DBDBDB"/>
        <w:docPartObj>
          <w:docPartGallery w:val="Table of Contents"/>
          <w:docPartUnique/>
        </w:docPartObj>
      </w:sdtPr>
      <w:sdtEndPr>
        <w:rPr>
          <w:rFonts w:hint="eastAsia" w:ascii="宋体" w:hAnsi="宋体" w:cs="宋体"/>
          <w:b/>
          <w:bCs/>
          <w:caps/>
          <w:sz w:val="20"/>
        </w:rPr>
      </w:sdtEndPr>
      <w:sdtContent>
        <w:p w14:paraId="43B86BD5">
          <w:pPr>
            <w:jc w:val="center"/>
          </w:pPr>
        </w:p>
        <w:p w14:paraId="150DA7BE">
          <w:pPr>
            <w:pStyle w:val="13"/>
            <w:tabs>
              <w:tab w:val="right" w:leader="dot" w:pos="9525"/>
              <w:tab w:val="clear" w:pos="9515"/>
            </w:tabs>
            <w:ind w:firstLine="431"/>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"_Toc18666" </w:instrText>
          </w:r>
          <w:r>
            <w:fldChar w:fldCharType="separate"/>
          </w:r>
          <w:r>
            <w:rPr>
              <w:rFonts w:hint="eastAsia" w:ascii="宋体" w:hAnsi="宋体"/>
              <w:szCs w:val="36"/>
            </w:rPr>
            <w:t>第一部分    询价邀请</w:t>
          </w:r>
          <w:r>
            <w:tab/>
          </w:r>
          <w:r>
            <w:fldChar w:fldCharType="begin"/>
          </w:r>
          <w:r>
            <w:instrText xml:space="preserve"> PAGEREF _Toc18666 \h </w:instrText>
          </w:r>
          <w:r>
            <w:fldChar w:fldCharType="separate"/>
          </w:r>
          <w:r>
            <w:t>2</w:t>
          </w:r>
          <w:r>
            <w:fldChar w:fldCharType="end"/>
          </w:r>
          <w:r>
            <w:fldChar w:fldCharType="end"/>
          </w:r>
        </w:p>
        <w:p w14:paraId="47E8E3F0">
          <w:pPr>
            <w:pStyle w:val="13"/>
            <w:tabs>
              <w:tab w:val="right" w:leader="dot" w:pos="9525"/>
              <w:tab w:val="clear" w:pos="9515"/>
            </w:tabs>
          </w:pPr>
          <w:r>
            <w:fldChar w:fldCharType="begin"/>
          </w:r>
          <w:r>
            <w:instrText xml:space="preserve"> HYPERLINK \l "_Toc26729" </w:instrText>
          </w:r>
          <w:r>
            <w:fldChar w:fldCharType="separate"/>
          </w:r>
          <w:r>
            <w:rPr>
              <w:rFonts w:hint="eastAsia" w:ascii="宋体" w:hAnsi="宋体"/>
              <w:szCs w:val="24"/>
            </w:rPr>
            <w:t>采购需求：</w:t>
          </w:r>
          <w:r>
            <w:tab/>
          </w:r>
          <w:r>
            <w:fldChar w:fldCharType="begin"/>
          </w:r>
          <w:r>
            <w:instrText xml:space="preserve"> PAGEREF _Toc26729 \h </w:instrText>
          </w:r>
          <w:r>
            <w:fldChar w:fldCharType="separate"/>
          </w:r>
          <w:r>
            <w:t>2</w:t>
          </w:r>
          <w:r>
            <w:fldChar w:fldCharType="end"/>
          </w:r>
          <w:r>
            <w:fldChar w:fldCharType="end"/>
          </w:r>
        </w:p>
        <w:p w14:paraId="4C7D45B4">
          <w:pPr>
            <w:pStyle w:val="13"/>
            <w:tabs>
              <w:tab w:val="right" w:leader="dot" w:pos="9525"/>
              <w:tab w:val="clear" w:pos="9515"/>
            </w:tabs>
          </w:pPr>
          <w:r>
            <w:fldChar w:fldCharType="begin"/>
          </w:r>
          <w:r>
            <w:instrText xml:space="preserve"> HYPERLINK \l "_Toc29353" </w:instrText>
          </w:r>
          <w:r>
            <w:fldChar w:fldCharType="separate"/>
          </w:r>
          <w:r>
            <w:rPr>
              <w:rFonts w:hint="eastAsia" w:ascii="宋体" w:hAnsi="宋体"/>
              <w:szCs w:val="36"/>
            </w:rPr>
            <w:t>第二部分  报价供应商须知</w:t>
          </w:r>
          <w:r>
            <w:tab/>
          </w:r>
          <w:r>
            <w:fldChar w:fldCharType="begin"/>
          </w:r>
          <w:r>
            <w:instrText xml:space="preserve"> PAGEREF _Toc29353 \h </w:instrText>
          </w:r>
          <w:r>
            <w:fldChar w:fldCharType="separate"/>
          </w:r>
          <w:r>
            <w:t>3</w:t>
          </w:r>
          <w:r>
            <w:fldChar w:fldCharType="end"/>
          </w:r>
          <w:r>
            <w:fldChar w:fldCharType="end"/>
          </w:r>
        </w:p>
        <w:p w14:paraId="7CE7EA38">
          <w:pPr>
            <w:pStyle w:val="13"/>
            <w:tabs>
              <w:tab w:val="right" w:leader="dot" w:pos="9525"/>
              <w:tab w:val="clear" w:pos="9515"/>
            </w:tabs>
          </w:pPr>
          <w:r>
            <w:fldChar w:fldCharType="begin"/>
          </w:r>
          <w:r>
            <w:instrText xml:space="preserve"> HYPERLINK \l "_Toc27291" </w:instrText>
          </w:r>
          <w:r>
            <w:fldChar w:fldCharType="separate"/>
          </w:r>
          <w:r>
            <w:rPr>
              <w:rFonts w:hint="eastAsia" w:ascii="宋体" w:hAnsi="宋体"/>
              <w:szCs w:val="36"/>
            </w:rPr>
            <w:t>第三部分  询价内容及要求</w:t>
          </w:r>
          <w:r>
            <w:tab/>
          </w:r>
          <w:r>
            <w:fldChar w:fldCharType="begin"/>
          </w:r>
          <w:r>
            <w:instrText xml:space="preserve"> PAGEREF _Toc27291 \h </w:instrText>
          </w:r>
          <w:r>
            <w:fldChar w:fldCharType="separate"/>
          </w:r>
          <w:r>
            <w:t>5</w:t>
          </w:r>
          <w:r>
            <w:fldChar w:fldCharType="end"/>
          </w:r>
          <w:r>
            <w:fldChar w:fldCharType="end"/>
          </w:r>
        </w:p>
        <w:p w14:paraId="681172C2">
          <w:pPr>
            <w:pStyle w:val="13"/>
            <w:tabs>
              <w:tab w:val="right" w:leader="dot" w:pos="9525"/>
              <w:tab w:val="clear" w:pos="9515"/>
            </w:tabs>
          </w:pPr>
          <w:r>
            <w:fldChar w:fldCharType="begin"/>
          </w:r>
          <w:r>
            <w:instrText xml:space="preserve"> HYPERLINK \l "_Toc3042" </w:instrText>
          </w:r>
          <w:r>
            <w:fldChar w:fldCharType="separate"/>
          </w:r>
          <w:r>
            <w:rPr>
              <w:rFonts w:hint="eastAsia" w:ascii="宋体" w:hAnsi="宋体"/>
              <w:szCs w:val="32"/>
            </w:rPr>
            <w:t>第四部分  报价文件格式</w:t>
          </w:r>
          <w:r>
            <w:tab/>
          </w:r>
          <w:r>
            <w:rPr>
              <w:rFonts w:hint="eastAsia"/>
              <w:lang w:val="en-US" w:eastAsia="zh-CN"/>
            </w:rPr>
            <w:t>1</w:t>
          </w:r>
          <w:r>
            <w:fldChar w:fldCharType="begin"/>
          </w:r>
          <w:r>
            <w:instrText xml:space="preserve"> PAGEREF _Toc3042 \h </w:instrText>
          </w:r>
          <w:r>
            <w:fldChar w:fldCharType="separate"/>
          </w:r>
          <w:r>
            <w:t>8</w:t>
          </w:r>
          <w:r>
            <w:fldChar w:fldCharType="end"/>
          </w:r>
          <w:r>
            <w:fldChar w:fldCharType="end"/>
          </w:r>
        </w:p>
        <w:p w14:paraId="006C659B">
          <w:pPr>
            <w:pStyle w:val="13"/>
            <w:tabs>
              <w:tab w:val="right" w:leader="dot" w:pos="9525"/>
              <w:tab w:val="clear" w:pos="9515"/>
            </w:tabs>
          </w:pPr>
          <w:r>
            <w:fldChar w:fldCharType="begin"/>
          </w:r>
          <w:r>
            <w:instrText xml:space="preserve"> HYPERLINK \l "_Toc25899" </w:instrText>
          </w:r>
          <w:r>
            <w:fldChar w:fldCharType="separate"/>
          </w:r>
          <w:r>
            <w:rPr>
              <w:rFonts w:hint="eastAsia" w:ascii="宋体" w:hAnsi="宋体" w:cs="宋体"/>
              <w:szCs w:val="28"/>
            </w:rPr>
            <w:t>格式1     报   价  书</w:t>
          </w:r>
          <w:r>
            <w:tab/>
          </w:r>
          <w:r>
            <w:rPr>
              <w:rFonts w:hint="eastAsia"/>
              <w:lang w:val="en-US" w:eastAsia="zh-CN"/>
            </w:rPr>
            <w:t>1</w:t>
          </w:r>
          <w:r>
            <w:fldChar w:fldCharType="begin"/>
          </w:r>
          <w:r>
            <w:instrText xml:space="preserve"> PAGEREF _Toc25899 \h </w:instrText>
          </w:r>
          <w:r>
            <w:fldChar w:fldCharType="separate"/>
          </w:r>
          <w:r>
            <w:t>9</w:t>
          </w:r>
          <w:r>
            <w:fldChar w:fldCharType="end"/>
          </w:r>
          <w:r>
            <w:fldChar w:fldCharType="end"/>
          </w:r>
        </w:p>
        <w:p w14:paraId="598298B7">
          <w:pPr>
            <w:pStyle w:val="13"/>
            <w:tabs>
              <w:tab w:val="right" w:leader="dot" w:pos="9525"/>
              <w:tab w:val="clear" w:pos="9515"/>
            </w:tabs>
          </w:pPr>
          <w:r>
            <w:fldChar w:fldCharType="begin"/>
          </w:r>
          <w:r>
            <w:instrText xml:space="preserve"> HYPERLINK \l "_Toc22694" </w:instrText>
          </w:r>
          <w:r>
            <w:fldChar w:fldCharType="separate"/>
          </w:r>
          <w:r>
            <w:rPr>
              <w:rFonts w:hint="eastAsia" w:ascii="宋体" w:hAnsi="宋体" w:cs="宋体"/>
              <w:szCs w:val="28"/>
            </w:rPr>
            <w:t>格式2     报价一览表</w:t>
          </w:r>
          <w:r>
            <w:tab/>
          </w:r>
          <w:r>
            <w:fldChar w:fldCharType="begin"/>
          </w:r>
          <w:r>
            <w:instrText xml:space="preserve"> PAGEREF _Toc22694 \h </w:instrText>
          </w:r>
          <w:r>
            <w:fldChar w:fldCharType="separate"/>
          </w:r>
          <w:r>
            <w:rPr>
              <w:rFonts w:hint="eastAsia"/>
              <w:lang w:val="en-US" w:eastAsia="zh-CN"/>
            </w:rPr>
            <w:t>2</w:t>
          </w:r>
          <w:r>
            <w:t>0</w:t>
          </w:r>
          <w:r>
            <w:fldChar w:fldCharType="end"/>
          </w:r>
          <w:r>
            <w:fldChar w:fldCharType="end"/>
          </w:r>
        </w:p>
        <w:p w14:paraId="0229812C">
          <w:pPr>
            <w:pStyle w:val="13"/>
            <w:tabs>
              <w:tab w:val="right" w:leader="dot" w:pos="9525"/>
              <w:tab w:val="clear" w:pos="9515"/>
            </w:tabs>
          </w:pPr>
          <w:r>
            <w:fldChar w:fldCharType="begin"/>
          </w:r>
          <w:r>
            <w:instrText xml:space="preserve"> HYPERLINK \l "_Toc7202" </w:instrText>
          </w:r>
          <w:r>
            <w:fldChar w:fldCharType="separate"/>
          </w:r>
          <w:r>
            <w:rPr>
              <w:rFonts w:hint="eastAsia" w:hAnsi="宋体"/>
            </w:rPr>
            <w:t xml:space="preserve">格式3   </w:t>
          </w:r>
          <w:r>
            <w:rPr>
              <w:rFonts w:hint="eastAsia" w:ascii="宋体" w:hAnsi="宋体"/>
            </w:rPr>
            <w:t xml:space="preserve">  分项报价明细表</w:t>
          </w:r>
          <w:r>
            <w:tab/>
          </w:r>
          <w:r>
            <w:fldChar w:fldCharType="begin"/>
          </w:r>
          <w:r>
            <w:instrText xml:space="preserve"> PAGEREF _Toc7202 \h </w:instrText>
          </w:r>
          <w:r>
            <w:fldChar w:fldCharType="separate"/>
          </w:r>
          <w:r>
            <w:rPr>
              <w:rFonts w:hint="eastAsia"/>
              <w:lang w:val="en-US" w:eastAsia="zh-CN"/>
            </w:rPr>
            <w:t>2</w:t>
          </w:r>
          <w:r>
            <w:t>1</w:t>
          </w:r>
          <w:r>
            <w:fldChar w:fldCharType="end"/>
          </w:r>
          <w:r>
            <w:fldChar w:fldCharType="end"/>
          </w:r>
        </w:p>
        <w:p w14:paraId="0D4D2804">
          <w:pPr>
            <w:pStyle w:val="13"/>
            <w:tabs>
              <w:tab w:val="right" w:leader="dot" w:pos="9525"/>
              <w:tab w:val="clear" w:pos="9515"/>
            </w:tabs>
          </w:pPr>
          <w:r>
            <w:fldChar w:fldCharType="begin"/>
          </w:r>
          <w:r>
            <w:instrText xml:space="preserve"> HYPERLINK \l "_Toc25622" </w:instrText>
          </w:r>
          <w:r>
            <w:fldChar w:fldCharType="separate"/>
          </w:r>
          <w:r>
            <w:rPr>
              <w:rFonts w:hint="eastAsia" w:ascii="宋体" w:hAnsi="宋体" w:cs="宋体"/>
              <w:szCs w:val="28"/>
            </w:rPr>
            <w:t>格式4     资格声明函</w:t>
          </w:r>
          <w:r>
            <w:tab/>
          </w:r>
          <w:r>
            <w:fldChar w:fldCharType="begin"/>
          </w:r>
          <w:r>
            <w:instrText xml:space="preserve"> PAGEREF _Toc25622 \h </w:instrText>
          </w:r>
          <w:r>
            <w:fldChar w:fldCharType="separate"/>
          </w:r>
          <w:r>
            <w:rPr>
              <w:rFonts w:hint="eastAsia"/>
              <w:lang w:val="en-US" w:eastAsia="zh-CN"/>
            </w:rPr>
            <w:t>2</w:t>
          </w:r>
          <w:r>
            <w:t>2</w:t>
          </w:r>
          <w:r>
            <w:fldChar w:fldCharType="end"/>
          </w:r>
          <w:r>
            <w:fldChar w:fldCharType="end"/>
          </w:r>
        </w:p>
        <w:p w14:paraId="6404C951">
          <w:pPr>
            <w:pStyle w:val="13"/>
            <w:tabs>
              <w:tab w:val="right" w:leader="dot" w:pos="9525"/>
              <w:tab w:val="clear" w:pos="9515"/>
            </w:tabs>
          </w:pPr>
          <w:r>
            <w:fldChar w:fldCharType="begin"/>
          </w:r>
          <w:r>
            <w:instrText xml:space="preserve"> HYPERLINK \l "_Toc20593" </w:instrText>
          </w:r>
          <w:r>
            <w:fldChar w:fldCharType="separate"/>
          </w:r>
          <w:r>
            <w:rPr>
              <w:rFonts w:hint="eastAsia" w:ascii="宋体" w:hAnsi="宋体" w:cs="宋体"/>
              <w:szCs w:val="28"/>
            </w:rPr>
            <w:t>格式5     法定代表人授权书(原件)</w:t>
          </w:r>
          <w:r>
            <w:tab/>
          </w:r>
          <w:r>
            <w:fldChar w:fldCharType="begin"/>
          </w:r>
          <w:r>
            <w:instrText xml:space="preserve"> PAGEREF _Toc20593 \h </w:instrText>
          </w:r>
          <w:r>
            <w:fldChar w:fldCharType="separate"/>
          </w:r>
          <w:r>
            <w:rPr>
              <w:rFonts w:hint="eastAsia"/>
              <w:lang w:val="en-US" w:eastAsia="zh-CN"/>
            </w:rPr>
            <w:t>2</w:t>
          </w:r>
          <w:r>
            <w:t>3</w:t>
          </w:r>
          <w:r>
            <w:fldChar w:fldCharType="end"/>
          </w:r>
          <w:r>
            <w:fldChar w:fldCharType="end"/>
          </w:r>
        </w:p>
        <w:p w14:paraId="26AC0B2C">
          <w:pPr>
            <w:pStyle w:val="13"/>
            <w:tabs>
              <w:tab w:val="right" w:leader="dot" w:pos="9525"/>
              <w:tab w:val="clear" w:pos="9515"/>
            </w:tabs>
          </w:pPr>
          <w:r>
            <w:fldChar w:fldCharType="begin"/>
          </w:r>
          <w:r>
            <w:instrText xml:space="preserve"> HYPERLINK \l "_Toc3179" </w:instrText>
          </w:r>
          <w:r>
            <w:fldChar w:fldCharType="separate"/>
          </w:r>
          <w:r>
            <w:rPr>
              <w:rFonts w:hint="eastAsia" w:ascii="宋体" w:hAnsi="宋体" w:cs="宋体"/>
              <w:szCs w:val="28"/>
            </w:rPr>
            <w:t>格式6     资格声明函</w:t>
          </w:r>
          <w:r>
            <w:tab/>
          </w:r>
          <w:r>
            <w:fldChar w:fldCharType="begin"/>
          </w:r>
          <w:r>
            <w:instrText xml:space="preserve"> PAGEREF _Toc3179 \h </w:instrText>
          </w:r>
          <w:r>
            <w:fldChar w:fldCharType="separate"/>
          </w:r>
          <w:r>
            <w:rPr>
              <w:rFonts w:hint="eastAsia"/>
              <w:lang w:val="en-US" w:eastAsia="zh-CN"/>
            </w:rPr>
            <w:t>2</w:t>
          </w:r>
          <w:r>
            <w:t>4</w:t>
          </w:r>
          <w:r>
            <w:fldChar w:fldCharType="end"/>
          </w:r>
          <w:r>
            <w:fldChar w:fldCharType="end"/>
          </w:r>
        </w:p>
        <w:p w14:paraId="313570F9">
          <w:pPr>
            <w:pStyle w:val="13"/>
            <w:tabs>
              <w:tab w:val="right" w:leader="dot" w:pos="9525"/>
              <w:tab w:val="clear" w:pos="9515"/>
            </w:tabs>
          </w:pPr>
          <w:r>
            <w:fldChar w:fldCharType="begin"/>
          </w:r>
          <w:r>
            <w:instrText xml:space="preserve"> HYPERLINK \l "_Toc11346" </w:instrText>
          </w:r>
          <w:r>
            <w:fldChar w:fldCharType="separate"/>
          </w:r>
          <w:r>
            <w:rPr>
              <w:rFonts w:hint="eastAsia" w:ascii="宋体" w:hAnsi="宋体" w:cs="宋体"/>
              <w:szCs w:val="28"/>
            </w:rPr>
            <w:t>格式7     售后服务承诺</w:t>
          </w:r>
          <w:r>
            <w:tab/>
          </w:r>
          <w:r>
            <w:fldChar w:fldCharType="begin"/>
          </w:r>
          <w:r>
            <w:instrText xml:space="preserve"> PAGEREF _Toc11346 \h </w:instrText>
          </w:r>
          <w:r>
            <w:fldChar w:fldCharType="separate"/>
          </w:r>
          <w:r>
            <w:rPr>
              <w:rFonts w:hint="eastAsia"/>
              <w:lang w:val="en-US" w:eastAsia="zh-CN"/>
            </w:rPr>
            <w:t>2</w:t>
          </w:r>
          <w:r>
            <w:t>5</w:t>
          </w:r>
          <w:r>
            <w:fldChar w:fldCharType="end"/>
          </w:r>
          <w:r>
            <w:fldChar w:fldCharType="end"/>
          </w:r>
        </w:p>
        <w:p w14:paraId="6A3BE010">
          <w:pPr>
            <w:pStyle w:val="13"/>
            <w:spacing w:before="0" w:after="0" w:line="400" w:lineRule="exact"/>
            <w:rPr>
              <w:rFonts w:ascii="宋体" w:hAnsi="宋体" w:cs="宋体"/>
              <w:sz w:val="24"/>
              <w:szCs w:val="24"/>
            </w:rPr>
          </w:pPr>
          <w:r>
            <w:rPr>
              <w:rFonts w:hint="eastAsia" w:ascii="宋体" w:hAnsi="宋体" w:cs="宋体"/>
              <w:szCs w:val="24"/>
            </w:rPr>
            <w:fldChar w:fldCharType="end"/>
          </w:r>
        </w:p>
      </w:sdtContent>
    </w:sdt>
    <w:p w14:paraId="160FBD53">
      <w:pPr>
        <w:spacing w:line="440" w:lineRule="exact"/>
        <w:rPr>
          <w:rFonts w:ascii="宋体" w:hAnsi="宋体" w:cs="宋体"/>
          <w:sz w:val="28"/>
          <w:szCs w:val="28"/>
        </w:rPr>
      </w:pPr>
    </w:p>
    <w:p w14:paraId="74DEE820"/>
    <w:p w14:paraId="267BFEB3"/>
    <w:p w14:paraId="7DE6E23B"/>
    <w:p w14:paraId="1D81DD08"/>
    <w:p w14:paraId="1A094F74"/>
    <w:p w14:paraId="7239DCEB"/>
    <w:p w14:paraId="30DD2406"/>
    <w:p w14:paraId="2EBBCF60"/>
    <w:p w14:paraId="760F5D81">
      <w:pPr>
        <w:pStyle w:val="16"/>
      </w:pPr>
    </w:p>
    <w:p w14:paraId="46831094"/>
    <w:p w14:paraId="2D1FDB34">
      <w:pPr>
        <w:pStyle w:val="16"/>
      </w:pPr>
    </w:p>
    <w:p w14:paraId="3A2920C6"/>
    <w:p w14:paraId="56DB1F53">
      <w:pPr>
        <w:pStyle w:val="24"/>
        <w:rPr>
          <w:color w:val="auto"/>
        </w:rPr>
      </w:pPr>
    </w:p>
    <w:p w14:paraId="2F4D935D">
      <w:pPr>
        <w:pStyle w:val="24"/>
        <w:rPr>
          <w:color w:val="auto"/>
        </w:rPr>
      </w:pPr>
    </w:p>
    <w:p w14:paraId="4E1B12F4">
      <w:pPr>
        <w:pStyle w:val="24"/>
        <w:rPr>
          <w:color w:val="auto"/>
        </w:rPr>
      </w:pPr>
    </w:p>
    <w:p w14:paraId="7FB2EF02">
      <w:pPr>
        <w:pStyle w:val="24"/>
        <w:rPr>
          <w:color w:val="auto"/>
        </w:rPr>
      </w:pPr>
    </w:p>
    <w:p w14:paraId="0E880DCD">
      <w:pPr>
        <w:pStyle w:val="24"/>
        <w:rPr>
          <w:color w:val="auto"/>
        </w:rPr>
      </w:pPr>
    </w:p>
    <w:p w14:paraId="14861E82">
      <w:pPr>
        <w:pStyle w:val="24"/>
        <w:rPr>
          <w:color w:val="auto"/>
        </w:rPr>
      </w:pPr>
    </w:p>
    <w:p w14:paraId="784D1B11">
      <w:pPr>
        <w:pStyle w:val="24"/>
        <w:rPr>
          <w:color w:val="auto"/>
        </w:rPr>
      </w:pPr>
    </w:p>
    <w:p w14:paraId="41146412">
      <w:pPr>
        <w:pStyle w:val="3"/>
        <w:spacing w:before="0" w:after="0" w:line="360" w:lineRule="auto"/>
        <w:jc w:val="center"/>
        <w:rPr>
          <w:rFonts w:ascii="宋体" w:hAnsi="宋体" w:eastAsia="宋体"/>
          <w:sz w:val="36"/>
          <w:szCs w:val="36"/>
        </w:rPr>
      </w:pPr>
      <w:bookmarkStart w:id="0" w:name="_Toc18666"/>
      <w:bookmarkStart w:id="1" w:name="_Toc9763"/>
      <w:bookmarkStart w:id="2" w:name="_Toc10914"/>
      <w:bookmarkStart w:id="3" w:name="_Toc134733479"/>
      <w:bookmarkStart w:id="4" w:name="_Toc26208"/>
      <w:r>
        <w:rPr>
          <w:rFonts w:hint="eastAsia" w:ascii="宋体" w:hAnsi="宋体" w:eastAsia="宋体"/>
          <w:sz w:val="36"/>
          <w:szCs w:val="36"/>
        </w:rPr>
        <w:t>第一部分    询价邀请</w:t>
      </w:r>
      <w:bookmarkEnd w:id="0"/>
      <w:bookmarkEnd w:id="1"/>
      <w:bookmarkEnd w:id="2"/>
      <w:bookmarkEnd w:id="3"/>
      <w:bookmarkEnd w:id="4"/>
    </w:p>
    <w:p w14:paraId="464FDAFC">
      <w:pPr>
        <w:pStyle w:val="16"/>
        <w:spacing w:line="400" w:lineRule="exact"/>
        <w:ind w:firstLine="480" w:firstLineChars="200"/>
        <w:jc w:val="left"/>
        <w:rPr>
          <w:i w:val="0"/>
          <w:iCs w:val="0"/>
          <w:sz w:val="24"/>
          <w:szCs w:val="24"/>
        </w:rPr>
      </w:pPr>
      <w:bookmarkStart w:id="5" w:name="_Toc35068743"/>
      <w:bookmarkStart w:id="6" w:name="_Toc3785637"/>
      <w:bookmarkStart w:id="7" w:name="_Toc3785513"/>
      <w:bookmarkStart w:id="8" w:name="_Toc35222536"/>
      <w:bookmarkStart w:id="9" w:name="_Toc34745149"/>
      <w:bookmarkStart w:id="10" w:name="_Toc108257397"/>
      <w:bookmarkStart w:id="11" w:name="_Toc108257116"/>
      <w:bookmarkStart w:id="12" w:name="_Toc108257590"/>
      <w:bookmarkStart w:id="13" w:name="_Toc53570175"/>
      <w:bookmarkStart w:id="14" w:name="_Toc34789935"/>
      <w:bookmarkStart w:id="15" w:name="_Toc35107772"/>
      <w:bookmarkStart w:id="16" w:name="_Toc35742634"/>
      <w:bookmarkStart w:id="17" w:name="_Toc53335577"/>
      <w:bookmarkStart w:id="18" w:name="_Toc60130052"/>
      <w:bookmarkStart w:id="19" w:name="_Toc34703823"/>
      <w:bookmarkStart w:id="20" w:name="_Toc54513051"/>
      <w:bookmarkStart w:id="21" w:name="_Toc93397582"/>
      <w:bookmarkStart w:id="22" w:name="_Toc3785675"/>
      <w:bookmarkStart w:id="23" w:name="_Toc40761347"/>
      <w:bookmarkStart w:id="24" w:name="_Toc3785461"/>
      <w:bookmarkStart w:id="25" w:name="_Toc87857945"/>
      <w:bookmarkStart w:id="26" w:name="_Toc93397984"/>
      <w:bookmarkStart w:id="27" w:name="_Toc36146204"/>
      <w:bookmarkStart w:id="28" w:name="_Toc34664278"/>
      <w:bookmarkStart w:id="29" w:name="_Toc35599967"/>
      <w:bookmarkStart w:id="30" w:name="_Toc35622007"/>
      <w:bookmarkStart w:id="31" w:name="_Toc35941127"/>
      <w:bookmarkStart w:id="32" w:name="_Toc33775520"/>
      <w:bookmarkStart w:id="33" w:name="_Toc105389203"/>
      <w:bookmarkStart w:id="34" w:name="_Toc98731630"/>
      <w:bookmarkStart w:id="35" w:name="_Toc33953164"/>
      <w:bookmarkStart w:id="36" w:name="_Toc36123671"/>
      <w:bookmarkStart w:id="37" w:name="_Toc108257466"/>
      <w:bookmarkStart w:id="38" w:name="_Toc108260365"/>
      <w:bookmarkStart w:id="39" w:name="_Toc425276503"/>
      <w:bookmarkStart w:id="40" w:name="_Toc35071897"/>
      <w:bookmarkStart w:id="41" w:name="_Toc98672988"/>
      <w:r>
        <w:rPr>
          <w:rFonts w:hint="eastAsia" w:ascii="宋体" w:hAnsi="宋体"/>
          <w:i w:val="0"/>
          <w:iCs w:val="0"/>
          <w:sz w:val="24"/>
          <w:szCs w:val="24"/>
        </w:rPr>
        <w:t xml:space="preserve"> 泉州师范学院继续教育学院以询价的方</w:t>
      </w:r>
      <w:r>
        <w:rPr>
          <w:rFonts w:hint="eastAsia" w:ascii="宋体" w:hAnsi="宋体"/>
          <w:i w:val="0"/>
          <w:iCs w:val="0"/>
          <w:spacing w:val="-6"/>
          <w:sz w:val="24"/>
          <w:szCs w:val="24"/>
        </w:rPr>
        <w:t>式对以下项目进行采购，欢迎合格的受邀供应商参加报价。</w:t>
      </w:r>
    </w:p>
    <w:p w14:paraId="0090C43A">
      <w:pPr>
        <w:spacing w:line="400" w:lineRule="exact"/>
        <w:ind w:firstLine="480" w:firstLineChars="200"/>
        <w:rPr>
          <w:rFonts w:ascii="宋体" w:hAnsi="宋体"/>
          <w:sz w:val="24"/>
        </w:rPr>
      </w:pPr>
      <w:r>
        <w:rPr>
          <w:rFonts w:hint="eastAsia" w:ascii="宋体" w:hAnsi="宋体"/>
          <w:sz w:val="24"/>
        </w:rPr>
        <w:t>一、项目基本情况</w:t>
      </w:r>
    </w:p>
    <w:p w14:paraId="4CC48DE8">
      <w:pPr>
        <w:spacing w:line="400" w:lineRule="exact"/>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sz w:val="24"/>
        </w:rPr>
        <w:t>采购编号</w:t>
      </w:r>
      <w:r>
        <w:rPr>
          <w:rFonts w:hint="eastAsia" w:ascii="宋体" w:hAnsi="宋体"/>
          <w:sz w:val="24"/>
          <w:highlight w:val="none"/>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JXJYXY2026001 </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hint="eastAsia" w:ascii="宋体" w:hAnsi="宋体"/>
          <w:bCs/>
          <w:color w:val="000000" w:themeColor="text1"/>
          <w:sz w:val="24"/>
          <w:szCs w:val="24"/>
          <w:u w:val="single"/>
          <w14:textFill>
            <w14:solidFill>
              <w14:schemeClr w14:val="tx1"/>
            </w14:solidFill>
          </w14:textFill>
        </w:rPr>
        <w:t xml:space="preserve">         </w:t>
      </w:r>
    </w:p>
    <w:p w14:paraId="2B84D6E6">
      <w:pPr>
        <w:spacing w:line="400" w:lineRule="exact"/>
        <w:ind w:firstLine="480"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泉州师范学院继续教育学院2026级成人高等教育教学管理综合平台服务</w:t>
      </w:r>
      <w:r>
        <w:rPr>
          <w:rFonts w:hint="eastAsia" w:ascii="宋体" w:hAnsi="宋体"/>
          <w:color w:val="000000" w:themeColor="text1"/>
          <w:sz w:val="24"/>
          <w:szCs w:val="24"/>
          <w:highlight w:val="none"/>
          <w:u w:val="single"/>
          <w14:textFill>
            <w14:solidFill>
              <w14:schemeClr w14:val="tx1"/>
            </w14:solidFill>
          </w14:textFill>
        </w:rPr>
        <w:t xml:space="preserve"> </w:t>
      </w:r>
    </w:p>
    <w:p w14:paraId="2234FDCA">
      <w:pPr>
        <w:pStyle w:val="24"/>
        <w:ind w:firstLine="480" w:firstLineChars="200"/>
        <w:rPr>
          <w:rFonts w:ascii="宋体" w:hAnsi="宋体" w:eastAsia="宋体" w:cs="Times New Roman"/>
          <w:color w:val="000000" w:themeColor="text1"/>
          <w:kern w:val="2"/>
          <w:sz w:val="24"/>
          <w:szCs w:val="24"/>
          <w:highlight w:val="none"/>
          <w:u w:val="single"/>
          <w14:textFill>
            <w14:solidFill>
              <w14:schemeClr w14:val="tx1"/>
            </w14:solidFill>
          </w14:textFill>
        </w:rPr>
      </w:pPr>
      <w:r>
        <w:rPr>
          <w:rFonts w:hint="eastAsia" w:ascii="宋体" w:hAnsi="宋体" w:eastAsia="宋体" w:cs="Times New Roman"/>
          <w:color w:val="000000" w:themeColor="text1"/>
          <w:kern w:val="2"/>
          <w:sz w:val="24"/>
          <w:szCs w:val="24"/>
          <w14:textFill>
            <w14:solidFill>
              <w14:schemeClr w14:val="tx1"/>
            </w14:solidFill>
          </w14:textFill>
        </w:rPr>
        <w:t>预算金额：</w:t>
      </w:r>
      <w:r>
        <w:rPr>
          <w:rFonts w:hint="eastAsia" w:ascii="宋体" w:hAnsi="宋体" w:eastAsia="宋体" w:cs="Times New Roman"/>
          <w:color w:val="000000" w:themeColor="text1"/>
          <w:kern w:val="2"/>
          <w:sz w:val="24"/>
          <w:szCs w:val="24"/>
          <w:highlight w:val="none"/>
          <w:u w:val="single"/>
          <w14:textFill>
            <w14:solidFill>
              <w14:schemeClr w14:val="tx1"/>
            </w14:solidFill>
          </w14:textFill>
        </w:rPr>
        <w:t xml:space="preserve"> 68</w:t>
      </w:r>
      <w:r>
        <w:rPr>
          <w:rFonts w:hint="eastAsia" w:ascii="宋体" w:hAnsi="宋体" w:eastAsia="宋体" w:cs="Times New Roman"/>
          <w:color w:val="000000" w:themeColor="text1"/>
          <w:kern w:val="2"/>
          <w:sz w:val="24"/>
          <w:szCs w:val="24"/>
          <w:highlight w:val="none"/>
          <w:u w:val="single"/>
          <w:lang w:eastAsia="zh-CN"/>
          <w14:textFill>
            <w14:solidFill>
              <w14:schemeClr w14:val="tx1"/>
            </w14:solidFill>
          </w14:textFill>
        </w:rPr>
        <w:t>，</w:t>
      </w:r>
      <w:r>
        <w:rPr>
          <w:rFonts w:hint="eastAsia" w:ascii="宋体" w:hAnsi="宋体" w:eastAsia="宋体" w:cs="Times New Roman"/>
          <w:color w:val="000000" w:themeColor="text1"/>
          <w:kern w:val="2"/>
          <w:sz w:val="24"/>
          <w:szCs w:val="24"/>
          <w:highlight w:val="none"/>
          <w:u w:val="single"/>
          <w14:textFill>
            <w14:solidFill>
              <w14:schemeClr w14:val="tx1"/>
            </w14:solidFill>
          </w14:textFill>
        </w:rPr>
        <w:t>880.00元（人民币陆万捌仟捌佰捌拾元整）</w:t>
      </w:r>
    </w:p>
    <w:p w14:paraId="65F8E5C1">
      <w:pPr>
        <w:spacing w:after="156" w:afterLines="50" w:line="440" w:lineRule="exact"/>
        <w:ind w:firstLine="480" w:firstLineChars="200"/>
        <w:outlineLvl w:val="0"/>
        <w:rPr>
          <w:rFonts w:ascii="宋体" w:hAnsi="宋体"/>
          <w:color w:val="000000" w:themeColor="text1"/>
          <w:sz w:val="24"/>
          <w:highlight w:val="none"/>
          <w14:textFill>
            <w14:solidFill>
              <w14:schemeClr w14:val="tx1"/>
            </w14:solidFill>
          </w14:textFill>
        </w:rPr>
      </w:pPr>
      <w:bookmarkStart w:id="42" w:name="_Toc26626"/>
      <w:bookmarkStart w:id="43" w:name="_Toc491700004"/>
      <w:bookmarkStart w:id="44" w:name="_Toc26729"/>
      <w:r>
        <w:rPr>
          <w:rFonts w:hint="eastAsia" w:ascii="宋体" w:hAnsi="宋体"/>
          <w:color w:val="000000" w:themeColor="text1"/>
          <w:sz w:val="24"/>
          <w:highlight w:val="none"/>
          <w14:textFill>
            <w14:solidFill>
              <w14:schemeClr w14:val="tx1"/>
            </w14:solidFill>
          </w14:textFill>
        </w:rPr>
        <w:t>采购需求</w:t>
      </w:r>
      <w:bookmarkEnd w:id="42"/>
      <w:bookmarkEnd w:id="43"/>
      <w:r>
        <w:rPr>
          <w:rFonts w:hint="eastAsia" w:ascii="宋体" w:hAnsi="宋体"/>
          <w:color w:val="000000" w:themeColor="text1"/>
          <w:sz w:val="24"/>
          <w:highlight w:val="none"/>
          <w14:textFill>
            <w14:solidFill>
              <w14:schemeClr w14:val="tx1"/>
            </w14:solidFill>
          </w14:textFill>
        </w:rPr>
        <w:t>：</w:t>
      </w:r>
      <w:bookmarkEnd w:id="44"/>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0026DEC4">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2FFDF">
            <w:pPr>
              <w:pStyle w:val="15"/>
              <w:widowControl/>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6ED0EC">
            <w:pPr>
              <w:pStyle w:val="15"/>
              <w:widowControl/>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51CF70">
            <w:pPr>
              <w:pStyle w:val="15"/>
              <w:widowControl/>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58FF67F">
            <w:pPr>
              <w:pStyle w:val="15"/>
              <w:widowControl/>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F034D0">
            <w:pPr>
              <w:pStyle w:val="15"/>
              <w:widowControl/>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询价内容及要求</w:t>
            </w:r>
          </w:p>
        </w:tc>
      </w:tr>
      <w:tr w14:paraId="5ACC6481">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3CB874">
            <w:pPr>
              <w:pStyle w:val="15"/>
              <w:widowControl/>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2A7D1D46">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themeColor="text1"/>
                <w:highlight w:val="none"/>
                <w14:textFill>
                  <w14:solidFill>
                    <w14:schemeClr w14:val="tx1"/>
                  </w14:solidFill>
                </w14:textFill>
              </w:rPr>
            </w:pPr>
            <w:r>
              <w:rPr>
                <w:rFonts w:hint="eastAsia" w:ascii="宋体" w:hAnsi="宋体" w:eastAsia="宋体" w:cs="Arial Black"/>
                <w:i w:val="0"/>
                <w:iCs w:val="0"/>
                <w:color w:val="000000" w:themeColor="text1"/>
                <w:spacing w:val="-6"/>
                <w:kern w:val="2"/>
                <w:sz w:val="24"/>
                <w:szCs w:val="24"/>
                <w:highlight w:val="none"/>
                <w:lang w:val="en-US" w:eastAsia="zh-CN" w:bidi="ar-SA"/>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 xml:space="preserve"> 泉州师范学院继续教育学院2026级成人高等教育教学管理综合平台服务</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D8D448">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45549D6E">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68880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5A28658B">
            <w:pPr>
              <w:pStyle w:val="15"/>
              <w:widowControl/>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详见询价文件  第三部分要求</w:t>
            </w:r>
          </w:p>
        </w:tc>
      </w:tr>
    </w:tbl>
    <w:p w14:paraId="6E388EFD">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0AD26FDB">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4619E66C">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6AA98A1C">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05243BF4">
      <w:pPr>
        <w:spacing w:line="400" w:lineRule="exact"/>
        <w:ind w:firstLine="480" w:firstLineChars="200"/>
        <w:rPr>
          <w:rFonts w:ascii="Segoe UI" w:hAnsi="Segoe UI" w:cs="Segoe UI"/>
          <w:color w:val="000000" w:themeColor="text1"/>
          <w:szCs w:val="21"/>
          <w:highlight w:val="none"/>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三、提交报价响应文件截止</w:t>
      </w:r>
      <w:r>
        <w:rPr>
          <w:rFonts w:hint="eastAsia" w:ascii="宋体" w:hAnsi="宋体"/>
          <w:color w:val="000000" w:themeColor="text1"/>
          <w:sz w:val="24"/>
          <w:highlight w:val="none"/>
          <w14:textFill>
            <w14:solidFill>
              <w14:schemeClr w14:val="tx1"/>
            </w14:solidFill>
          </w14:textFill>
        </w:rPr>
        <w:t>时间</w:t>
      </w:r>
      <w:r>
        <w:rPr>
          <w:rFonts w:hint="eastAsia"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21</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时</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北京时间)。（从询价公告发布之日起至供应商提交响应文件截止之日止不得少于3个工作日）。</w:t>
      </w:r>
    </w:p>
    <w:p w14:paraId="5A1CA2B5">
      <w:pPr>
        <w:widowControl/>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四、询价时间：</w:t>
      </w:r>
      <w:r>
        <w:rPr>
          <w:rFonts w:hint="eastAsia" w:ascii="宋体" w:hAnsi="宋体"/>
          <w:color w:val="000000" w:themeColor="text1"/>
          <w:sz w:val="24"/>
          <w:highlight w:val="none"/>
          <w:u w:val="single"/>
          <w14:textFill>
            <w14:solidFill>
              <w14:schemeClr w14:val="tx1"/>
            </w14:solidFill>
          </w14:textFill>
        </w:rPr>
        <w:t xml:space="preserve"> 202</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21</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时</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北京时间)</w:t>
      </w:r>
    </w:p>
    <w:p w14:paraId="179AD3E5">
      <w:pPr>
        <w:widowControl/>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五、报价响应文件递交及询价地点：</w:t>
      </w:r>
      <w:r>
        <w:rPr>
          <w:rFonts w:ascii="宋体" w:hAnsi="宋体" w:cs="宋体"/>
          <w:color w:val="000000" w:themeColor="text1"/>
          <w:sz w:val="24"/>
          <w14:textFill>
            <w14:solidFill>
              <w14:schemeClr w14:val="tx1"/>
            </w14:solidFill>
          </w14:textFill>
        </w:rPr>
        <w:t>泉州市丰泽区东海大街398号</w:t>
      </w:r>
      <w:r>
        <w:rPr>
          <w:rFonts w:hint="eastAsia" w:ascii="宋体" w:hAnsi="宋体" w:cs="宋体"/>
          <w:color w:val="000000" w:themeColor="text1"/>
          <w:sz w:val="24"/>
          <w14:textFill>
            <w14:solidFill>
              <w14:schemeClr w14:val="tx1"/>
            </w14:solidFill>
          </w14:textFill>
        </w:rPr>
        <w:t>泉州师范学院文科楼A32</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办公室。</w:t>
      </w:r>
    </w:p>
    <w:p w14:paraId="29BFBF60">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olor w:val="000000" w:themeColor="text1"/>
          <w:sz w:val="24"/>
          <w14:textFill>
            <w14:solidFill>
              <w14:schemeClr w14:val="tx1"/>
            </w14:solidFill>
          </w14:textFill>
        </w:rPr>
        <w:t>凡对本次招标有疑义的，请以信函、电话或来人与我校联系，联系人：</w:t>
      </w:r>
      <w:r>
        <w:rPr>
          <w:rFonts w:hint="eastAsia" w:ascii="宋体" w:hAnsi="宋体"/>
          <w:color w:val="000000" w:themeColor="text1"/>
          <w:sz w:val="24"/>
          <w:lang w:eastAsia="zh-CN"/>
          <w14:textFill>
            <w14:solidFill>
              <w14:schemeClr w14:val="tx1"/>
            </w14:solidFill>
          </w14:textFill>
        </w:rPr>
        <w:t>王</w:t>
      </w:r>
      <w:r>
        <w:rPr>
          <w:rFonts w:hint="eastAsia" w:ascii="宋体" w:hAnsi="宋体"/>
          <w:color w:val="000000" w:themeColor="text1"/>
          <w:sz w:val="24"/>
          <w14:textFill>
            <w14:solidFill>
              <w14:schemeClr w14:val="tx1"/>
            </w14:solidFill>
          </w14:textFill>
        </w:rPr>
        <w:t>老师，联系电话：</w:t>
      </w:r>
      <w:r>
        <w:rPr>
          <w:rFonts w:hint="eastAsia" w:ascii="宋体" w:hAnsi="宋体"/>
          <w:color w:val="000000" w:themeColor="text1"/>
          <w:sz w:val="24"/>
          <w:lang w:val="en-US" w:eastAsia="zh-CN"/>
          <w14:textFill>
            <w14:solidFill>
              <w14:schemeClr w14:val="tx1"/>
            </w14:solidFill>
          </w14:textFill>
        </w:rPr>
        <w:t>0595-22781905</w:t>
      </w:r>
      <w:r>
        <w:rPr>
          <w:rFonts w:hint="eastAsia" w:ascii="宋体" w:hAnsi="宋体" w:cs="宋体"/>
          <w:color w:val="000000" w:themeColor="text1"/>
          <w:sz w:val="24"/>
          <w:lang w:val="zh-CN"/>
          <w14:textFill>
            <w14:solidFill>
              <w14:schemeClr w14:val="tx1"/>
            </w14:solidFill>
          </w14:textFill>
        </w:rPr>
        <w:t>。</w:t>
      </w:r>
    </w:p>
    <w:p w14:paraId="3C1D8EC8">
      <w:pPr>
        <w:pStyle w:val="18"/>
        <w:spacing w:after="0" w:line="400" w:lineRule="exact"/>
        <w:ind w:firstLine="480" w:firstLineChars="200"/>
        <w:rPr>
          <w:rFonts w:ascii="宋体" w:hAnsi="宋体" w:cs="宋体"/>
          <w:b/>
          <w:bCs/>
          <w:kern w:val="0"/>
          <w:sz w:val="24"/>
          <w:shd w:val="clear" w:color="auto" w:fill="FFFFFF"/>
        </w:rPr>
      </w:pPr>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lang w:val="zh-CN"/>
          <w14:textFill>
            <w14:solidFill>
              <w14:schemeClr w14:val="tx1"/>
            </w14:solidFill>
          </w14:textFill>
        </w:rPr>
        <w:t xml:space="preserve">参照《中华人民共和国政府采购法》第五十二条规定，供应商认为询价文件、采购过程和中标、成交结果使自己的权益受到损害的，可以在知道或者应知其权益受到损害之日起七个工作日内，以书面形式向采购人提出质疑。   </w:t>
      </w:r>
      <w:r>
        <w:rPr>
          <w:rFonts w:hint="eastAsia" w:ascii="宋体" w:hAnsi="宋体" w:cs="宋体"/>
          <w:b/>
          <w:bCs/>
          <w:kern w:val="0"/>
          <w:sz w:val="24"/>
          <w:shd w:val="clear" w:color="auto" w:fill="FFFFFF"/>
        </w:rPr>
        <w:t xml:space="preserve">                          </w:t>
      </w:r>
    </w:p>
    <w:p w14:paraId="54FB5E61">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14:paraId="4A609344">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5" w:name="_Toc29353"/>
      <w:bookmarkStart w:id="46" w:name="_Toc4126"/>
      <w:r>
        <w:rPr>
          <w:rFonts w:hint="eastAsia" w:ascii="宋体" w:hAnsi="宋体"/>
          <w:b/>
          <w:sz w:val="36"/>
          <w:szCs w:val="36"/>
        </w:rPr>
        <w:t>第二部分  报价供应商须知</w:t>
      </w:r>
      <w:bookmarkEnd w:id="45"/>
      <w:bookmarkEnd w:id="46"/>
    </w:p>
    <w:p w14:paraId="75FE8459">
      <w:pPr>
        <w:pStyle w:val="16"/>
        <w:rPr>
          <w:i w:val="0"/>
          <w:iCs w:val="0"/>
        </w:rPr>
      </w:pPr>
      <w:r>
        <w:rPr>
          <w:rFonts w:hint="eastAsia" w:ascii="宋体" w:hAnsi="宋体"/>
          <w:b/>
          <w:i w:val="0"/>
          <w:iCs w:val="0"/>
          <w:sz w:val="24"/>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240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02832B5">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612E24A4">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761E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419781B0">
            <w:pPr>
              <w:spacing w:line="440" w:lineRule="exact"/>
              <w:jc w:val="center"/>
              <w:rPr>
                <w:rFonts w:ascii="宋体" w:hAnsi="宋体"/>
                <w:b/>
                <w:sz w:val="24"/>
              </w:rPr>
            </w:pPr>
            <w:r>
              <w:rPr>
                <w:rFonts w:hint="eastAsia" w:ascii="宋体" w:hAnsi="宋体"/>
                <w:b/>
                <w:sz w:val="24"/>
              </w:rPr>
              <w:t>1</w:t>
            </w:r>
          </w:p>
        </w:tc>
        <w:tc>
          <w:tcPr>
            <w:tcW w:w="8951" w:type="dxa"/>
            <w:vAlign w:val="center"/>
          </w:tcPr>
          <w:p w14:paraId="6C571068">
            <w:pPr>
              <w:pStyle w:val="18"/>
              <w:spacing w:after="0" w:line="440" w:lineRule="exact"/>
              <w:ind w:firstLine="0" w:firstLineChars="0"/>
              <w:rPr>
                <w:rFonts w:ascii="宋体" w:hAnsi="宋体" w:cs="宋体"/>
                <w:sz w:val="24"/>
              </w:rPr>
            </w:pPr>
            <w:r>
              <w:rPr>
                <w:rFonts w:hint="eastAsia" w:ascii="宋体" w:hAnsi="宋体" w:cs="宋体"/>
                <w:sz w:val="24"/>
              </w:rPr>
              <w:t>采购人：泉州师范学院继续教育学院</w:t>
            </w:r>
          </w:p>
          <w:p w14:paraId="631D4CF5">
            <w:pPr>
              <w:pStyle w:val="18"/>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1715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7F5D641E">
            <w:pPr>
              <w:spacing w:line="440" w:lineRule="exact"/>
              <w:jc w:val="center"/>
              <w:rPr>
                <w:rFonts w:ascii="宋体" w:hAnsi="宋体"/>
                <w:b/>
                <w:sz w:val="24"/>
              </w:rPr>
            </w:pPr>
            <w:r>
              <w:rPr>
                <w:rFonts w:hint="eastAsia" w:ascii="宋体" w:hAnsi="宋体"/>
                <w:b/>
                <w:sz w:val="24"/>
              </w:rPr>
              <w:t>2</w:t>
            </w:r>
          </w:p>
        </w:tc>
        <w:tc>
          <w:tcPr>
            <w:tcW w:w="8951" w:type="dxa"/>
            <w:vAlign w:val="center"/>
          </w:tcPr>
          <w:p w14:paraId="3CD6DFB0">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1A504878">
            <w:pPr>
              <w:pStyle w:val="18"/>
              <w:spacing w:after="0" w:line="360" w:lineRule="auto"/>
              <w:ind w:firstLine="0" w:firstLineChars="0"/>
              <w:rPr>
                <w:rFonts w:ascii="宋体" w:hAnsi="宋体"/>
                <w:sz w:val="24"/>
              </w:rPr>
            </w:pPr>
            <w:r>
              <w:rPr>
                <w:rFonts w:hint="eastAsia" w:ascii="宋体" w:hAnsi="宋体"/>
                <w:sz w:val="24"/>
              </w:rPr>
              <w:t>1、合格有效的营业执照副本复印件；</w:t>
            </w:r>
          </w:p>
          <w:p w14:paraId="14F8DBCB">
            <w:pPr>
              <w:pStyle w:val="18"/>
              <w:spacing w:after="0" w:line="360" w:lineRule="auto"/>
              <w:ind w:firstLine="0" w:firstLineChars="0"/>
              <w:rPr>
                <w:rFonts w:ascii="宋体" w:hAnsi="宋体"/>
                <w:sz w:val="24"/>
              </w:rPr>
            </w:pPr>
            <w:r>
              <w:rPr>
                <w:rFonts w:hint="eastAsia" w:ascii="宋体" w:hAnsi="宋体"/>
                <w:sz w:val="24"/>
              </w:rPr>
              <w:t>2、法定代表人对投标代表的授权委托书（原件）；</w:t>
            </w:r>
          </w:p>
          <w:p w14:paraId="2A14B711">
            <w:pPr>
              <w:pStyle w:val="18"/>
              <w:spacing w:after="0" w:line="360" w:lineRule="auto"/>
              <w:ind w:firstLine="0" w:firstLineChars="0"/>
              <w:rPr>
                <w:rFonts w:ascii="宋体" w:hAnsi="宋体"/>
                <w:sz w:val="24"/>
              </w:rPr>
            </w:pPr>
            <w:r>
              <w:rPr>
                <w:rFonts w:hint="eastAsia" w:ascii="宋体" w:hAnsi="宋体"/>
                <w:sz w:val="24"/>
              </w:rPr>
              <w:t>3、法定代表人身份证正反面有效复印件；</w:t>
            </w:r>
          </w:p>
          <w:p w14:paraId="77BFC31E">
            <w:pPr>
              <w:pStyle w:val="18"/>
              <w:spacing w:after="0" w:line="360" w:lineRule="auto"/>
              <w:ind w:firstLine="0" w:firstLineChars="0"/>
              <w:rPr>
                <w:rFonts w:ascii="宋体" w:hAnsi="宋体"/>
                <w:sz w:val="24"/>
              </w:rPr>
            </w:pPr>
            <w:r>
              <w:rPr>
                <w:rFonts w:hint="eastAsia" w:ascii="宋体" w:hAnsi="宋体"/>
                <w:sz w:val="24"/>
              </w:rPr>
              <w:t>4、投标代表身份证正反面有效复印件；</w:t>
            </w:r>
          </w:p>
          <w:p w14:paraId="12AD3BBB">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1AD922B8">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0CC0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39A5CA0">
            <w:pPr>
              <w:spacing w:line="440" w:lineRule="exact"/>
              <w:jc w:val="center"/>
              <w:rPr>
                <w:rFonts w:ascii="宋体" w:hAnsi="宋体"/>
                <w:b/>
                <w:sz w:val="24"/>
              </w:rPr>
            </w:pPr>
            <w:r>
              <w:rPr>
                <w:rFonts w:hint="eastAsia" w:ascii="宋体" w:hAnsi="宋体"/>
                <w:b/>
                <w:sz w:val="24"/>
              </w:rPr>
              <w:t>3</w:t>
            </w:r>
          </w:p>
        </w:tc>
        <w:tc>
          <w:tcPr>
            <w:tcW w:w="8951" w:type="dxa"/>
            <w:vAlign w:val="center"/>
          </w:tcPr>
          <w:p w14:paraId="43E03E3E">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4E11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4159D52">
            <w:pPr>
              <w:spacing w:line="440" w:lineRule="exact"/>
              <w:jc w:val="center"/>
              <w:rPr>
                <w:rFonts w:ascii="宋体" w:hAnsi="宋体"/>
                <w:b/>
                <w:sz w:val="24"/>
              </w:rPr>
            </w:pPr>
            <w:r>
              <w:rPr>
                <w:rFonts w:hint="eastAsia" w:ascii="宋体" w:hAnsi="宋体"/>
                <w:b/>
                <w:sz w:val="24"/>
              </w:rPr>
              <w:t>4</w:t>
            </w:r>
          </w:p>
        </w:tc>
        <w:tc>
          <w:tcPr>
            <w:tcW w:w="8951" w:type="dxa"/>
            <w:vAlign w:val="center"/>
          </w:tcPr>
          <w:p w14:paraId="5C413EC2">
            <w:pPr>
              <w:spacing w:line="440" w:lineRule="exact"/>
              <w:rPr>
                <w:rFonts w:ascii="宋体" w:hAnsi="宋体"/>
                <w:sz w:val="24"/>
              </w:rPr>
            </w:pPr>
            <w:r>
              <w:rPr>
                <w:rFonts w:hint="eastAsia" w:ascii="宋体" w:hAnsi="宋体"/>
                <w:b/>
                <w:bCs/>
                <w:sz w:val="24"/>
              </w:rPr>
              <w:t>履约保证金：成交供应商在签订合同前应向采购人缴纳合同金额约2%的履约保证金，该保证金在成交供应商供应的货物全部验收合格、合同约定事项全部履行完毕且无未了事项后，30日内一次性无息退还。履约保证金以银行转账形式向采购人缴交。</w:t>
            </w:r>
          </w:p>
        </w:tc>
      </w:tr>
      <w:tr w14:paraId="6B2A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2A28DD4">
            <w:pPr>
              <w:spacing w:line="440" w:lineRule="exact"/>
              <w:jc w:val="center"/>
              <w:rPr>
                <w:rFonts w:ascii="宋体" w:hAnsi="宋体"/>
                <w:b/>
                <w:sz w:val="24"/>
              </w:rPr>
            </w:pPr>
            <w:r>
              <w:rPr>
                <w:rFonts w:hint="eastAsia" w:ascii="宋体" w:hAnsi="宋体"/>
                <w:b/>
                <w:sz w:val="24"/>
              </w:rPr>
              <w:t>5</w:t>
            </w:r>
          </w:p>
        </w:tc>
        <w:tc>
          <w:tcPr>
            <w:tcW w:w="8951" w:type="dxa"/>
            <w:vAlign w:val="center"/>
          </w:tcPr>
          <w:p w14:paraId="0127B3D1">
            <w:pPr>
              <w:spacing w:line="440" w:lineRule="exact"/>
              <w:rPr>
                <w:rFonts w:ascii="宋体" w:hAnsi="宋体"/>
                <w:sz w:val="24"/>
              </w:rPr>
            </w:pPr>
            <w:r>
              <w:rPr>
                <w:rFonts w:hint="eastAsia" w:ascii="宋体" w:hAnsi="宋体"/>
                <w:sz w:val="24"/>
              </w:rPr>
              <w:t>报价有效期：报价文件自评审之日起，报价有效期为90天。</w:t>
            </w:r>
          </w:p>
        </w:tc>
      </w:tr>
      <w:tr w14:paraId="181A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991C16A">
            <w:pPr>
              <w:spacing w:line="440" w:lineRule="exact"/>
              <w:jc w:val="center"/>
              <w:rPr>
                <w:rFonts w:ascii="宋体" w:hAnsi="宋体"/>
                <w:b/>
                <w:sz w:val="24"/>
              </w:rPr>
            </w:pPr>
            <w:r>
              <w:rPr>
                <w:rFonts w:hint="eastAsia" w:ascii="宋体" w:hAnsi="宋体"/>
                <w:b/>
                <w:sz w:val="24"/>
              </w:rPr>
              <w:t>6</w:t>
            </w:r>
          </w:p>
        </w:tc>
        <w:tc>
          <w:tcPr>
            <w:tcW w:w="8951" w:type="dxa"/>
            <w:vAlign w:val="center"/>
          </w:tcPr>
          <w:p w14:paraId="77B5E4E2">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329F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1D59BEA">
            <w:pPr>
              <w:spacing w:line="440" w:lineRule="exact"/>
              <w:jc w:val="center"/>
              <w:rPr>
                <w:rFonts w:ascii="宋体" w:hAnsi="宋体"/>
                <w:b/>
                <w:sz w:val="24"/>
              </w:rPr>
            </w:pPr>
            <w:r>
              <w:rPr>
                <w:rFonts w:hint="eastAsia" w:ascii="宋体" w:hAnsi="宋体"/>
                <w:b/>
                <w:sz w:val="24"/>
              </w:rPr>
              <w:t>7</w:t>
            </w:r>
          </w:p>
        </w:tc>
        <w:tc>
          <w:tcPr>
            <w:tcW w:w="8951" w:type="dxa"/>
            <w:vAlign w:val="center"/>
          </w:tcPr>
          <w:p w14:paraId="0ACB4191">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259E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1D55C7FE">
            <w:pPr>
              <w:spacing w:line="440" w:lineRule="exact"/>
              <w:jc w:val="center"/>
              <w:rPr>
                <w:rFonts w:ascii="宋体" w:hAnsi="宋体"/>
                <w:b/>
                <w:sz w:val="24"/>
              </w:rPr>
            </w:pPr>
            <w:r>
              <w:rPr>
                <w:rFonts w:hint="eastAsia" w:ascii="宋体" w:hAnsi="宋体"/>
                <w:b/>
                <w:sz w:val="24"/>
              </w:rPr>
              <w:t>8</w:t>
            </w:r>
          </w:p>
        </w:tc>
        <w:tc>
          <w:tcPr>
            <w:tcW w:w="8951" w:type="dxa"/>
            <w:vAlign w:val="center"/>
          </w:tcPr>
          <w:p w14:paraId="7EE629B8">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5EDB7EDD">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6813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7C80E16">
            <w:pPr>
              <w:spacing w:line="440" w:lineRule="exact"/>
              <w:jc w:val="center"/>
              <w:rPr>
                <w:rFonts w:ascii="宋体" w:hAnsi="宋体"/>
                <w:b/>
                <w:sz w:val="24"/>
              </w:rPr>
            </w:pPr>
            <w:r>
              <w:rPr>
                <w:rFonts w:hint="eastAsia" w:ascii="宋体" w:hAnsi="宋体"/>
                <w:b/>
                <w:sz w:val="24"/>
              </w:rPr>
              <w:t>9</w:t>
            </w:r>
          </w:p>
        </w:tc>
        <w:tc>
          <w:tcPr>
            <w:tcW w:w="8951" w:type="dxa"/>
            <w:vAlign w:val="center"/>
          </w:tcPr>
          <w:p w14:paraId="30D14A12">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w:t>
            </w:r>
            <w:r>
              <w:rPr>
                <w:rFonts w:hint="eastAsia" w:ascii="宋体" w:hAnsi="宋体"/>
                <w:bCs/>
                <w:color w:val="000000" w:themeColor="text1"/>
                <w:sz w:val="24"/>
                <w:lang w:eastAsia="zh-CN"/>
                <w14:textFill>
                  <w14:solidFill>
                    <w14:schemeClr w14:val="tx1"/>
                  </w14:solidFill>
                </w14:textFill>
              </w:rPr>
              <w:t>两</w:t>
            </w:r>
            <w:r>
              <w:rPr>
                <w:rFonts w:ascii="宋体" w:hAnsi="宋体"/>
                <w:bCs/>
                <w:color w:val="000000" w:themeColor="text1"/>
                <w:sz w:val="24"/>
                <w14:textFill>
                  <w14:solidFill>
                    <w14:schemeClr w14:val="tx1"/>
                  </w14:solidFill>
                </w14:textFill>
              </w:rPr>
              <w:t>个或</w:t>
            </w:r>
            <w:r>
              <w:rPr>
                <w:rFonts w:hint="eastAsia" w:ascii="宋体" w:hAnsi="宋体"/>
                <w:bCs/>
                <w:color w:val="000000" w:themeColor="text1"/>
                <w:sz w:val="24"/>
                <w:lang w:eastAsia="zh-CN"/>
                <w14:textFill>
                  <w14:solidFill>
                    <w14:schemeClr w14:val="tx1"/>
                  </w14:solidFill>
                </w14:textFill>
              </w:rPr>
              <w:t>两</w:t>
            </w:r>
            <w:r>
              <w:rPr>
                <w:rFonts w:ascii="宋体" w:hAnsi="宋体"/>
                <w:bCs/>
                <w:color w:val="000000" w:themeColor="text1"/>
                <w:sz w:val="24"/>
                <w14:textFill>
                  <w14:solidFill>
                    <w14:schemeClr w14:val="tx1"/>
                  </w14:solidFill>
                </w14:textFill>
              </w:rPr>
              <w:t>个</w:t>
            </w:r>
            <w:r>
              <w:rPr>
                <w:rFonts w:ascii="宋体" w:hAnsi="宋体"/>
                <w:bCs/>
                <w:sz w:val="24"/>
              </w:rPr>
              <w:t>以上相同报价，则抽签产生第一</w:t>
            </w:r>
            <w:r>
              <w:rPr>
                <w:rFonts w:hint="eastAsia" w:ascii="宋体" w:hAnsi="宋体"/>
                <w:bCs/>
                <w:sz w:val="24"/>
              </w:rPr>
              <w:t>成交</w:t>
            </w:r>
            <w:r>
              <w:rPr>
                <w:rFonts w:ascii="宋体" w:hAnsi="宋体"/>
                <w:bCs/>
                <w:sz w:val="24"/>
              </w:rPr>
              <w:t>候选供应商。</w:t>
            </w:r>
          </w:p>
        </w:tc>
      </w:tr>
      <w:tr w14:paraId="72B8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8765F57">
            <w:pPr>
              <w:spacing w:line="440" w:lineRule="exact"/>
              <w:jc w:val="center"/>
              <w:rPr>
                <w:rFonts w:ascii="宋体" w:hAnsi="宋体"/>
                <w:b/>
                <w:sz w:val="24"/>
              </w:rPr>
            </w:pPr>
            <w:r>
              <w:rPr>
                <w:rFonts w:hint="eastAsia" w:ascii="宋体" w:hAnsi="宋体"/>
                <w:b/>
                <w:sz w:val="24"/>
              </w:rPr>
              <w:t>10</w:t>
            </w:r>
          </w:p>
        </w:tc>
        <w:tc>
          <w:tcPr>
            <w:tcW w:w="8951" w:type="dxa"/>
            <w:vAlign w:val="center"/>
          </w:tcPr>
          <w:p w14:paraId="0034554A">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2BDB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2AC6D6C">
            <w:pPr>
              <w:spacing w:line="440" w:lineRule="exact"/>
              <w:jc w:val="center"/>
              <w:rPr>
                <w:rFonts w:ascii="宋体" w:hAnsi="宋体"/>
                <w:b/>
                <w:sz w:val="24"/>
              </w:rPr>
            </w:pPr>
            <w:r>
              <w:rPr>
                <w:rFonts w:hint="eastAsia" w:ascii="宋体" w:hAnsi="宋体"/>
                <w:b/>
                <w:sz w:val="24"/>
              </w:rPr>
              <w:t>11</w:t>
            </w:r>
          </w:p>
        </w:tc>
        <w:tc>
          <w:tcPr>
            <w:tcW w:w="8951" w:type="dxa"/>
            <w:vAlign w:val="center"/>
          </w:tcPr>
          <w:p w14:paraId="1BEE9BC8">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日内与采购人签订合同，逾期视为自动放弃中标资格，并将追究相关责任逾期按投标后撤回成交处理。</w:t>
            </w:r>
          </w:p>
        </w:tc>
      </w:tr>
      <w:tr w14:paraId="7EFE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DEC15FB">
            <w:pPr>
              <w:spacing w:line="440" w:lineRule="exact"/>
              <w:jc w:val="center"/>
              <w:rPr>
                <w:rFonts w:ascii="宋体" w:hAnsi="宋体"/>
                <w:b/>
                <w:sz w:val="24"/>
              </w:rPr>
            </w:pPr>
            <w:r>
              <w:rPr>
                <w:rFonts w:hint="eastAsia" w:ascii="宋体" w:hAnsi="宋体"/>
                <w:b/>
                <w:sz w:val="24"/>
              </w:rPr>
              <w:t>12</w:t>
            </w:r>
          </w:p>
        </w:tc>
        <w:tc>
          <w:tcPr>
            <w:tcW w:w="8951" w:type="dxa"/>
            <w:vAlign w:val="center"/>
          </w:tcPr>
          <w:p w14:paraId="3513ECF1">
            <w:pPr>
              <w:spacing w:line="440" w:lineRule="exact"/>
              <w:rPr>
                <w:rFonts w:ascii="宋体" w:hAnsi="宋体"/>
                <w:b/>
                <w:sz w:val="24"/>
              </w:rPr>
            </w:pPr>
            <w:r>
              <w:rPr>
                <w:rFonts w:hint="eastAsia" w:ascii="宋体" w:hAnsi="宋体"/>
                <w:b/>
                <w:bCs/>
                <w:sz w:val="24"/>
              </w:rPr>
              <w:t>出现下列情形之一的，本次询价采购应予废标：</w:t>
            </w:r>
          </w:p>
          <w:p w14:paraId="58759A36">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32AA0074">
            <w:pPr>
              <w:spacing w:line="440" w:lineRule="exact"/>
              <w:rPr>
                <w:rFonts w:ascii="宋体" w:hAnsi="宋体"/>
                <w:sz w:val="24"/>
              </w:rPr>
            </w:pPr>
            <w:r>
              <w:rPr>
                <w:rFonts w:hint="eastAsia" w:ascii="宋体" w:hAnsi="宋体"/>
                <w:bCs/>
                <w:sz w:val="24"/>
              </w:rPr>
              <w:t>2.出现影响采购公正的违法、违规行为的；</w:t>
            </w:r>
          </w:p>
          <w:p w14:paraId="3EE03F21">
            <w:pPr>
              <w:spacing w:line="440" w:lineRule="exact"/>
              <w:rPr>
                <w:rFonts w:ascii="宋体" w:hAnsi="宋体"/>
                <w:sz w:val="24"/>
              </w:rPr>
            </w:pPr>
            <w:r>
              <w:rPr>
                <w:rFonts w:hint="eastAsia" w:ascii="宋体" w:hAnsi="宋体"/>
                <w:bCs/>
                <w:sz w:val="24"/>
              </w:rPr>
              <w:t>3.报价供应商的报价均超过了采购预算，采购人不能支付的；</w:t>
            </w:r>
          </w:p>
          <w:p w14:paraId="3BE2986D">
            <w:pPr>
              <w:spacing w:line="440" w:lineRule="exact"/>
              <w:rPr>
                <w:rFonts w:ascii="宋体" w:hAnsi="宋体"/>
                <w:bCs/>
                <w:sz w:val="24"/>
              </w:rPr>
            </w:pPr>
            <w:r>
              <w:rPr>
                <w:rFonts w:hint="eastAsia" w:ascii="宋体" w:hAnsi="宋体"/>
                <w:bCs/>
                <w:sz w:val="24"/>
              </w:rPr>
              <w:t>4.因重大变故，采购任务取消的。</w:t>
            </w:r>
          </w:p>
        </w:tc>
      </w:tr>
      <w:tr w14:paraId="2A44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DD0A804">
            <w:pPr>
              <w:spacing w:line="440" w:lineRule="exact"/>
              <w:jc w:val="center"/>
              <w:rPr>
                <w:b/>
                <w:sz w:val="24"/>
              </w:rPr>
            </w:pPr>
            <w:r>
              <w:rPr>
                <w:rFonts w:hint="eastAsia"/>
                <w:b/>
                <w:sz w:val="24"/>
              </w:rPr>
              <w:t>13</w:t>
            </w:r>
          </w:p>
        </w:tc>
        <w:tc>
          <w:tcPr>
            <w:tcW w:w="8951" w:type="dxa"/>
            <w:vAlign w:val="center"/>
          </w:tcPr>
          <w:p w14:paraId="48CA9943">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1F668A44">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3BD30DE6">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2AC8F710">
            <w:pPr>
              <w:spacing w:line="440" w:lineRule="exact"/>
              <w:rPr>
                <w:rFonts w:ascii="宋体" w:hAnsi="宋体"/>
                <w:bCs/>
                <w:sz w:val="24"/>
              </w:rPr>
            </w:pPr>
            <w:r>
              <w:rPr>
                <w:rFonts w:hint="eastAsia" w:ascii="宋体" w:hAnsi="宋体"/>
                <w:bCs/>
                <w:sz w:val="24"/>
              </w:rPr>
              <w:t>3.报价超过最高限价的；</w:t>
            </w:r>
          </w:p>
          <w:p w14:paraId="7ABAF7BA">
            <w:pPr>
              <w:spacing w:line="440" w:lineRule="exact"/>
              <w:rPr>
                <w:rFonts w:ascii="宋体" w:hAnsi="宋体"/>
                <w:bCs/>
                <w:sz w:val="24"/>
              </w:rPr>
            </w:pPr>
            <w:r>
              <w:rPr>
                <w:rFonts w:hint="eastAsia" w:ascii="宋体" w:hAnsi="宋体"/>
                <w:bCs/>
                <w:sz w:val="24"/>
              </w:rPr>
              <w:t>4.提交的是可选择性报价的；</w:t>
            </w:r>
          </w:p>
          <w:p w14:paraId="71BE8F61">
            <w:pPr>
              <w:spacing w:line="440" w:lineRule="exact"/>
              <w:rPr>
                <w:rFonts w:ascii="宋体" w:hAnsi="宋体"/>
                <w:bCs/>
                <w:sz w:val="24"/>
              </w:rPr>
            </w:pPr>
            <w:r>
              <w:rPr>
                <w:rFonts w:hint="eastAsia" w:ascii="宋体" w:hAnsi="宋体"/>
                <w:bCs/>
                <w:sz w:val="24"/>
              </w:rPr>
              <w:t>5.报价内容与询价内容及技术要求有不满足的；</w:t>
            </w:r>
          </w:p>
          <w:p w14:paraId="368F8356">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3AAE40E6">
            <w:pPr>
              <w:spacing w:line="440" w:lineRule="exact"/>
              <w:rPr>
                <w:rFonts w:ascii="宋体" w:hAnsi="宋体"/>
                <w:bCs/>
                <w:sz w:val="24"/>
              </w:rPr>
            </w:pPr>
            <w:r>
              <w:rPr>
                <w:rFonts w:hint="eastAsia" w:ascii="宋体" w:hAnsi="宋体"/>
                <w:bCs/>
                <w:sz w:val="24"/>
              </w:rPr>
              <w:t>7.报价有严重缺漏项目的；</w:t>
            </w:r>
          </w:p>
          <w:p w14:paraId="49FC9C68">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7B092E59">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0C40862">
      <w:pPr>
        <w:pStyle w:val="3"/>
        <w:spacing w:before="120" w:after="120" w:line="440" w:lineRule="exact"/>
        <w:rPr>
          <w:rFonts w:ascii="宋体" w:hAnsi="宋体" w:eastAsia="宋体"/>
          <w:sz w:val="36"/>
          <w:szCs w:val="36"/>
        </w:rPr>
      </w:pPr>
      <w:bookmarkStart w:id="47" w:name="_Toc12454"/>
      <w:bookmarkStart w:id="48" w:name="_Toc4338"/>
    </w:p>
    <w:p w14:paraId="4B825066"/>
    <w:bookmarkEnd w:id="47"/>
    <w:bookmarkEnd w:id="48"/>
    <w:p w14:paraId="615326C1">
      <w:pPr>
        <w:pStyle w:val="4"/>
        <w:spacing w:before="0" w:after="0" w:line="440" w:lineRule="exact"/>
        <w:jc w:val="left"/>
        <w:rPr>
          <w:rFonts w:ascii="宋体" w:hAnsi="宋体" w:eastAsia="宋体"/>
          <w:sz w:val="24"/>
        </w:rPr>
      </w:pPr>
      <w:bookmarkStart w:id="49" w:name="_Toc1931"/>
      <w:bookmarkStart w:id="50" w:name="_Toc34"/>
    </w:p>
    <w:p w14:paraId="4E02A1D0">
      <w:pPr>
        <w:rPr>
          <w:rFonts w:ascii="宋体" w:hAnsi="宋体"/>
          <w:sz w:val="24"/>
        </w:rPr>
      </w:pPr>
    </w:p>
    <w:p w14:paraId="56069163">
      <w:pPr>
        <w:pStyle w:val="24"/>
      </w:pPr>
    </w:p>
    <w:p w14:paraId="55046139">
      <w:pPr>
        <w:pStyle w:val="24"/>
      </w:pPr>
    </w:p>
    <w:p w14:paraId="2412B4E1">
      <w:pPr>
        <w:pStyle w:val="24"/>
      </w:pPr>
    </w:p>
    <w:p w14:paraId="7CB1E829">
      <w:pPr>
        <w:pStyle w:val="24"/>
      </w:pPr>
    </w:p>
    <w:p w14:paraId="50247796">
      <w:pPr>
        <w:pStyle w:val="24"/>
      </w:pPr>
    </w:p>
    <w:p w14:paraId="220C97BA">
      <w:pPr>
        <w:pStyle w:val="24"/>
      </w:pPr>
    </w:p>
    <w:p w14:paraId="58257311">
      <w:pPr>
        <w:pStyle w:val="24"/>
      </w:pPr>
    </w:p>
    <w:p w14:paraId="2FBC2B5E">
      <w:pPr>
        <w:pStyle w:val="24"/>
      </w:pPr>
    </w:p>
    <w:p w14:paraId="60D886F8">
      <w:pPr>
        <w:pStyle w:val="24"/>
      </w:pPr>
    </w:p>
    <w:p w14:paraId="6DBEBF6B">
      <w:pPr>
        <w:pStyle w:val="24"/>
      </w:pPr>
    </w:p>
    <w:p w14:paraId="49C25838"/>
    <w:p w14:paraId="3FBF28FF">
      <w:pPr>
        <w:pStyle w:val="24"/>
      </w:pPr>
    </w:p>
    <w:p w14:paraId="23949182">
      <w:pPr>
        <w:pStyle w:val="3"/>
        <w:spacing w:before="120" w:after="120" w:line="440" w:lineRule="exact"/>
        <w:jc w:val="center"/>
        <w:rPr>
          <w:rFonts w:ascii="宋体" w:hAnsi="宋体" w:eastAsia="宋体"/>
          <w:sz w:val="24"/>
          <w:szCs w:val="24"/>
        </w:rPr>
      </w:pPr>
      <w:bookmarkStart w:id="51" w:name="_Toc27291"/>
      <w:r>
        <w:rPr>
          <w:rFonts w:hint="eastAsia" w:ascii="宋体" w:hAnsi="宋体" w:eastAsia="宋体"/>
          <w:sz w:val="36"/>
          <w:szCs w:val="36"/>
        </w:rPr>
        <w:t>第三部分    询价内容及要求</w:t>
      </w:r>
      <w:bookmarkEnd w:id="51"/>
    </w:p>
    <w:p w14:paraId="3E75E85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bookmarkStart w:id="52" w:name="_Toc358109805"/>
      <w:bookmarkStart w:id="53" w:name="_Toc394319916"/>
      <w:bookmarkStart w:id="54" w:name="_Toc478753855"/>
      <w:bookmarkStart w:id="55" w:name="_Toc57451666"/>
      <w:bookmarkStart w:id="56" w:name="_Toc416379639"/>
      <w:bookmarkStart w:id="57" w:name="_Toc425276504"/>
      <w:r>
        <w:rPr>
          <w:rFonts w:hint="eastAsia" w:ascii="宋体" w:hAnsi="宋体"/>
          <w:b/>
          <w:bCs/>
          <w:color w:val="000000" w:themeColor="text1"/>
          <w:sz w:val="24"/>
          <w14:textFill>
            <w14:solidFill>
              <w14:schemeClr w14:val="tx1"/>
            </w14:solidFill>
          </w14:textFill>
        </w:rPr>
        <w:t>一、项目概况</w:t>
      </w:r>
    </w:p>
    <w:p w14:paraId="049584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1.为了响应国家对教育信息化和数字化转型的战略要求，提升办学质量和管理效率，泉州师范学院继续教育学院将采购202</w:t>
      </w:r>
      <w:r>
        <w:rPr>
          <w:rFonts w:hint="eastAsia" w:ascii="宋体" w:hAnsi="宋体"/>
          <w:b w:val="0"/>
          <w:bCs w:val="0"/>
          <w:color w:val="000000" w:themeColor="text1"/>
          <w:sz w:val="24"/>
          <w:lang w:val="en-US" w:eastAsia="zh-CN"/>
          <w14:textFill>
            <w14:solidFill>
              <w14:schemeClr w14:val="tx1"/>
            </w14:solidFill>
          </w14:textFill>
        </w:rPr>
        <w:t>6</w:t>
      </w:r>
      <w:r>
        <w:rPr>
          <w:rFonts w:hint="eastAsia" w:ascii="宋体" w:hAnsi="宋体"/>
          <w:b w:val="0"/>
          <w:bCs w:val="0"/>
          <w:color w:val="000000" w:themeColor="text1"/>
          <w:sz w:val="24"/>
          <w14:textFill>
            <w14:solidFill>
              <w14:schemeClr w14:val="tx1"/>
            </w14:solidFill>
          </w14:textFill>
        </w:rPr>
        <w:t>级成人高等教育教学管理综合平台</w:t>
      </w:r>
      <w:r>
        <w:rPr>
          <w:rFonts w:hint="eastAsia" w:ascii="宋体" w:hAnsi="宋体"/>
          <w:b w:val="0"/>
          <w:bCs w:val="0"/>
          <w:color w:val="000000" w:themeColor="text1"/>
          <w:sz w:val="24"/>
          <w:lang w:eastAsia="zh-CN"/>
          <w14:textFill>
            <w14:solidFill>
              <w14:schemeClr w14:val="tx1"/>
            </w14:solidFill>
          </w14:textFill>
        </w:rPr>
        <w:t>服务项目</w:t>
      </w:r>
      <w:r>
        <w:rPr>
          <w:rFonts w:hint="eastAsia" w:ascii="宋体" w:hAnsi="宋体"/>
          <w:b w:val="0"/>
          <w:bCs w:val="0"/>
          <w:color w:val="000000" w:themeColor="text1"/>
          <w:sz w:val="24"/>
          <w14:textFill>
            <w14:solidFill>
              <w14:schemeClr w14:val="tx1"/>
            </w14:solidFill>
          </w14:textFill>
        </w:rPr>
        <w:t>，采购教学管理以综合平台为后台总支撑的智慧教学、移动学习、直播管理、考试管理等功能服务，旨在实现数字化转型，实现数字化和高等学历继续教育的深度融合，填补学校在</w:t>
      </w:r>
      <w:r>
        <w:rPr>
          <w:rFonts w:hint="eastAsia" w:ascii="宋体" w:hAnsi="宋体"/>
          <w:b w:val="0"/>
          <w:bCs w:val="0"/>
          <w:color w:val="000000" w:themeColor="text1"/>
          <w:sz w:val="24"/>
          <w:lang w:eastAsia="zh-CN"/>
          <w14:textFill>
            <w14:solidFill>
              <w14:schemeClr w14:val="tx1"/>
            </w14:solidFill>
          </w14:textFill>
        </w:rPr>
        <w:t>高等</w:t>
      </w:r>
      <w:r>
        <w:rPr>
          <w:rFonts w:hint="eastAsia" w:ascii="宋体" w:hAnsi="宋体"/>
          <w:b w:val="0"/>
          <w:bCs w:val="0"/>
          <w:color w:val="000000" w:themeColor="text1"/>
          <w:sz w:val="24"/>
          <w14:textFill>
            <w14:solidFill>
              <w14:schemeClr w14:val="tx1"/>
            </w14:solidFill>
          </w14:textFill>
        </w:rPr>
        <w:t>学历教育数字化综合平台方面的空白。通过集成招生、学籍、教务、教学、毕业、论文、学位、财务等管理功能，系统将提高管理效率；满足办学需求，为师生提供更便捷的服务，提升学校的核心竞争力。</w:t>
      </w:r>
    </w:p>
    <w:p w14:paraId="08C2A42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二、技术要求</w:t>
      </w:r>
    </w:p>
    <w:p w14:paraId="56ED678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1.技术架构要求</w:t>
      </w:r>
    </w:p>
    <w:p w14:paraId="51E0B88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1.1微服务架构</w:t>
      </w:r>
    </w:p>
    <w:p w14:paraId="2A4294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平台应采用成熟稳定的微服务架构，并能够在未来5至10年对业务的调整扩展提供有力支撑。优先选用采用java语言开发的架构；微服务间通信采用基于http协议的Restful方式；每个微服务可以采取最适合</w:t>
      </w:r>
      <w:r>
        <w:rPr>
          <w:rFonts w:hint="eastAsia" w:ascii="宋体" w:hAnsi="宋体"/>
          <w:b w:val="0"/>
          <w:bCs w:val="0"/>
          <w:color w:val="000000" w:themeColor="text1"/>
          <w:sz w:val="24"/>
          <w:lang w:eastAsia="zh-CN"/>
          <w14:textFill>
            <w14:solidFill>
              <w14:schemeClr w14:val="tx1"/>
            </w14:solidFill>
          </w14:textFill>
        </w:rPr>
        <w:t>微</w:t>
      </w:r>
      <w:r>
        <w:rPr>
          <w:rFonts w:hint="eastAsia" w:ascii="宋体" w:hAnsi="宋体"/>
          <w:b w:val="0"/>
          <w:bCs w:val="0"/>
          <w:color w:val="000000" w:themeColor="text1"/>
          <w:sz w:val="24"/>
          <w14:textFill>
            <w14:solidFill>
              <w14:schemeClr w14:val="tx1"/>
            </w14:solidFill>
          </w14:textFill>
        </w:rPr>
        <w:t>服务的语言，但应该遵循一般客观规律，避免采用过时的或者未经市场考验的语言和技术；提供良好的微服务治理方案；能够进行便捷的动态扩容，能够根据业务特点动态调整服务器资源，避免资源浪费。</w:t>
      </w:r>
    </w:p>
    <w:p w14:paraId="748B884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1.2安全要求</w:t>
      </w:r>
    </w:p>
    <w:p w14:paraId="783476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1.2.1总体要求：具备完整的网络与信息安全保障策略，能够有效防止各种系统入侵方式，防止数据被非法窃取、篡改，防止数据丢失。</w:t>
      </w:r>
    </w:p>
    <w:p w14:paraId="3BC9D4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1.2.2满足《信息安全技术网络安全等级保护基本要求》（GB/T 22239-2019）的第三等级要求。</w:t>
      </w:r>
    </w:p>
    <w:p w14:paraId="133F46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1.2.3要求敏感信息加密存储，确保信息安全。数据库服务器设置访问权限，仅允许授权的内网服务器IP访问，对外网隔绝。</w:t>
      </w:r>
    </w:p>
    <w:p w14:paraId="7758BF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1.2.4数据库采用主从热备机制，提升性能的同时保证数据的安全性，同时建立定期冷备策略，保证一段时间的数据可追查可恢复。</w:t>
      </w:r>
    </w:p>
    <w:p w14:paraId="01336B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1.2.5保障服务器网络安全，建立并启用防火墙，杜绝未经授权的访问。采用加密传输机制，确保数据在传输过程中的安全性。</w:t>
      </w:r>
    </w:p>
    <w:p w14:paraId="1156AE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1.2.6能够完整记录相关系统日志，并至少保留半年及其以上时间。</w:t>
      </w:r>
    </w:p>
    <w:p w14:paraId="55CB44F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1.3性能要求</w:t>
      </w:r>
    </w:p>
    <w:p w14:paraId="49267C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1.3.1本平台的性能指标：7×24小时不间断运行；页面响应≤3秒；检索响应≤3秒；视频点播响应≤6秒。</w:t>
      </w:r>
    </w:p>
    <w:p w14:paraId="0D7CBE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1.3.2本平台的系统设计满足大规模用户使用、支持分布式部署，并发数≥5万以上， 满足10万人在线，20万用户的性能要求。</w:t>
      </w:r>
    </w:p>
    <w:p w14:paraId="71DD7E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1.3.3平台采用B/S模式，J2EE架构，采用Java语言开发，采用云端部署。</w:t>
      </w:r>
    </w:p>
    <w:p w14:paraId="2C04DE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1.3.4页面采用Web2.0 AJAX开发，不需要另行安装插件就可以支持360浏览器、QQ浏览器等浏览器。</w:t>
      </w:r>
    </w:p>
    <w:p w14:paraId="3ADD17F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2.功能要求</w:t>
      </w:r>
    </w:p>
    <w:p w14:paraId="7993DCE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2.1微服务平台</w:t>
      </w:r>
    </w:p>
    <w:p w14:paraId="02C7DB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平台整体采用微服务架构搭建。继续教育综合服务平台作为一个整合“学历继续教育教务管理”与“学历教育教学管理”于一体的平台，需要采用统一且整合的底层架构来支撑学校的基础服务，微服务架构具有极强的可扩展性，除了整合用户信息和组织架构外，还需要能够有效支持学校的业务拓展，可以通过系统配置服务实现诸如表单采集信息、审批流程设置、量化评价服务等辅助业务，并通过系统配置服务的拓展建设持续完善整个业务体系。</w:t>
      </w:r>
    </w:p>
    <w:p w14:paraId="46E717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2.1.1单位应用管理</w:t>
      </w:r>
    </w:p>
    <w:p w14:paraId="350C22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(1)基于微服务架构的系统配置服务系统可以对PC端、移动端的前端应用以及部分后台管理功能进行统一的管理，包括增、删、改、查以及权限控制。方便对各类终端界面及展示应用进行配置。</w:t>
      </w:r>
    </w:p>
    <w:p w14:paraId="2AEC42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管理单位下应用信息，包括图标、名称、可使用终端打开链接、前后台可使用角色以及标签，同时也支持单位内对应用进行应用分类管理。并且可以新增和移除单位下应用，保证单位下应用数据的有效性和正确性。</w:t>
      </w:r>
    </w:p>
    <w:p w14:paraId="5753D9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(3)平台能有效保证用户单位的应用生态，管理员可以通过应用市场和自建应用来完善单位内应用，满足不同业务和场景下的使用。</w:t>
      </w:r>
    </w:p>
    <w:p w14:paraId="274085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(4)通过链接自建应用，并且通过此方式可以对接</w:t>
      </w:r>
      <w:r>
        <w:rPr>
          <w:rFonts w:hint="eastAsia" w:ascii="宋体" w:hAnsi="宋体" w:cs="Times New Roman"/>
          <w:b w:val="0"/>
          <w:bCs w:val="0"/>
          <w:color w:val="000000" w:themeColor="text1"/>
          <w:sz w:val="24"/>
          <w:lang w:eastAsia="zh-CN"/>
          <w14:textFill>
            <w14:solidFill>
              <w14:schemeClr w14:val="tx1"/>
            </w14:solidFill>
          </w14:textFill>
        </w:rPr>
        <w:t>第</w:t>
      </w:r>
      <w:r>
        <w:rPr>
          <w:rFonts w:hint="eastAsia" w:ascii="宋体" w:hAnsi="宋体" w:eastAsia="宋体" w:cs="Times New Roman"/>
          <w:b w:val="0"/>
          <w:bCs w:val="0"/>
          <w:color w:val="000000" w:themeColor="text1"/>
          <w:sz w:val="24"/>
          <w14:textFill>
            <w14:solidFill>
              <w14:schemeClr w14:val="tx1"/>
            </w14:solidFill>
          </w14:textFill>
        </w:rPr>
        <w:t>三方应用。</w:t>
      </w:r>
    </w:p>
    <w:p w14:paraId="136582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(5)可以统计应用在移动端的访问数据。</w:t>
      </w:r>
    </w:p>
    <w:p w14:paraId="48EAF0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2.1.2终端管理</w:t>
      </w:r>
    </w:p>
    <w:p w14:paraId="753EAC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提供多终端服务管理界面，实现基于同一平台轻松管理个人空间、门户、移动端、微信端、大数据屏等多个设备终端界面设计和信息展示，具备可视化全功能后台，最大限度地方便管理员自主管理和个性化配置应用栏目，为用户提供友善的界面，便捷、智慧的服务，使服务内容、使用数据趋向统一。</w:t>
      </w:r>
    </w:p>
    <w:p w14:paraId="63B8473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2.2智慧门户</w:t>
      </w:r>
    </w:p>
    <w:p w14:paraId="367E74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b w:val="0"/>
          <w:bCs w:val="0"/>
          <w:color w:val="000000" w:themeColor="text1"/>
          <w:sz w:val="24"/>
          <w:lang w:val="en-US" w:eastAsia="zh-CN"/>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提供自助管理和展示学校办学特色的门户网站，具备友善的界面、便捷的服务、智慧的功能，实现门户自主化管理，从而实现学历相关信息公开。</w:t>
      </w:r>
      <w:r>
        <w:rPr>
          <w:rFonts w:hint="eastAsia" w:ascii="宋体" w:hAnsi="宋体" w:cs="Times New Roman"/>
          <w:b w:val="0"/>
          <w:bCs w:val="0"/>
          <w:color w:val="000000" w:themeColor="text1"/>
          <w:sz w:val="24"/>
          <w:lang w:eastAsia="zh-CN"/>
          <w14:textFill>
            <w14:solidFill>
              <w14:schemeClr w14:val="tx1"/>
            </w14:solidFill>
          </w14:textFill>
        </w:rPr>
        <w:t>设置操作日志：记录网站操作记录，包括：操作人姓名、操作、详情、操作时间、</w:t>
      </w:r>
      <w:r>
        <w:rPr>
          <w:rFonts w:hint="eastAsia" w:ascii="宋体" w:hAnsi="宋体" w:cs="Times New Roman"/>
          <w:b w:val="0"/>
          <w:bCs w:val="0"/>
          <w:color w:val="000000" w:themeColor="text1"/>
          <w:sz w:val="24"/>
          <w:lang w:val="en-US" w:eastAsia="zh-CN"/>
          <w14:textFill>
            <w14:solidFill>
              <w14:schemeClr w14:val="tx1"/>
            </w14:solidFill>
          </w14:textFill>
        </w:rPr>
        <w:t>IP地址等信息。</w:t>
      </w:r>
    </w:p>
    <w:p w14:paraId="3DBCCAE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2.3学历管理平台</w:t>
      </w:r>
    </w:p>
    <w:p w14:paraId="4B3943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2.3.1系统管理</w:t>
      </w:r>
    </w:p>
    <w:p w14:paraId="282DFF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支持组织机构管理、角色权限管理、账号管理、功能模块管理、日志管理等。</w:t>
      </w:r>
    </w:p>
    <w:p w14:paraId="7BAEC2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2.3.2基础数据</w:t>
      </w:r>
    </w:p>
    <w:p w14:paraId="2FF79F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lang w:eastAsia="zh-CN"/>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（1）基础数据管理，包括招生管理、学籍管理、教学管理、考务管理、论文管理、财务管理、毕业管理、学位管理、数据管理、技术支持，即添加、查询、修改和删除功能</w:t>
      </w:r>
      <w:r>
        <w:rPr>
          <w:rFonts w:hint="eastAsia" w:ascii="宋体" w:hAnsi="宋体" w:eastAsia="宋体" w:cs="Times New Roman"/>
          <w:b w:val="0"/>
          <w:bCs w:val="0"/>
          <w:color w:val="000000" w:themeColor="text1"/>
          <w:sz w:val="24"/>
          <w:lang w:eastAsia="zh-CN"/>
          <w14:textFill>
            <w14:solidFill>
              <w14:schemeClr w14:val="tx1"/>
            </w14:solidFill>
          </w14:textFill>
        </w:rPr>
        <w:t>；</w:t>
      </w:r>
    </w:p>
    <w:p w14:paraId="76C537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lang w:eastAsia="zh-CN"/>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w:t>
      </w:r>
      <w:r>
        <w:rPr>
          <w:rFonts w:hint="eastAsia" w:ascii="宋体" w:hAnsi="宋体" w:cs="Times New Roman"/>
          <w:b w:val="0"/>
          <w:bCs w:val="0"/>
          <w:color w:val="000000" w:themeColor="text1"/>
          <w:sz w:val="24"/>
          <w:lang w:eastAsia="zh-CN"/>
          <w14:textFill>
            <w14:solidFill>
              <w14:schemeClr w14:val="tx1"/>
            </w14:solidFill>
          </w14:textFill>
        </w:rPr>
        <w:t>具有</w:t>
      </w:r>
      <w:r>
        <w:rPr>
          <w:rFonts w:hint="eastAsia" w:ascii="宋体" w:hAnsi="宋体" w:eastAsia="宋体" w:cs="Times New Roman"/>
          <w:b w:val="0"/>
          <w:bCs w:val="0"/>
          <w:color w:val="000000" w:themeColor="text1"/>
          <w:sz w:val="24"/>
          <w14:textFill>
            <w14:solidFill>
              <w14:schemeClr w14:val="tx1"/>
            </w14:solidFill>
          </w14:textFill>
        </w:rPr>
        <w:t>网络课程批量设置机制</w:t>
      </w:r>
      <w:r>
        <w:rPr>
          <w:rFonts w:hint="eastAsia" w:ascii="宋体" w:hAnsi="宋体" w:cs="Times New Roman"/>
          <w:b w:val="0"/>
          <w:bCs w:val="0"/>
          <w:color w:val="000000" w:themeColor="text1"/>
          <w:sz w:val="24"/>
          <w:lang w:eastAsia="zh-CN"/>
          <w14:textFill>
            <w14:solidFill>
              <w14:schemeClr w14:val="tx1"/>
            </w14:solidFill>
          </w14:textFill>
        </w:rPr>
        <w:t>；</w:t>
      </w:r>
    </w:p>
    <w:p w14:paraId="219ABC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（3）自定义授课方式设置。</w:t>
      </w:r>
    </w:p>
    <w:p w14:paraId="754D76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2.3.3招生入学</w:t>
      </w:r>
    </w:p>
    <w:p w14:paraId="7055BC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lang w:eastAsia="zh-CN"/>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（1）预报名信息管理</w:t>
      </w:r>
      <w:r>
        <w:rPr>
          <w:rFonts w:hint="eastAsia" w:ascii="宋体" w:hAnsi="宋体" w:cs="Times New Roman"/>
          <w:b w:val="0"/>
          <w:bCs w:val="0"/>
          <w:color w:val="000000" w:themeColor="text1"/>
          <w:sz w:val="24"/>
          <w:lang w:eastAsia="zh-CN"/>
          <w14:textFill>
            <w14:solidFill>
              <w14:schemeClr w14:val="tx1"/>
            </w14:solidFill>
          </w14:textFill>
        </w:rPr>
        <w:t>；</w:t>
      </w:r>
    </w:p>
    <w:p w14:paraId="2A837C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lang w:eastAsia="zh-CN"/>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（2）支持录取学生信息模板自定义设置字段</w:t>
      </w:r>
      <w:r>
        <w:rPr>
          <w:rFonts w:hint="eastAsia" w:ascii="宋体" w:hAnsi="宋体" w:cs="Times New Roman"/>
          <w:b w:val="0"/>
          <w:bCs w:val="0"/>
          <w:color w:val="000000" w:themeColor="text1"/>
          <w:sz w:val="24"/>
          <w:lang w:eastAsia="zh-CN"/>
          <w14:textFill>
            <w14:solidFill>
              <w14:schemeClr w14:val="tx1"/>
            </w14:solidFill>
          </w14:textFill>
        </w:rPr>
        <w:t>；</w:t>
      </w:r>
    </w:p>
    <w:p w14:paraId="3D5E39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（3）支持录取通知书打印；</w:t>
      </w:r>
    </w:p>
    <w:p w14:paraId="249F7D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（4）新生注册管理：支持自动分班，自动生成学号，支持分班、分学号规则自定义；</w:t>
      </w:r>
    </w:p>
    <w:p w14:paraId="6CA072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（5）新生异动：保留、放弃、恢复入学资格；专业及函授站调剂；</w:t>
      </w:r>
    </w:p>
    <w:p w14:paraId="49C8CB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（6）支持新生注册学籍信息；</w:t>
      </w:r>
    </w:p>
    <w:p w14:paraId="0AA042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（7）班级管理：支持自动分班和手动分班。支持管理班主任信息，可以给班级指定班主任，调整班主任管理的班级。</w:t>
      </w:r>
    </w:p>
    <w:p w14:paraId="2E30AE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2.3.4学籍管理</w:t>
      </w:r>
    </w:p>
    <w:p w14:paraId="49144D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（1）学生信息管理：包括学生信息查询、修改、勘误、打印在读证明、模拟</w:t>
      </w:r>
      <w:r>
        <w:rPr>
          <w:rFonts w:hint="eastAsia" w:ascii="宋体" w:hAnsi="宋体" w:cs="Times New Roman"/>
          <w:b w:val="0"/>
          <w:bCs w:val="0"/>
          <w:color w:val="000000" w:themeColor="text1"/>
          <w:sz w:val="24"/>
          <w:lang w:eastAsia="zh-CN"/>
          <w14:textFill>
            <w14:solidFill>
              <w14:schemeClr w14:val="tx1"/>
            </w14:solidFill>
          </w14:textFill>
        </w:rPr>
        <w:t>登录</w:t>
      </w:r>
      <w:r>
        <w:rPr>
          <w:rFonts w:hint="eastAsia" w:ascii="宋体" w:hAnsi="宋体" w:eastAsia="宋体" w:cs="Times New Roman"/>
          <w:b w:val="0"/>
          <w:bCs w:val="0"/>
          <w:color w:val="000000" w:themeColor="text1"/>
          <w:sz w:val="24"/>
          <w14:textFill>
            <w14:solidFill>
              <w14:schemeClr w14:val="tx1"/>
            </w14:solidFill>
          </w14:textFill>
        </w:rPr>
        <w:t>、修改密码、信息变更等；</w:t>
      </w:r>
    </w:p>
    <w:p w14:paraId="08BB49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（2）学籍异动类型管理：学校可以自定义添加学籍异动类型，如填写异动类型名称、设置是否禁用，设置是否新生异动，设置变更项，设置提交信息、设置申请审核流程、设置审核通过变更信息等；</w:t>
      </w:r>
    </w:p>
    <w:p w14:paraId="4DD399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（3）学籍异动管理：支持学籍异动的申请和审核；</w:t>
      </w:r>
    </w:p>
    <w:p w14:paraId="1FFABC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（4）学年/学期注册，包括学年未注册设置、学年注册时间管理、学年注册</w:t>
      </w:r>
      <w:r>
        <w:rPr>
          <w:rFonts w:hint="eastAsia" w:ascii="宋体" w:hAnsi="宋体" w:cs="Times New Roman"/>
          <w:b w:val="0"/>
          <w:bCs w:val="0"/>
          <w:color w:val="000000" w:themeColor="text1"/>
          <w:sz w:val="24"/>
          <w:lang w:eastAsia="zh-CN"/>
          <w14:textFill>
            <w14:solidFill>
              <w14:schemeClr w14:val="tx1"/>
            </w14:solidFill>
          </w14:textFill>
        </w:rPr>
        <w:t>等</w:t>
      </w:r>
      <w:r>
        <w:rPr>
          <w:rFonts w:hint="eastAsia" w:ascii="宋体" w:hAnsi="宋体" w:eastAsia="宋体" w:cs="Times New Roman"/>
          <w:b w:val="0"/>
          <w:bCs w:val="0"/>
          <w:color w:val="000000" w:themeColor="text1"/>
          <w:sz w:val="24"/>
          <w14:textFill>
            <w14:solidFill>
              <w14:schemeClr w14:val="tx1"/>
            </w14:solidFill>
          </w14:textFill>
        </w:rPr>
        <w:t>；</w:t>
      </w:r>
    </w:p>
    <w:p w14:paraId="5674DC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（5）</w:t>
      </w:r>
      <w:r>
        <w:rPr>
          <w:rFonts w:hint="eastAsia" w:ascii="宋体" w:hAnsi="宋体" w:cs="Times New Roman"/>
          <w:b w:val="0"/>
          <w:bCs w:val="0"/>
          <w:color w:val="000000" w:themeColor="text1"/>
          <w:sz w:val="24"/>
          <w:lang w:eastAsia="zh-CN"/>
          <w14:textFill>
            <w14:solidFill>
              <w14:schemeClr w14:val="tx1"/>
            </w14:solidFill>
          </w14:textFill>
        </w:rPr>
        <w:t>具备</w:t>
      </w:r>
      <w:r>
        <w:rPr>
          <w:rFonts w:hint="eastAsia" w:ascii="宋体" w:hAnsi="宋体" w:eastAsia="宋体" w:cs="Times New Roman"/>
          <w:b w:val="0"/>
          <w:bCs w:val="0"/>
          <w:color w:val="000000" w:themeColor="text1"/>
          <w:sz w:val="24"/>
          <w14:textFill>
            <w14:solidFill>
              <w14:schemeClr w14:val="tx1"/>
            </w14:solidFill>
          </w14:textFill>
        </w:rPr>
        <w:t>照片管理</w:t>
      </w:r>
      <w:r>
        <w:rPr>
          <w:rFonts w:hint="eastAsia" w:ascii="宋体" w:hAnsi="宋体" w:cs="Times New Roman"/>
          <w:b w:val="0"/>
          <w:bCs w:val="0"/>
          <w:color w:val="000000" w:themeColor="text1"/>
          <w:sz w:val="24"/>
          <w:lang w:eastAsia="zh-CN"/>
          <w14:textFill>
            <w14:solidFill>
              <w14:schemeClr w14:val="tx1"/>
            </w14:solidFill>
          </w14:textFill>
        </w:rPr>
        <w:t>功能</w:t>
      </w:r>
      <w:r>
        <w:rPr>
          <w:rFonts w:hint="eastAsia" w:ascii="宋体" w:hAnsi="宋体" w:eastAsia="宋体" w:cs="Times New Roman"/>
          <w:b w:val="0"/>
          <w:bCs w:val="0"/>
          <w:color w:val="000000" w:themeColor="text1"/>
          <w:sz w:val="24"/>
          <w14:textFill>
            <w14:solidFill>
              <w14:schemeClr w14:val="tx1"/>
            </w14:solidFill>
          </w14:textFill>
        </w:rPr>
        <w:t>。</w:t>
      </w:r>
    </w:p>
    <w:p w14:paraId="09BF0A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2.3.5教务管理</w:t>
      </w:r>
    </w:p>
    <w:p w14:paraId="226749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w:t>
      </w:r>
      <w:r>
        <w:rPr>
          <w:rFonts w:hint="eastAsia" w:ascii="宋体" w:hAnsi="宋体" w:cs="Times New Roman"/>
          <w:b w:val="0"/>
          <w:bCs w:val="0"/>
          <w:color w:val="000000" w:themeColor="text1"/>
          <w:sz w:val="24"/>
          <w:lang w:eastAsia="zh-CN"/>
          <w14:textFill>
            <w14:solidFill>
              <w14:schemeClr w14:val="tx1"/>
            </w14:solidFill>
          </w14:textFill>
        </w:rPr>
        <w:t>具备</w:t>
      </w:r>
      <w:r>
        <w:rPr>
          <w:rFonts w:hint="eastAsia" w:ascii="宋体" w:hAnsi="宋体" w:eastAsia="宋体" w:cs="Times New Roman"/>
          <w:b w:val="0"/>
          <w:bCs w:val="0"/>
          <w:color w:val="000000" w:themeColor="text1"/>
          <w:sz w:val="24"/>
          <w14:textFill>
            <w14:solidFill>
              <w14:schemeClr w14:val="tx1"/>
            </w14:solidFill>
          </w14:textFill>
        </w:rPr>
        <w:t>教学计划管理</w:t>
      </w:r>
      <w:r>
        <w:rPr>
          <w:rFonts w:hint="eastAsia" w:ascii="宋体" w:hAnsi="宋体" w:cs="Times New Roman"/>
          <w:b w:val="0"/>
          <w:bCs w:val="0"/>
          <w:color w:val="000000" w:themeColor="text1"/>
          <w:sz w:val="24"/>
          <w:lang w:eastAsia="zh-CN"/>
          <w14:textFill>
            <w14:solidFill>
              <w14:schemeClr w14:val="tx1"/>
            </w14:solidFill>
          </w14:textFill>
        </w:rPr>
        <w:t>功能</w:t>
      </w:r>
      <w:r>
        <w:rPr>
          <w:rFonts w:hint="eastAsia" w:ascii="宋体" w:hAnsi="宋体" w:eastAsia="宋体" w:cs="Times New Roman"/>
          <w:b w:val="0"/>
          <w:bCs w:val="0"/>
          <w:color w:val="000000" w:themeColor="text1"/>
          <w:sz w:val="24"/>
          <w14:textFill>
            <w14:solidFill>
              <w14:schemeClr w14:val="tx1"/>
            </w14:solidFill>
          </w14:textFill>
        </w:rPr>
        <w:t>；</w:t>
      </w:r>
    </w:p>
    <w:p w14:paraId="3EEAAC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（2）教学任务建设：支持针对班级设置教学任务，包括添加授课教师、授课方式、教材、教材数量、进行合班操作、修改考核权重以及确认教学任务操作；</w:t>
      </w:r>
    </w:p>
    <w:p w14:paraId="697BB2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3</w:t>
      </w:r>
      <w:r>
        <w:rPr>
          <w:rFonts w:hint="eastAsia" w:ascii="宋体" w:hAnsi="宋体" w:eastAsia="宋体" w:cs="Times New Roman"/>
          <w:b w:val="0"/>
          <w:bCs w:val="0"/>
          <w:color w:val="000000" w:themeColor="text1"/>
          <w:sz w:val="24"/>
          <w14:textFill>
            <w14:solidFill>
              <w14:schemeClr w14:val="tx1"/>
            </w14:solidFill>
          </w14:textFill>
        </w:rPr>
        <w:t>）选课统计：包括学生选课查询，课程选课统计；</w:t>
      </w:r>
    </w:p>
    <w:p w14:paraId="426986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4</w:t>
      </w:r>
      <w:r>
        <w:rPr>
          <w:rFonts w:hint="eastAsia" w:ascii="宋体" w:hAnsi="宋体" w:eastAsia="宋体" w:cs="Times New Roman"/>
          <w:b w:val="0"/>
          <w:bCs w:val="0"/>
          <w:color w:val="000000" w:themeColor="text1"/>
          <w:sz w:val="24"/>
          <w14:textFill>
            <w14:solidFill>
              <w14:schemeClr w14:val="tx1"/>
            </w14:solidFill>
          </w14:textFill>
        </w:rPr>
        <w:t>）重修管理：学生申请重修，支持管理员代办；</w:t>
      </w:r>
    </w:p>
    <w:p w14:paraId="678F20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5</w:t>
      </w:r>
      <w:r>
        <w:rPr>
          <w:rFonts w:hint="eastAsia" w:ascii="宋体" w:hAnsi="宋体" w:eastAsia="宋体" w:cs="Times New Roman"/>
          <w:b w:val="0"/>
          <w:bCs w:val="0"/>
          <w:color w:val="000000" w:themeColor="text1"/>
          <w:sz w:val="24"/>
          <w14:textFill>
            <w14:solidFill>
              <w14:schemeClr w14:val="tx1"/>
            </w14:solidFill>
          </w14:textFill>
        </w:rPr>
        <w:t>）教学统计：可以按照不同维度进行数据统计，包括教师教学统计，学生学习进度统计，班级进度统计；支持网络课程督学，可单个或批量针对学生发放督学通知。</w:t>
      </w:r>
    </w:p>
    <w:p w14:paraId="08126B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2.3.6考试管理</w:t>
      </w:r>
    </w:p>
    <w:p w14:paraId="14DB25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1.线上考试管理</w:t>
      </w:r>
    </w:p>
    <w:p w14:paraId="5D22C9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(1)自动推送线上考试，支持查询选课人数、补考人数。支持进行题库管理、试卷库管理、考试设置；</w:t>
      </w:r>
    </w:p>
    <w:p w14:paraId="31AE04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(2)支持人脸识别，支持线上巡考</w:t>
      </w:r>
      <w:r>
        <w:rPr>
          <w:rFonts w:hint="eastAsia" w:ascii="宋体" w:hAnsi="宋体" w:cs="Times New Roman"/>
          <w:b w:val="0"/>
          <w:bCs w:val="0"/>
          <w:color w:val="000000" w:themeColor="text1"/>
          <w:sz w:val="24"/>
          <w:lang w:eastAsia="zh-CN"/>
          <w14:textFill>
            <w14:solidFill>
              <w14:schemeClr w14:val="tx1"/>
            </w14:solidFill>
          </w14:textFill>
        </w:rPr>
        <w:t>和</w:t>
      </w:r>
      <w:r>
        <w:rPr>
          <w:rFonts w:hint="eastAsia" w:ascii="宋体" w:hAnsi="宋体" w:eastAsia="宋体" w:cs="Times New Roman"/>
          <w:b w:val="0"/>
          <w:bCs w:val="0"/>
          <w:color w:val="000000" w:themeColor="text1"/>
          <w:sz w:val="24"/>
          <w14:textFill>
            <w14:solidFill>
              <w14:schemeClr w14:val="tx1"/>
            </w14:solidFill>
          </w14:textFill>
        </w:rPr>
        <w:t>监考。支持考试过程中切出考试界面统计与监考警告，设置切出次数进行强制收卷处理；</w:t>
      </w:r>
    </w:p>
    <w:p w14:paraId="5FD49F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2.线下考试管理</w:t>
      </w:r>
    </w:p>
    <w:p w14:paraId="177FA8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(1)支持自动排考和批量导入排考结果信息；</w:t>
      </w:r>
    </w:p>
    <w:p w14:paraId="7B817E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支持设置排考条件包含但不限于单个考场可安排最大人数、是否允许同一考场安排不同课程、是否允许同一考场安排不同班级、是否允许统一考场安排缓考和补考学生等。支持按照考试安排、考试场次安排、自动排考条件自动排考，将已报名的学生自动分配到考场中，形成排考结果；</w:t>
      </w:r>
    </w:p>
    <w:p w14:paraId="6ABCD7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(3)考试考场展示：支持展示排考结果，包括具体的考试时间、考试课程、监考教师、考试人员详情，支持调整</w:t>
      </w:r>
      <w:r>
        <w:rPr>
          <w:rFonts w:hint="eastAsia" w:ascii="宋体" w:hAnsi="宋体" w:cs="Times New Roman"/>
          <w:b w:val="0"/>
          <w:bCs w:val="0"/>
          <w:color w:val="000000" w:themeColor="text1"/>
          <w:sz w:val="24"/>
          <w:lang w:eastAsia="zh-CN"/>
          <w14:textFill>
            <w14:solidFill>
              <w14:schemeClr w14:val="tx1"/>
            </w14:solidFill>
          </w14:textFill>
        </w:rPr>
        <w:t>排考</w:t>
      </w:r>
      <w:r>
        <w:rPr>
          <w:rFonts w:hint="eastAsia" w:ascii="宋体" w:hAnsi="宋体" w:eastAsia="宋体" w:cs="Times New Roman"/>
          <w:b w:val="0"/>
          <w:bCs w:val="0"/>
          <w:color w:val="000000" w:themeColor="text1"/>
          <w:sz w:val="24"/>
          <w14:textFill>
            <w14:solidFill>
              <w14:schemeClr w14:val="tx1"/>
            </w14:solidFill>
          </w14:textFill>
        </w:rPr>
        <w:t>结果，导出考场记录表；</w:t>
      </w:r>
    </w:p>
    <w:p w14:paraId="10ABF7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lang w:eastAsia="zh-CN"/>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4</w:t>
      </w:r>
      <w:r>
        <w:rPr>
          <w:rFonts w:hint="eastAsia" w:ascii="宋体" w:hAnsi="宋体" w:cs="Times New Roman"/>
          <w:b w:val="0"/>
          <w:bCs w:val="0"/>
          <w:color w:val="000000" w:themeColor="text1"/>
          <w:sz w:val="24"/>
          <w:lang w:eastAsia="zh-CN"/>
          <w14:textFill>
            <w14:solidFill>
              <w14:schemeClr w14:val="tx1"/>
            </w14:solidFill>
          </w14:textFill>
        </w:rPr>
        <w:t>）</w:t>
      </w:r>
      <w:r>
        <w:rPr>
          <w:rFonts w:hint="eastAsia" w:ascii="宋体" w:hAnsi="宋体" w:eastAsia="宋体" w:cs="Times New Roman"/>
          <w:b w:val="0"/>
          <w:bCs w:val="0"/>
          <w:color w:val="000000" w:themeColor="text1"/>
          <w:sz w:val="24"/>
          <w14:textFill>
            <w14:solidFill>
              <w14:schemeClr w14:val="tx1"/>
            </w14:solidFill>
          </w14:textFill>
        </w:rPr>
        <w:t>支持平台自动生成考务需要的表单。</w:t>
      </w:r>
    </w:p>
    <w:p w14:paraId="21838D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2.3.7成绩管理</w:t>
      </w:r>
    </w:p>
    <w:p w14:paraId="76D002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（1）成绩录入：支持正考成绩、补考成绩、缓考成绩录入，支持按照授课形式录入考试成绩，支持管理员或教师录入成绩，支持单条录入或批量导入，支持发布录入成绩；</w:t>
      </w:r>
    </w:p>
    <w:p w14:paraId="5D5BAE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（2）支持平时成绩自动同步；</w:t>
      </w:r>
    </w:p>
    <w:p w14:paraId="49E5DD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（3）课程替代/免考：根据学校要求，学生提交证明材料，管理员审核通过后给予/替代课程；</w:t>
      </w:r>
    </w:p>
    <w:p w14:paraId="3DF2A4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（4）成绩查询：支持总评成绩查询、补考总评成绩查询。打印个人成绩单、班级成绩单、正考成绩单、补考成绩单、缓考成绩单等。</w:t>
      </w:r>
    </w:p>
    <w:p w14:paraId="6CB38D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2.3.8论文管理</w:t>
      </w:r>
    </w:p>
    <w:p w14:paraId="697054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（1）论文题目管理：支持后台管理学生毕业课程的论文题目；</w:t>
      </w:r>
    </w:p>
    <w:p w14:paraId="090DCA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（2）指导管理：支持发布论文实施细则、论文格式模板；支持按照专业添加毕业论文指导书共享给学生；支持教师与学生在线讨论、修改反馈；</w:t>
      </w:r>
    </w:p>
    <w:p w14:paraId="2BE776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论文批次管理：支持设置自定义论文流程，包括论文选题、初稿、二稿、终稿、定稿等流程，支持设置学生、教师流程，支持设置论文查重方式；支持设置学生选题、开题报告、学生定稿的开始结束时间；为学生分配指导教师；</w:t>
      </w:r>
    </w:p>
    <w:p w14:paraId="1CE447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4）毕业论文管理：支持查看毕业论文管理详情，包括但不限于：学生论文题目状态、开题报告审核状态、定稿审核状态、论文成绩、成绩审核状态。支持查询论文审核历史记录，查询已审核通过论文稿件，论文支持下载。支持论文评审表的在线填写。支持生成学位论文送检信息表。支持进行线上论文答辩；</w:t>
      </w:r>
    </w:p>
    <w:p w14:paraId="01BEF1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（5）论文成绩管理：支持查看毕业论文成绩、导入线下论文成绩；发布论文成绩。</w:t>
      </w:r>
    </w:p>
    <w:p w14:paraId="134781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2.3.9毕业管理</w:t>
      </w:r>
    </w:p>
    <w:p w14:paraId="3DE0C9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w:t>
      </w:r>
      <w:r>
        <w:rPr>
          <w:rFonts w:hint="eastAsia" w:ascii="宋体" w:hAnsi="宋体" w:cs="Times New Roman"/>
          <w:b w:val="0"/>
          <w:bCs w:val="0"/>
          <w:color w:val="000000" w:themeColor="text1"/>
          <w:sz w:val="24"/>
          <w:lang w:eastAsia="zh-CN"/>
          <w14:textFill>
            <w14:solidFill>
              <w14:schemeClr w14:val="tx1"/>
            </w14:solidFill>
          </w14:textFill>
        </w:rPr>
        <w:t>设置</w:t>
      </w:r>
      <w:r>
        <w:rPr>
          <w:rFonts w:hint="eastAsia" w:ascii="宋体" w:hAnsi="宋体" w:eastAsia="宋体" w:cs="Times New Roman"/>
          <w:b w:val="0"/>
          <w:bCs w:val="0"/>
          <w:color w:val="000000" w:themeColor="text1"/>
          <w:sz w:val="24"/>
          <w14:textFill>
            <w14:solidFill>
              <w14:schemeClr w14:val="tx1"/>
            </w14:solidFill>
          </w14:textFill>
        </w:rPr>
        <w:t>毕业条件；</w:t>
      </w:r>
    </w:p>
    <w:p w14:paraId="32D1EF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（2）毕业管理：支持对学生进行毕业判断、发送毕业申请通知、确认毕业等；</w:t>
      </w:r>
    </w:p>
    <w:p w14:paraId="05572F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（3）毕业生列表：支持发布正式毕业、撤销毕业。支持毕业证书编号规则自定义，自动生成毕业证书编号，导入毕业证书编号。支持打印毕业证书、导出上报信息、毕业证明书；</w:t>
      </w:r>
    </w:p>
    <w:p w14:paraId="5EA36F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（4）延期毕业管理：支持查看毕业结论、学籍状态、审核状态、审核意见等信息，并对申请延期毕业学生进行审核。</w:t>
      </w:r>
    </w:p>
    <w:p w14:paraId="375F3C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（5）毕业生登记表：支持线上填写毕业生登记表，支持管理员审核；</w:t>
      </w:r>
    </w:p>
    <w:p w14:paraId="77BF69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（6）档案导出：支持多种方式，包括压缩包导出、所有学生材料一个pdf导出、自定义名单及顺序导出；</w:t>
      </w:r>
    </w:p>
    <w:p w14:paraId="2A451C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（7）支持导出档案材料时多种排序选择，多种命名规则选择；支持设置档案材料是否允许学生端下载，可下载</w:t>
      </w:r>
      <w:r>
        <w:rPr>
          <w:rFonts w:hint="eastAsia" w:ascii="宋体" w:hAnsi="宋体" w:cs="Times New Roman"/>
          <w:b w:val="0"/>
          <w:bCs w:val="0"/>
          <w:color w:val="000000" w:themeColor="text1"/>
          <w:sz w:val="24"/>
          <w:lang w:eastAsia="zh-CN"/>
          <w14:textFill>
            <w14:solidFill>
              <w14:schemeClr w14:val="tx1"/>
            </w14:solidFill>
          </w14:textFill>
        </w:rPr>
        <w:t>的</w:t>
      </w:r>
      <w:r>
        <w:rPr>
          <w:rFonts w:hint="eastAsia" w:ascii="宋体" w:hAnsi="宋体" w:eastAsia="宋体" w:cs="Times New Roman"/>
          <w:b w:val="0"/>
          <w:bCs w:val="0"/>
          <w:color w:val="000000" w:themeColor="text1"/>
          <w:sz w:val="24"/>
          <w14:textFill>
            <w14:solidFill>
              <w14:schemeClr w14:val="tx1"/>
            </w14:solidFill>
          </w14:textFill>
        </w:rPr>
        <w:t>学生范围、时间等可自定义设置；</w:t>
      </w:r>
    </w:p>
    <w:p w14:paraId="691989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（8）档案管理：支持学籍卡、成绩单、毕业生登记表、鉴定表、论文评审表、毕业证书、结业证书的打印模板自定义设置及批量打印。</w:t>
      </w:r>
    </w:p>
    <w:p w14:paraId="4A782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2.3.10学位管理</w:t>
      </w:r>
    </w:p>
    <w:p w14:paraId="5092D0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（1）学位课程报考管理：支持学位课程报考及其管理、支持学位课程免考申请及其管理；</w:t>
      </w:r>
    </w:p>
    <w:p w14:paraId="431BA8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（2）学位课程考试管理：支持学位课程考试排考、支持准考证打印及成绩查询；</w:t>
      </w:r>
    </w:p>
    <w:p w14:paraId="195850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（3）学位授予管理：支持设置学位授予条件及其授予管理；</w:t>
      </w:r>
    </w:p>
    <w:p w14:paraId="20D676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（4）学位证书管理：支持批量导入学位证书编号，自动生成学位证书编号等功能并打印学位证书。</w:t>
      </w:r>
    </w:p>
    <w:p w14:paraId="51EA8F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2.3.11财务管理</w:t>
      </w:r>
    </w:p>
    <w:p w14:paraId="2484B5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（1）学费标准管理：支持设置缴费标准；</w:t>
      </w:r>
    </w:p>
    <w:p w14:paraId="0C277C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（2）支持学生线上缴费及缴费信息查询；支持学生缴费统计。</w:t>
      </w:r>
    </w:p>
    <w:p w14:paraId="557B75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2.3.12统计报表</w:t>
      </w:r>
    </w:p>
    <w:p w14:paraId="2EDBD5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支持学校高基表等自定义统计报表，实现统计维度自定义，报表支持图表、列表等多种展示形式。</w:t>
      </w:r>
    </w:p>
    <w:p w14:paraId="5BC6F8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2.3.13模版管理</w:t>
      </w:r>
    </w:p>
    <w:p w14:paraId="0D8016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支持平台内各业务报表模板自定义，可以在线编辑模板。</w:t>
      </w:r>
    </w:p>
    <w:p w14:paraId="3BFE49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2.3.14通知管理</w:t>
      </w:r>
    </w:p>
    <w:p w14:paraId="42B52A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支持给管理员、教师、学生发通知。通知可以查看已读、未读通知。</w:t>
      </w:r>
    </w:p>
    <w:p w14:paraId="35CE0D2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2.4继续教育远程教学平台</w:t>
      </w:r>
    </w:p>
    <w:p w14:paraId="4C82409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2.4.</w:t>
      </w:r>
      <w:r>
        <w:rPr>
          <w:rFonts w:hint="eastAsia" w:ascii="宋体" w:hAnsi="宋体" w:cs="Times New Roman"/>
          <w:b w:val="0"/>
          <w:bCs w:val="0"/>
          <w:color w:val="000000" w:themeColor="text1"/>
          <w:sz w:val="24"/>
          <w:lang w:val="en-US" w:eastAsia="zh-CN"/>
          <w14:textFill>
            <w14:solidFill>
              <w14:schemeClr w14:val="tx1"/>
            </w14:solidFill>
          </w14:textFill>
        </w:rPr>
        <w:t>1</w:t>
      </w:r>
      <w:r>
        <w:rPr>
          <w:rFonts w:hint="eastAsia" w:ascii="宋体" w:hAnsi="宋体" w:eastAsia="宋体" w:cs="Times New Roman"/>
          <w:b w:val="0"/>
          <w:bCs w:val="0"/>
          <w:color w:val="000000" w:themeColor="text1"/>
          <w:sz w:val="24"/>
          <w14:textFill>
            <w14:solidFill>
              <w14:schemeClr w14:val="tx1"/>
            </w14:solidFill>
          </w14:textFill>
        </w:rPr>
        <w:t>学习流程管理</w:t>
      </w:r>
    </w:p>
    <w:p w14:paraId="5508DC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（1）教师可以将课程章节内视频、图书、作业等内容设置为任务点，要求学员必须完成，灵活控制学员学习的情况。</w:t>
      </w:r>
    </w:p>
    <w:p w14:paraId="1ACE83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2</w:t>
      </w:r>
      <w:r>
        <w:rPr>
          <w:rFonts w:hint="eastAsia" w:ascii="宋体" w:hAnsi="宋体" w:eastAsia="宋体" w:cs="Times New Roman"/>
          <w:b w:val="0"/>
          <w:bCs w:val="0"/>
          <w:color w:val="000000" w:themeColor="text1"/>
          <w:sz w:val="24"/>
          <w14:textFill>
            <w14:solidFill>
              <w14:schemeClr w14:val="tx1"/>
            </w14:solidFill>
          </w14:textFill>
        </w:rPr>
        <w:t>）支持学习过程的监督和跟踪。</w:t>
      </w:r>
    </w:p>
    <w:p w14:paraId="75C070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3</w:t>
      </w:r>
      <w:r>
        <w:rPr>
          <w:rFonts w:hint="eastAsia" w:ascii="宋体" w:hAnsi="宋体" w:eastAsia="宋体" w:cs="Times New Roman"/>
          <w:b w:val="0"/>
          <w:bCs w:val="0"/>
          <w:color w:val="000000" w:themeColor="text1"/>
          <w:sz w:val="24"/>
          <w14:textFill>
            <w14:solidFill>
              <w14:schemeClr w14:val="tx1"/>
            </w14:solidFill>
          </w14:textFill>
        </w:rPr>
        <w:t>）视频播放控制：课程的教学视频文件具有“防拖拽和防窗口切换”功能，即视频播放的时候无法进行快进播放，打开章节学习的时候不能再打开其他网页，否则视频播放</w:t>
      </w:r>
      <w:r>
        <w:rPr>
          <w:rFonts w:hint="eastAsia" w:ascii="宋体" w:hAnsi="宋体" w:cs="Times New Roman"/>
          <w:b w:val="0"/>
          <w:bCs w:val="0"/>
          <w:color w:val="000000" w:themeColor="text1"/>
          <w:sz w:val="24"/>
          <w:lang w:eastAsia="zh-CN"/>
          <w14:textFill>
            <w14:solidFill>
              <w14:schemeClr w14:val="tx1"/>
            </w14:solidFill>
          </w14:textFill>
        </w:rPr>
        <w:t>停滞</w:t>
      </w:r>
      <w:r>
        <w:rPr>
          <w:rFonts w:hint="eastAsia" w:ascii="宋体" w:hAnsi="宋体" w:eastAsia="宋体" w:cs="Times New Roman"/>
          <w:b w:val="0"/>
          <w:bCs w:val="0"/>
          <w:color w:val="000000" w:themeColor="text1"/>
          <w:sz w:val="24"/>
          <w14:textFill>
            <w14:solidFill>
              <w14:schemeClr w14:val="tx1"/>
            </w14:solidFill>
          </w14:textFill>
        </w:rPr>
        <w:t>。同时在章节视频中可以插入测验题，作答正确，才能继续学习。支持学生观看章节视频时自动连播；支持学生观看章节视频时在播放器画面右上角显示个人信息水印；</w:t>
      </w:r>
    </w:p>
    <w:p w14:paraId="0449F1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4</w:t>
      </w:r>
      <w:r>
        <w:rPr>
          <w:rFonts w:hint="eastAsia" w:ascii="宋体" w:hAnsi="宋体" w:eastAsia="宋体" w:cs="Times New Roman"/>
          <w:b w:val="0"/>
          <w:bCs w:val="0"/>
          <w:color w:val="000000" w:themeColor="text1"/>
          <w:sz w:val="24"/>
          <w14:textFill>
            <w14:solidFill>
              <w14:schemeClr w14:val="tx1"/>
            </w14:solidFill>
          </w14:textFill>
        </w:rPr>
        <w:t>）学习监控：支持学员进入课程或课程学习过程中进行人脸识别。观看过程中人脸识别支持设置抓拍时间点，包括视频起始点、视频播放中、视频暂停时再播放、视频结束时。支持设置定时抓拍或随机抓拍1次；抓拍间隔时间；app识别或电脑摄像头识别方式；识别失败限制学习；识别失败次数累计超过设置上限次数，清除学习记录等设置。</w:t>
      </w:r>
    </w:p>
    <w:p w14:paraId="635AA4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2.4.</w:t>
      </w:r>
      <w:r>
        <w:rPr>
          <w:rFonts w:hint="eastAsia" w:ascii="宋体" w:hAnsi="宋体" w:cs="Times New Roman"/>
          <w:b w:val="0"/>
          <w:bCs w:val="0"/>
          <w:color w:val="000000" w:themeColor="text1"/>
          <w:sz w:val="24"/>
          <w:lang w:val="en-US" w:eastAsia="zh-CN"/>
          <w14:textFill>
            <w14:solidFill>
              <w14:schemeClr w14:val="tx1"/>
            </w14:solidFill>
          </w14:textFill>
        </w:rPr>
        <w:t>2</w:t>
      </w:r>
      <w:r>
        <w:rPr>
          <w:rFonts w:hint="eastAsia" w:ascii="宋体" w:hAnsi="宋体" w:eastAsia="宋体" w:cs="Times New Roman"/>
          <w:b w:val="0"/>
          <w:bCs w:val="0"/>
          <w:color w:val="000000" w:themeColor="text1"/>
          <w:sz w:val="24"/>
          <w14:textFill>
            <w14:solidFill>
              <w14:schemeClr w14:val="tx1"/>
            </w14:solidFill>
          </w14:textFill>
        </w:rPr>
        <w:t>教学统计</w:t>
      </w:r>
    </w:p>
    <w:p w14:paraId="637CEB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（1）支出教学基础数据统计。支持按班级查看并下载课堂报告。支持学情统计。支持视频观看统计。支持统计综合成绩平均分和分数分布情况。</w:t>
      </w:r>
    </w:p>
    <w:p w14:paraId="4D2B7D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学习监控：支持对学员观看视频任务点、作业、考试异常行为进行监控，记录异常次数、异常分析、监控详情等信息，查看学生/学员访问日志，对有异常行为的学生进行提醒，可以对异常行为进行处理；设置学习监控条件、导出异常记录。</w:t>
      </w:r>
    </w:p>
    <w:p w14:paraId="7BD348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（3）教材教参：教师可以从教学资源库中查找并添加课程相关的教学参考书，推荐给学员直接进行在线阅读。</w:t>
      </w:r>
    </w:p>
    <w:p w14:paraId="0F4BA7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2.4.4题库管理</w:t>
      </w:r>
    </w:p>
    <w:p w14:paraId="224C38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（1）支持题目单条录入、智能导入、模板导入三种添加方式，题库导入支持智能识别；</w:t>
      </w:r>
    </w:p>
    <w:p w14:paraId="134695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（2）支持18种题型，支持自定义题型，支持难度等级、所属知识点设置；</w:t>
      </w:r>
    </w:p>
    <w:p w14:paraId="0BB268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（3）支持题库查重。</w:t>
      </w:r>
    </w:p>
    <w:p w14:paraId="59FC54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2.4.5作业</w:t>
      </w:r>
    </w:p>
    <w:p w14:paraId="1F281D69">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支持手动创建作业、导入作业、从教学资源库添加作业.支持作业预警</w:t>
      </w:r>
    </w:p>
    <w:p w14:paraId="49495A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（2）支持多种作业题型，支持添加文档、附件、视频、音频等内容作为题干；</w:t>
      </w:r>
    </w:p>
    <w:p w14:paraId="28ACF7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lang w:eastAsia="zh-CN"/>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（3）支持作业手动批阅、自动批阅、作业预警</w:t>
      </w:r>
      <w:r>
        <w:rPr>
          <w:rFonts w:hint="eastAsia" w:ascii="宋体" w:hAnsi="宋体" w:eastAsia="宋体" w:cs="Times New Roman"/>
          <w:b w:val="0"/>
          <w:bCs w:val="0"/>
          <w:color w:val="000000" w:themeColor="text1"/>
          <w:sz w:val="24"/>
          <w:lang w:eastAsia="zh-CN"/>
          <w14:textFill>
            <w14:solidFill>
              <w14:schemeClr w14:val="tx1"/>
            </w14:solidFill>
          </w14:textFill>
        </w:rPr>
        <w:t>；</w:t>
      </w:r>
    </w:p>
    <w:p w14:paraId="6E7E0F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2.4.6测验与考试</w:t>
      </w:r>
    </w:p>
    <w:p w14:paraId="041211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（1）支持手动创建试卷、自动随机组卷、导入试卷、选择已创建好的试卷；</w:t>
      </w:r>
    </w:p>
    <w:p w14:paraId="52660F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lang w:eastAsia="zh-CN"/>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（2）发布考试支持自动随机组卷，组多套试卷时，可设置试卷试题重复率为0、不高于20%、不高于50%等，系统可自动检测组卷重复率是否达标，并给出提示</w:t>
      </w:r>
      <w:r>
        <w:rPr>
          <w:rFonts w:hint="eastAsia" w:ascii="宋体" w:hAnsi="宋体" w:eastAsia="宋体" w:cs="Times New Roman"/>
          <w:b w:val="0"/>
          <w:bCs w:val="0"/>
          <w:color w:val="000000" w:themeColor="text1"/>
          <w:sz w:val="24"/>
          <w:lang w:eastAsia="zh-CN"/>
          <w14:textFill>
            <w14:solidFill>
              <w14:schemeClr w14:val="tx1"/>
            </w14:solidFill>
          </w14:textFill>
        </w:rPr>
        <w:t>；</w:t>
      </w:r>
    </w:p>
    <w:p w14:paraId="17FD6A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（3）支持试卷封存；支持设置考试承诺书内容，学生进入考试需要填写并提交承诺书后才能进入考试须知页面。支持试卷手动批阅、自动批阅、流水批阅、生生互批、考试预警；</w:t>
      </w:r>
    </w:p>
    <w:p w14:paraId="1FB246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4）在线监考：支持监考教师实时查看每位考生是否进入考试、进入时间、当前状态、IP地址、所在地区、考试方式、人脸识别情况、切屏次数、考试过程中抓拍照片识别次数、考试过程中抓拍照片识别异常次数、屏幕抓拍识别异常次数、是否被标记等。支持考试码考试。</w:t>
      </w:r>
    </w:p>
    <w:p w14:paraId="04C848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5</w:t>
      </w:r>
      <w:r>
        <w:rPr>
          <w:rFonts w:hint="eastAsia" w:ascii="宋体" w:hAnsi="宋体" w:eastAsia="宋体" w:cs="Times New Roman"/>
          <w:b w:val="0"/>
          <w:bCs w:val="0"/>
          <w:color w:val="000000" w:themeColor="text1"/>
          <w:sz w:val="24"/>
          <w14:textFill>
            <w14:solidFill>
              <w14:schemeClr w14:val="tx1"/>
            </w14:solidFill>
          </w14:textFill>
        </w:rPr>
        <w:t>）考试统计：支持查看考生成绩分布，客观题正确率、正确详情、错误详情，主观题得分率、平均分，部分客观题可以通过图表方式展示作答情况。</w:t>
      </w:r>
    </w:p>
    <w:p w14:paraId="3FD1F9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6</w:t>
      </w:r>
      <w:r>
        <w:rPr>
          <w:rFonts w:hint="eastAsia" w:ascii="宋体" w:hAnsi="宋体" w:eastAsia="宋体" w:cs="Times New Roman"/>
          <w:b w:val="0"/>
          <w:bCs w:val="0"/>
          <w:color w:val="000000" w:themeColor="text1"/>
          <w:sz w:val="24"/>
          <w14:textFill>
            <w14:solidFill>
              <w14:schemeClr w14:val="tx1"/>
            </w14:solidFill>
          </w14:textFill>
        </w:rPr>
        <w:t>）支持生成试卷分析报告，可以生成完整的试卷分析报告，报告中需至少包含试卷难度、区分度统计，成绩正态分布，成绩标准差、方差、试卷信度等分析数据项。</w:t>
      </w:r>
    </w:p>
    <w:p w14:paraId="772601E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2.5直播系统</w:t>
      </w:r>
    </w:p>
    <w:p w14:paraId="7D7864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2.5.1直播管理</w:t>
      </w:r>
    </w:p>
    <w:p w14:paraId="50F4DE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（1）具有直播后台，后台可进行直播的新建/删除，查看直播地址/二维码，观看统计，设置回看开始时间，禁言/取消禁言，禁止转发功能操作。</w:t>
      </w:r>
    </w:p>
    <w:p w14:paraId="7C5CB1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（2）支持网页、APP、微信等多终端观看，支持专属邀请码直接进入观看，支持链接和扫描二维码观看直播。</w:t>
      </w:r>
    </w:p>
    <w:p w14:paraId="5DE3BD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（3）直播可实现课程之间关联，满足在课程内创建直播，并通过课程章节进入直播。</w:t>
      </w:r>
    </w:p>
    <w:p w14:paraId="3649A3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（4）播的视频可进行不限次数回看，也可设置/取消禁止回看，也可导出生成独立的mp4视频文件；同时支持账号实名登录评论互动，以满足用户直播</w:t>
      </w:r>
      <w:r>
        <w:rPr>
          <w:rFonts w:hint="eastAsia" w:ascii="宋体" w:hAnsi="宋体" w:cs="Times New Roman"/>
          <w:b w:val="0"/>
          <w:bCs w:val="0"/>
          <w:color w:val="000000" w:themeColor="text1"/>
          <w:sz w:val="24"/>
          <w:lang w:eastAsia="zh-CN"/>
          <w14:textFill>
            <w14:solidFill>
              <w14:schemeClr w14:val="tx1"/>
            </w14:solidFill>
          </w14:textFill>
        </w:rPr>
        <w:t>的需求</w:t>
      </w:r>
      <w:r>
        <w:rPr>
          <w:rFonts w:hint="eastAsia" w:ascii="宋体" w:hAnsi="宋体" w:eastAsia="宋体" w:cs="Times New Roman"/>
          <w:b w:val="0"/>
          <w:bCs w:val="0"/>
          <w:color w:val="000000" w:themeColor="text1"/>
          <w:sz w:val="24"/>
          <w14:textFill>
            <w14:solidFill>
              <w14:schemeClr w14:val="tx1"/>
            </w14:solidFill>
          </w14:textFill>
        </w:rPr>
        <w:t>、点播、边看边聊等需求。</w:t>
      </w:r>
    </w:p>
    <w:p w14:paraId="479FAA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2.5.2直播客户端</w:t>
      </w:r>
    </w:p>
    <w:p w14:paraId="2208C0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（1）支持二维码扫码登录，二维码具有时效性，过期后点击刷新更新。</w:t>
      </w:r>
    </w:p>
    <w:p w14:paraId="36F67A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（2）教学课件支持多种文件格式：pdf，docx，doc，ppt，pptx，png，jpg，jpeg，白板格式，支持同时添加不低于10种文件，可左右翻页和各页面展示自由切换各课件。</w:t>
      </w:r>
    </w:p>
    <w:p w14:paraId="7C7A60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（3）支持实时板书批注，包括画笔，标注和文本，支持红黄蓝绿4种颜色，可自定义矩形，</w:t>
      </w:r>
      <w:r>
        <w:rPr>
          <w:rFonts w:hint="eastAsia" w:ascii="宋体" w:hAnsi="宋体" w:cs="Times New Roman"/>
          <w:b w:val="0"/>
          <w:bCs w:val="0"/>
          <w:color w:val="000000" w:themeColor="text1"/>
          <w:sz w:val="24"/>
          <w:lang w:eastAsia="zh-CN"/>
          <w14:textFill>
            <w14:solidFill>
              <w14:schemeClr w14:val="tx1"/>
            </w14:solidFill>
          </w14:textFill>
        </w:rPr>
        <w:t>圆形</w:t>
      </w:r>
      <w:r>
        <w:rPr>
          <w:rFonts w:hint="eastAsia" w:ascii="宋体" w:hAnsi="宋体" w:eastAsia="宋体" w:cs="Times New Roman"/>
          <w:b w:val="0"/>
          <w:bCs w:val="0"/>
          <w:color w:val="000000" w:themeColor="text1"/>
          <w:sz w:val="24"/>
          <w14:textFill>
            <w14:solidFill>
              <w14:schemeClr w14:val="tx1"/>
            </w14:solidFill>
          </w14:textFill>
        </w:rPr>
        <w:t>，直线形状，支持部分擦除和一键清除。</w:t>
      </w:r>
    </w:p>
    <w:p w14:paraId="197C1E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（4）支持查看用户列表，在线人数并显示各用户姓名和角色身份，主讲人可进行踢出和禁言操作，被踢出用户无法再次进入直播间观看。</w:t>
      </w:r>
    </w:p>
    <w:p w14:paraId="51F3FA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（5）答题模式支持判断题和多选题类型，支持实时统计答题人数，正确率和各选项答题人数。</w:t>
      </w:r>
    </w:p>
    <w:p w14:paraId="7E4390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（6）支持摄像头、桌面共享</w:t>
      </w:r>
      <w:r>
        <w:rPr>
          <w:rFonts w:hint="eastAsia" w:ascii="宋体" w:hAnsi="宋体" w:cs="Times New Roman"/>
          <w:b w:val="0"/>
          <w:bCs w:val="0"/>
          <w:color w:val="000000" w:themeColor="text1"/>
          <w:sz w:val="24"/>
          <w:lang w:eastAsia="zh-CN"/>
          <w14:textFill>
            <w14:solidFill>
              <w14:schemeClr w14:val="tx1"/>
            </w14:solidFill>
          </w14:textFill>
        </w:rPr>
        <w:t>以及</w:t>
      </w:r>
      <w:r>
        <w:rPr>
          <w:rFonts w:hint="eastAsia" w:ascii="宋体" w:hAnsi="宋体" w:eastAsia="宋体" w:cs="Times New Roman"/>
          <w:b w:val="0"/>
          <w:bCs w:val="0"/>
          <w:color w:val="000000" w:themeColor="text1"/>
          <w:sz w:val="24"/>
          <w14:textFill>
            <w14:solidFill>
              <w14:schemeClr w14:val="tx1"/>
            </w14:solidFill>
          </w14:textFill>
        </w:rPr>
        <w:t>视频和图片画面播放。摄像头支持配置亮度，对比度等参数；桌面共享支持光标，画笔，矩形，指定删除和一键删除功能，可配置颜色不少于7种。</w:t>
      </w:r>
    </w:p>
    <w:p w14:paraId="072594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（7）新建直播可定义直播名称和直播简介内容，结束直播，可选择是否支持回看。</w:t>
      </w:r>
    </w:p>
    <w:p w14:paraId="408C8B3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2.6在线考试系统</w:t>
      </w:r>
    </w:p>
    <w:p w14:paraId="420F7C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2.6.1题库管理</w:t>
      </w:r>
    </w:p>
    <w:p w14:paraId="58B352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（1）题库分类：题库支持自定义多级分类管理，对分类支持增加、删除、修改操作，建设好的题库可以调整所属分类。</w:t>
      </w:r>
    </w:p>
    <w:p w14:paraId="2642C6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（2）建设任务指派：管理者对每个题库可以指派多名建设教师，并对每位教师可以设置编辑、管理题目、组卷、删除等不同的操作权限。</w:t>
      </w:r>
    </w:p>
    <w:p w14:paraId="4B25F8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3</w:t>
      </w:r>
      <w:r>
        <w:rPr>
          <w:rFonts w:hint="eastAsia" w:ascii="宋体" w:hAnsi="宋体" w:eastAsia="宋体" w:cs="Times New Roman"/>
          <w:b w:val="0"/>
          <w:bCs w:val="0"/>
          <w:color w:val="000000" w:themeColor="text1"/>
          <w:sz w:val="24"/>
          <w14:textFill>
            <w14:solidFill>
              <w14:schemeClr w14:val="tx1"/>
            </w14:solidFill>
          </w14:textFill>
        </w:rPr>
        <w:t>）题型支持：至少应支持单选、多选、填空、判断、简答、名词解析、论述、计算、分录、连线、排序、完形填空、阅读理解、口语、听力等常见题型，并支持题型自定义。</w:t>
      </w:r>
    </w:p>
    <w:p w14:paraId="6B5C09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4</w:t>
      </w:r>
      <w:r>
        <w:rPr>
          <w:rFonts w:hint="eastAsia" w:ascii="宋体" w:hAnsi="宋体" w:eastAsia="宋体" w:cs="Times New Roman"/>
          <w:b w:val="0"/>
          <w:bCs w:val="0"/>
          <w:color w:val="000000" w:themeColor="text1"/>
          <w:sz w:val="24"/>
          <w14:textFill>
            <w14:solidFill>
              <w14:schemeClr w14:val="tx1"/>
            </w14:solidFill>
          </w14:textFill>
        </w:rPr>
        <w:t>）试题设置：对试题的相关属性进行设置，如难度等级、所属知识点等情况进行设置和分类检索。</w:t>
      </w:r>
    </w:p>
    <w:p w14:paraId="245149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5</w:t>
      </w:r>
      <w:r>
        <w:rPr>
          <w:rFonts w:hint="eastAsia" w:ascii="宋体" w:hAnsi="宋体" w:eastAsia="宋体" w:cs="Times New Roman"/>
          <w:b w:val="0"/>
          <w:bCs w:val="0"/>
          <w:color w:val="000000" w:themeColor="text1"/>
          <w:sz w:val="24"/>
          <w14:textFill>
            <w14:solidFill>
              <w14:schemeClr w14:val="tx1"/>
            </w14:solidFill>
          </w14:textFill>
        </w:rPr>
        <w:t>）试题导入：教师建设题库时除可以手动录入外应支持模板导入功能，模板至少提供常用的word和excel两种格式。</w:t>
      </w:r>
    </w:p>
    <w:p w14:paraId="4152C8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6</w:t>
      </w:r>
      <w:r>
        <w:rPr>
          <w:rFonts w:hint="eastAsia" w:ascii="宋体" w:hAnsi="宋体" w:eastAsia="宋体" w:cs="Times New Roman"/>
          <w:b w:val="0"/>
          <w:bCs w:val="0"/>
          <w:color w:val="000000" w:themeColor="text1"/>
          <w:sz w:val="24"/>
          <w14:textFill>
            <w14:solidFill>
              <w14:schemeClr w14:val="tx1"/>
            </w14:solidFill>
          </w14:textFill>
        </w:rPr>
        <w:t>）智能识别：题库建设时可直接从文档中智能识别题目并录入题库，识别有误时智能提醒，调整后再次录入。对每种不同的题型会自动识别出来并归类，如：选择题、简答题、多选题、填空题、判断题等。</w:t>
      </w:r>
    </w:p>
    <w:p w14:paraId="4D791D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7</w:t>
      </w:r>
      <w:r>
        <w:rPr>
          <w:rFonts w:hint="eastAsia" w:ascii="宋体" w:hAnsi="宋体" w:eastAsia="宋体" w:cs="Times New Roman"/>
          <w:b w:val="0"/>
          <w:bCs w:val="0"/>
          <w:color w:val="000000" w:themeColor="text1"/>
          <w:sz w:val="24"/>
          <w14:textFill>
            <w14:solidFill>
              <w14:schemeClr w14:val="tx1"/>
            </w14:solidFill>
          </w14:textFill>
        </w:rPr>
        <w:t>）分文件夹管理：每个题库支持按文件夹形式对题库中的试题进行分类管理，每个分类里面可以放入不同难度、知识点的题目，有效的</w:t>
      </w:r>
      <w:r>
        <w:rPr>
          <w:rFonts w:hint="eastAsia" w:ascii="宋体" w:hAnsi="宋体" w:cs="Times New Roman"/>
          <w:b w:val="0"/>
          <w:bCs w:val="0"/>
          <w:color w:val="000000" w:themeColor="text1"/>
          <w:sz w:val="24"/>
          <w:lang w:eastAsia="zh-CN"/>
          <w14:textFill>
            <w14:solidFill>
              <w14:schemeClr w14:val="tx1"/>
            </w14:solidFill>
          </w14:textFill>
        </w:rPr>
        <w:t>实现</w:t>
      </w:r>
      <w:r>
        <w:rPr>
          <w:rFonts w:hint="eastAsia" w:ascii="宋体" w:hAnsi="宋体" w:eastAsia="宋体" w:cs="Times New Roman"/>
          <w:b w:val="0"/>
          <w:bCs w:val="0"/>
          <w:color w:val="000000" w:themeColor="text1"/>
          <w:sz w:val="24"/>
          <w14:textFill>
            <w14:solidFill>
              <w14:schemeClr w14:val="tx1"/>
            </w14:solidFill>
          </w14:textFill>
        </w:rPr>
        <w:t>试题的归类整理。</w:t>
      </w:r>
    </w:p>
    <w:p w14:paraId="6C5F30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8</w:t>
      </w:r>
      <w:r>
        <w:rPr>
          <w:rFonts w:hint="eastAsia" w:ascii="宋体" w:hAnsi="宋体" w:eastAsia="宋体" w:cs="Times New Roman"/>
          <w:b w:val="0"/>
          <w:bCs w:val="0"/>
          <w:color w:val="000000" w:themeColor="text1"/>
          <w:sz w:val="24"/>
          <w14:textFill>
            <w14:solidFill>
              <w14:schemeClr w14:val="tx1"/>
            </w14:solidFill>
          </w14:textFill>
        </w:rPr>
        <w:t>）建设好的题支持移动、复制、再次编辑、删除等操作。</w:t>
      </w:r>
    </w:p>
    <w:p w14:paraId="538D9A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9</w:t>
      </w:r>
      <w:r>
        <w:rPr>
          <w:rFonts w:hint="eastAsia" w:ascii="宋体" w:hAnsi="宋体" w:eastAsia="宋体" w:cs="Times New Roman"/>
          <w:b w:val="0"/>
          <w:bCs w:val="0"/>
          <w:color w:val="000000" w:themeColor="text1"/>
          <w:sz w:val="24"/>
          <w14:textFill>
            <w14:solidFill>
              <w14:schemeClr w14:val="tx1"/>
            </w14:solidFill>
          </w14:textFill>
        </w:rPr>
        <w:t>）题库提供回收站，误删题之后可以从回收站恢复。</w:t>
      </w:r>
    </w:p>
    <w:p w14:paraId="7878DB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w:t>
      </w:r>
      <w:r>
        <w:rPr>
          <w:rFonts w:hint="eastAsia" w:ascii="宋体" w:hAnsi="宋体" w:cs="Times New Roman"/>
          <w:b w:val="0"/>
          <w:bCs w:val="0"/>
          <w:color w:val="000000" w:themeColor="text1"/>
          <w:sz w:val="24"/>
          <w:lang w:val="en-US" w:eastAsia="zh-CN"/>
          <w14:textFill>
            <w14:solidFill>
              <w14:schemeClr w14:val="tx1"/>
            </w14:solidFill>
          </w14:textFill>
        </w:rPr>
        <w:t>0</w:t>
      </w:r>
      <w:r>
        <w:rPr>
          <w:rFonts w:hint="eastAsia" w:ascii="宋体" w:hAnsi="宋体" w:eastAsia="宋体" w:cs="Times New Roman"/>
          <w:b w:val="0"/>
          <w:bCs w:val="0"/>
          <w:color w:val="000000" w:themeColor="text1"/>
          <w:sz w:val="24"/>
          <w14:textFill>
            <w14:solidFill>
              <w14:schemeClr w14:val="tx1"/>
            </w14:solidFill>
          </w14:textFill>
        </w:rPr>
        <w:t>）题库中的所有题</w:t>
      </w:r>
      <w:r>
        <w:rPr>
          <w:rFonts w:hint="eastAsia" w:ascii="宋体" w:hAnsi="宋体" w:cs="Times New Roman"/>
          <w:b w:val="0"/>
          <w:bCs w:val="0"/>
          <w:color w:val="000000" w:themeColor="text1"/>
          <w:sz w:val="24"/>
          <w:lang w:eastAsia="zh-CN"/>
          <w14:textFill>
            <w14:solidFill>
              <w14:schemeClr w14:val="tx1"/>
            </w14:solidFill>
          </w14:textFill>
        </w:rPr>
        <w:t>目都</w:t>
      </w:r>
      <w:r>
        <w:rPr>
          <w:rFonts w:hint="eastAsia" w:ascii="宋体" w:hAnsi="宋体" w:eastAsia="宋体" w:cs="Times New Roman"/>
          <w:b w:val="0"/>
          <w:bCs w:val="0"/>
          <w:color w:val="000000" w:themeColor="text1"/>
          <w:sz w:val="24"/>
          <w14:textFill>
            <w14:solidFill>
              <w14:schemeClr w14:val="tx1"/>
            </w14:solidFill>
          </w14:textFill>
        </w:rPr>
        <w:t>支持一键导出。</w:t>
      </w:r>
    </w:p>
    <w:p w14:paraId="4D4A2B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2.6.2试卷管理</w:t>
      </w:r>
    </w:p>
    <w:p w14:paraId="275D6F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智能组卷：设置好组卷逻辑之后，可以从指定的题库中按照设置的组卷逻辑进行随机抽题组卷，每次组卷数量上限不得低于20套，支持按知识点、文件夹、题型、难易度等多维度组合抽题组卷，支持设置组卷的题目重复率，避免抽取到大量重复题目。</w:t>
      </w:r>
    </w:p>
    <w:p w14:paraId="58B561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（2）手动组卷：支持手动从题库选择试题进行组卷，选择试题后如果发现题目有误。</w:t>
      </w:r>
    </w:p>
    <w:p w14:paraId="464724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（3）支持在线修改。</w:t>
      </w:r>
    </w:p>
    <w:p w14:paraId="4046DB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（4）智能导入：支持通过上传Word文档智能识别题目并导入生成试卷，导入支持文本、图片、公式</w:t>
      </w:r>
      <w:r>
        <w:rPr>
          <w:rFonts w:hint="eastAsia" w:ascii="宋体" w:hAnsi="宋体" w:cs="Times New Roman"/>
          <w:b w:val="0"/>
          <w:bCs w:val="0"/>
          <w:color w:val="000000" w:themeColor="text1"/>
          <w:sz w:val="24"/>
          <w:lang w:eastAsia="zh-CN"/>
          <w14:textFill>
            <w14:solidFill>
              <w14:schemeClr w14:val="tx1"/>
            </w14:solidFill>
          </w14:textFill>
        </w:rPr>
        <w:t>等</w:t>
      </w:r>
      <w:r>
        <w:rPr>
          <w:rFonts w:hint="eastAsia" w:ascii="宋体" w:hAnsi="宋体" w:eastAsia="宋体" w:cs="Times New Roman"/>
          <w:b w:val="0"/>
          <w:bCs w:val="0"/>
          <w:color w:val="000000" w:themeColor="text1"/>
          <w:sz w:val="24"/>
          <w14:textFill>
            <w14:solidFill>
              <w14:schemeClr w14:val="tx1"/>
            </w14:solidFill>
          </w14:textFill>
        </w:rPr>
        <w:t>，若识别有误，可在上方下载推荐格式，按格式修改后重新识别。</w:t>
      </w:r>
    </w:p>
    <w:p w14:paraId="3B9F1A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5</w:t>
      </w:r>
      <w:r>
        <w:rPr>
          <w:rFonts w:hint="eastAsia" w:ascii="宋体" w:hAnsi="宋体" w:eastAsia="宋体" w:cs="Times New Roman"/>
          <w:b w:val="0"/>
          <w:bCs w:val="0"/>
          <w:color w:val="000000" w:themeColor="text1"/>
          <w:sz w:val="24"/>
          <w14:textFill>
            <w14:solidFill>
              <w14:schemeClr w14:val="tx1"/>
            </w14:solidFill>
          </w14:textFill>
        </w:rPr>
        <w:t>）试卷封存：为防止试卷</w:t>
      </w:r>
      <w:r>
        <w:rPr>
          <w:rFonts w:hint="eastAsia" w:ascii="宋体" w:hAnsi="宋体" w:cs="Times New Roman"/>
          <w:b w:val="0"/>
          <w:bCs w:val="0"/>
          <w:color w:val="000000" w:themeColor="text1"/>
          <w:sz w:val="24"/>
          <w:lang w:eastAsia="zh-CN"/>
          <w14:textFill>
            <w14:solidFill>
              <w14:schemeClr w14:val="tx1"/>
            </w14:solidFill>
          </w14:textFill>
        </w:rPr>
        <w:t>泄露</w:t>
      </w:r>
      <w:r>
        <w:rPr>
          <w:rFonts w:hint="eastAsia" w:ascii="宋体" w:hAnsi="宋体" w:eastAsia="宋体" w:cs="Times New Roman"/>
          <w:b w:val="0"/>
          <w:bCs w:val="0"/>
          <w:color w:val="000000" w:themeColor="text1"/>
          <w:sz w:val="24"/>
          <w14:textFill>
            <w14:solidFill>
              <w14:schemeClr w14:val="tx1"/>
            </w14:solidFill>
          </w14:textFill>
        </w:rPr>
        <w:t>，组卷完成后可将试卷进行封存，封存的试卷只有输入密码才能开启，有效防止泄题事故的发生。</w:t>
      </w:r>
    </w:p>
    <w:p w14:paraId="70B9EB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6</w:t>
      </w:r>
      <w:r>
        <w:rPr>
          <w:rFonts w:hint="eastAsia" w:ascii="宋体" w:hAnsi="宋体" w:eastAsia="宋体" w:cs="Times New Roman"/>
          <w:b w:val="0"/>
          <w:bCs w:val="0"/>
          <w:color w:val="000000" w:themeColor="text1"/>
          <w:sz w:val="24"/>
          <w14:textFill>
            <w14:solidFill>
              <w14:schemeClr w14:val="tx1"/>
            </w14:solidFill>
          </w14:textFill>
        </w:rPr>
        <w:t>）试卷编辑：对组建完成的试卷可进行预览、编辑、复制、删除、指派试卷负责老师等工作，对于试卷负责老师可以限定权限。</w:t>
      </w:r>
    </w:p>
    <w:p w14:paraId="619B4C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7</w:t>
      </w:r>
      <w:r>
        <w:rPr>
          <w:rFonts w:hint="eastAsia" w:ascii="宋体" w:hAnsi="宋体" w:eastAsia="宋体" w:cs="Times New Roman"/>
          <w:b w:val="0"/>
          <w:bCs w:val="0"/>
          <w:color w:val="000000" w:themeColor="text1"/>
          <w:sz w:val="24"/>
          <w14:textFill>
            <w14:solidFill>
              <w14:schemeClr w14:val="tx1"/>
            </w14:solidFill>
          </w14:textFill>
        </w:rPr>
        <w:t>）试卷导出：支持试卷按标准版和模板导出。</w:t>
      </w:r>
    </w:p>
    <w:p w14:paraId="5036B1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2.6.3考试管理</w:t>
      </w:r>
    </w:p>
    <w:p w14:paraId="382352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（1）考生管理：考生支持手动添加、批量导入、根据组织架构选择、也可以从网络课程的教学班或选课数据中直接选择学生，支持按照是否已采集人脸识别照片、院系、专业、班级</w:t>
      </w:r>
      <w:r>
        <w:rPr>
          <w:rFonts w:hint="eastAsia" w:ascii="宋体" w:hAnsi="宋体" w:cs="Times New Roman"/>
          <w:b w:val="0"/>
          <w:bCs w:val="0"/>
          <w:color w:val="000000" w:themeColor="text1"/>
          <w:sz w:val="24"/>
          <w:lang w:eastAsia="zh-CN"/>
          <w14:textFill>
            <w14:solidFill>
              <w14:schemeClr w14:val="tx1"/>
            </w14:solidFill>
          </w14:textFill>
        </w:rPr>
        <w:t>等</w:t>
      </w:r>
      <w:r>
        <w:rPr>
          <w:rFonts w:hint="eastAsia" w:ascii="宋体" w:hAnsi="宋体" w:eastAsia="宋体" w:cs="Times New Roman"/>
          <w:b w:val="0"/>
          <w:bCs w:val="0"/>
          <w:color w:val="000000" w:themeColor="text1"/>
          <w:sz w:val="24"/>
          <w14:textFill>
            <w14:solidFill>
              <w14:schemeClr w14:val="tx1"/>
            </w14:solidFill>
          </w14:textFill>
        </w:rPr>
        <w:t>筛选考生。</w:t>
      </w:r>
    </w:p>
    <w:p w14:paraId="488E88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（2）考试时间：可以设置考试开始时间、</w:t>
      </w:r>
      <w:r>
        <w:rPr>
          <w:rFonts w:hint="eastAsia" w:ascii="宋体" w:hAnsi="宋体" w:cs="Times New Roman"/>
          <w:b w:val="0"/>
          <w:bCs w:val="0"/>
          <w:color w:val="000000" w:themeColor="text1"/>
          <w:sz w:val="24"/>
          <w:lang w:eastAsia="zh-CN"/>
          <w14:textFill>
            <w14:solidFill>
              <w14:schemeClr w14:val="tx1"/>
            </w14:solidFill>
          </w14:textFill>
        </w:rPr>
        <w:t>截止</w:t>
      </w:r>
      <w:r>
        <w:rPr>
          <w:rFonts w:hint="eastAsia" w:ascii="宋体" w:hAnsi="宋体" w:eastAsia="宋体" w:cs="Times New Roman"/>
          <w:b w:val="0"/>
          <w:bCs w:val="0"/>
          <w:color w:val="000000" w:themeColor="text1"/>
          <w:sz w:val="24"/>
          <w14:textFill>
            <w14:solidFill>
              <w14:schemeClr w14:val="tx1"/>
            </w14:solidFill>
          </w14:textFill>
        </w:rPr>
        <w:t>时间、考试时长，最早交卷时间、最晚进入考试时间。</w:t>
      </w:r>
    </w:p>
    <w:p w14:paraId="669982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（3）单题限时：可设置考试题目的单道题答题时长限制。</w:t>
      </w:r>
    </w:p>
    <w:p w14:paraId="74F3F3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w:t>
      </w:r>
      <w:r>
        <w:rPr>
          <w:rFonts w:hint="eastAsia" w:ascii="宋体" w:hAnsi="宋体" w:cs="Times New Roman"/>
          <w:b w:val="0"/>
          <w:bCs w:val="0"/>
          <w:color w:val="000000" w:themeColor="text1"/>
          <w:sz w:val="24"/>
          <w:lang w:val="en-US" w:eastAsia="zh-CN"/>
          <w14:textFill>
            <w14:solidFill>
              <w14:schemeClr w14:val="tx1"/>
            </w14:solidFill>
          </w14:textFill>
        </w:rPr>
        <w:t>4</w:t>
      </w:r>
      <w:r>
        <w:rPr>
          <w:rFonts w:hint="eastAsia" w:ascii="宋体" w:hAnsi="宋体" w:eastAsia="宋体" w:cs="Times New Roman"/>
          <w:b w:val="0"/>
          <w:bCs w:val="0"/>
          <w:color w:val="000000" w:themeColor="text1"/>
          <w:sz w:val="24"/>
          <w14:textFill>
            <w14:solidFill>
              <w14:schemeClr w14:val="tx1"/>
            </w14:solidFill>
          </w14:textFill>
        </w:rPr>
        <w:t>）其他设置：提供及格分数、允许重考次数、多次考试时分数取值方式、查看试卷权限、试卷提交查看答案权限、查看分数权限、答案防粘贴、截至时间自动交卷、填空题为客观题、填空题答案判定标准、多选题分数设置、随机抽题等设置，满足不同类型考试需求。</w:t>
      </w:r>
    </w:p>
    <w:p w14:paraId="14C002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2.6.4阅卷管理</w:t>
      </w:r>
    </w:p>
    <w:p w14:paraId="5F0A35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（1）客观题批阅：对于客观题系统自动批阅并计算分数，无需人工干预。</w:t>
      </w:r>
    </w:p>
    <w:p w14:paraId="58544E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（2）主观题批阅：主观题批阅时支持打分和写批语，批语除支持文字录入之外也支持公式、符号、图片以及附件录入。</w:t>
      </w:r>
    </w:p>
    <w:p w14:paraId="7C5CCF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（3）在线批注：支持对主观题考生上传的图片和文档进行在线批注，进行画线标记、圈注等操作。</w:t>
      </w:r>
    </w:p>
    <w:p w14:paraId="4EA85C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（4）流水判卷：可支持对主观题进行流水判卷，按题分配阅卷教师，实现多位老师流水阅卷，且支持设置教师批阅时隐藏考生信息。</w:t>
      </w:r>
    </w:p>
    <w:p w14:paraId="7873D1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（5）试卷导出：批阅完成的试卷支持一键打包下载，便于存档，至少支持Word和pdf两种格式导出， word格式导出可支持设置按模板格式导出。</w:t>
      </w:r>
    </w:p>
    <w:p w14:paraId="54EB805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2.7学生空间</w:t>
      </w:r>
    </w:p>
    <w:p w14:paraId="29C89B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学生空间包括：我的课程、学生服务、选课、我的考试、我的成绩、在线缴费、毕业论文等功能。</w:t>
      </w:r>
    </w:p>
    <w:p w14:paraId="7B97B4D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2.8移动端</w:t>
      </w:r>
    </w:p>
    <w:p w14:paraId="7B3B07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2.8.1数据同步要求</w:t>
      </w:r>
    </w:p>
    <w:p w14:paraId="112E16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要求移动端与其他平台的数据无缝衔接，作为综合管理平台、慕课平台的延伸，为教师的教学、学生的学习以及管理员端的业务管理提供移动学习支持；PC端与移动端的学习进度保持同步，学生在任何终端上，都可以实现学习记录的持续性，系统也可对任何终端的学习行为进行监控。</w:t>
      </w:r>
    </w:p>
    <w:p w14:paraId="763DC0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2.8.</w:t>
      </w:r>
      <w:r>
        <w:rPr>
          <w:rFonts w:hint="eastAsia" w:ascii="宋体" w:hAnsi="宋体" w:cs="Times New Roman"/>
          <w:b w:val="0"/>
          <w:bCs w:val="0"/>
          <w:color w:val="000000" w:themeColor="text1"/>
          <w:sz w:val="24"/>
          <w:lang w:val="en-US" w:eastAsia="zh-CN"/>
          <w14:textFill>
            <w14:solidFill>
              <w14:schemeClr w14:val="tx1"/>
            </w14:solidFill>
          </w14:textFill>
        </w:rPr>
        <w:t>2</w:t>
      </w:r>
      <w:r>
        <w:rPr>
          <w:rFonts w:hint="eastAsia" w:ascii="宋体" w:hAnsi="宋体" w:eastAsia="宋体" w:cs="Times New Roman"/>
          <w:b w:val="0"/>
          <w:bCs w:val="0"/>
          <w:color w:val="000000" w:themeColor="text1"/>
          <w:sz w:val="24"/>
          <w14:textFill>
            <w14:solidFill>
              <w14:schemeClr w14:val="tx1"/>
            </w14:solidFill>
          </w14:textFill>
        </w:rPr>
        <w:t>移动学习</w:t>
      </w:r>
    </w:p>
    <w:p w14:paraId="3FAB39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支持学生在移动端进行视频学习，学习时系统自动记录所有学习行为，完成视频学习任务点后系统自动同步学习记录与PC端相同；视频学习成绩计算后加入综合成绩中。</w:t>
      </w:r>
    </w:p>
    <w:p w14:paraId="4BA407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2.8.</w:t>
      </w:r>
      <w:r>
        <w:rPr>
          <w:rFonts w:hint="eastAsia" w:ascii="宋体" w:hAnsi="宋体" w:cs="Times New Roman"/>
          <w:b w:val="0"/>
          <w:bCs w:val="0"/>
          <w:color w:val="000000" w:themeColor="text1"/>
          <w:sz w:val="24"/>
          <w:lang w:val="en-US" w:eastAsia="zh-CN"/>
          <w14:textFill>
            <w14:solidFill>
              <w14:schemeClr w14:val="tx1"/>
            </w14:solidFill>
          </w14:textFill>
        </w:rPr>
        <w:t>3</w:t>
      </w:r>
      <w:r>
        <w:rPr>
          <w:rFonts w:hint="eastAsia" w:ascii="宋体" w:hAnsi="宋体" w:eastAsia="宋体" w:cs="Times New Roman"/>
          <w:b w:val="0"/>
          <w:bCs w:val="0"/>
          <w:color w:val="000000" w:themeColor="text1"/>
          <w:sz w:val="24"/>
          <w14:textFill>
            <w14:solidFill>
              <w14:schemeClr w14:val="tx1"/>
            </w14:solidFill>
          </w14:textFill>
        </w:rPr>
        <w:t>移动教务</w:t>
      </w:r>
    </w:p>
    <w:p w14:paraId="303270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成教学生：支持学生的新生报到、个人信息查询，学籍异动、成绩查询，教学计划查询，毕业服务等。</w:t>
      </w:r>
    </w:p>
    <w:p w14:paraId="3B966B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2.8.</w:t>
      </w:r>
      <w:r>
        <w:rPr>
          <w:rFonts w:hint="eastAsia" w:ascii="宋体" w:hAnsi="宋体" w:cs="Times New Roman"/>
          <w:b w:val="0"/>
          <w:bCs w:val="0"/>
          <w:color w:val="000000" w:themeColor="text1"/>
          <w:sz w:val="24"/>
          <w:lang w:val="en-US" w:eastAsia="zh-CN"/>
          <w14:textFill>
            <w14:solidFill>
              <w14:schemeClr w14:val="tx1"/>
            </w14:solidFill>
          </w14:textFill>
        </w:rPr>
        <w:t>4</w:t>
      </w:r>
      <w:r>
        <w:rPr>
          <w:rFonts w:hint="eastAsia" w:ascii="宋体" w:hAnsi="宋体" w:eastAsia="宋体" w:cs="Times New Roman"/>
          <w:b w:val="0"/>
          <w:bCs w:val="0"/>
          <w:color w:val="000000" w:themeColor="text1"/>
          <w:sz w:val="24"/>
          <w14:textFill>
            <w14:solidFill>
              <w14:schemeClr w14:val="tx1"/>
            </w14:solidFill>
          </w14:textFill>
        </w:rPr>
        <w:t>移动通知</w:t>
      </w:r>
    </w:p>
    <w:p w14:paraId="0196B0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教务通知和教学通知实时发送，实时接收，并可查看通知阅读状态，已读和未读名单。未读通知一键电话提醒。</w:t>
      </w:r>
    </w:p>
    <w:p w14:paraId="074AC9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2.8.</w:t>
      </w:r>
      <w:r>
        <w:rPr>
          <w:rFonts w:hint="eastAsia" w:ascii="宋体" w:hAnsi="宋体" w:cs="Times New Roman"/>
          <w:b w:val="0"/>
          <w:bCs w:val="0"/>
          <w:color w:val="000000" w:themeColor="text1"/>
          <w:sz w:val="24"/>
          <w:lang w:val="en-US" w:eastAsia="zh-CN"/>
          <w14:textFill>
            <w14:solidFill>
              <w14:schemeClr w14:val="tx1"/>
            </w14:solidFill>
          </w14:textFill>
        </w:rPr>
        <w:t>5</w:t>
      </w:r>
      <w:r>
        <w:rPr>
          <w:rFonts w:hint="eastAsia" w:ascii="宋体" w:hAnsi="宋体" w:eastAsia="宋体" w:cs="Times New Roman"/>
          <w:b w:val="0"/>
          <w:bCs w:val="0"/>
          <w:color w:val="000000" w:themeColor="text1"/>
          <w:sz w:val="24"/>
          <w14:textFill>
            <w14:solidFill>
              <w14:schemeClr w14:val="tx1"/>
            </w14:solidFill>
          </w14:textFill>
        </w:rPr>
        <w:t>移动教学</w:t>
      </w:r>
    </w:p>
    <w:p w14:paraId="40ABDBD7">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支持教师通过手机编辑课程、设置任务点、上传资料等；成绩统计：统计学生成绩详情，结果情况；学情统计：作业完成情况、视频观看情况、访问量、讨论情况。</w:t>
      </w:r>
    </w:p>
    <w:p w14:paraId="7221B6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（2）同步课堂：教师通过移动端进行ppt讲解，并在讲解过程中进行录音，形成ppt画面与录音同步播放的视频资源，支持将录制好的视频插入课程章节。</w:t>
      </w:r>
    </w:p>
    <w:p w14:paraId="3B9A61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2.8.</w:t>
      </w:r>
      <w:r>
        <w:rPr>
          <w:rFonts w:hint="eastAsia" w:ascii="宋体" w:hAnsi="宋体" w:cs="Times New Roman"/>
          <w:b w:val="0"/>
          <w:bCs w:val="0"/>
          <w:color w:val="000000" w:themeColor="text1"/>
          <w:sz w:val="24"/>
          <w:lang w:val="en-US" w:eastAsia="zh-CN"/>
          <w14:textFill>
            <w14:solidFill>
              <w14:schemeClr w14:val="tx1"/>
            </w14:solidFill>
          </w14:textFill>
        </w:rPr>
        <w:t>6</w:t>
      </w:r>
      <w:r>
        <w:rPr>
          <w:rFonts w:hint="eastAsia" w:ascii="宋体" w:hAnsi="宋体" w:eastAsia="宋体" w:cs="Times New Roman"/>
          <w:b w:val="0"/>
          <w:bCs w:val="0"/>
          <w:color w:val="000000" w:themeColor="text1"/>
          <w:sz w:val="24"/>
          <w14:textFill>
            <w14:solidFill>
              <w14:schemeClr w14:val="tx1"/>
            </w14:solidFill>
          </w14:textFill>
        </w:rPr>
        <w:t>移动直播</w:t>
      </w:r>
    </w:p>
    <w:p w14:paraId="17D59E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支持手机端发起视频直播，学生可以通过手机观看直播并留言；支持设置直播视频是否允许回看；支持主播开启美颜和滤镜功能；支持为直播内容点赞；支持分享到笔记、小组、消息、站内信、课程等；支持分享直播内容到第三方应用，如微信、qq、邮箱。</w:t>
      </w:r>
    </w:p>
    <w:p w14:paraId="283BC4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2.8.</w:t>
      </w:r>
      <w:r>
        <w:rPr>
          <w:rFonts w:hint="eastAsia" w:ascii="宋体" w:hAnsi="宋体" w:cs="Times New Roman"/>
          <w:b w:val="0"/>
          <w:bCs w:val="0"/>
          <w:color w:val="000000" w:themeColor="text1"/>
          <w:sz w:val="24"/>
          <w:lang w:val="en-US" w:eastAsia="zh-CN"/>
          <w14:textFill>
            <w14:solidFill>
              <w14:schemeClr w14:val="tx1"/>
            </w14:solidFill>
          </w14:textFill>
        </w:rPr>
        <w:t>7</w:t>
      </w:r>
      <w:r>
        <w:rPr>
          <w:rFonts w:hint="eastAsia" w:ascii="宋体" w:hAnsi="宋体" w:eastAsia="宋体" w:cs="Times New Roman"/>
          <w:b w:val="0"/>
          <w:bCs w:val="0"/>
          <w:color w:val="000000" w:themeColor="text1"/>
          <w:sz w:val="24"/>
          <w14:textFill>
            <w14:solidFill>
              <w14:schemeClr w14:val="tx1"/>
            </w14:solidFill>
          </w14:textFill>
        </w:rPr>
        <w:t>移动云盘</w:t>
      </w:r>
    </w:p>
    <w:p w14:paraId="43B285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lang w:eastAsia="zh-CN"/>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(1)支持云盘功能，手机端与pc端无缝连接，随时调取或存储资料</w:t>
      </w:r>
      <w:r>
        <w:rPr>
          <w:rFonts w:hint="eastAsia" w:ascii="宋体" w:hAnsi="宋体" w:eastAsia="宋体" w:cs="Times New Roman"/>
          <w:b w:val="0"/>
          <w:bCs w:val="0"/>
          <w:color w:val="000000" w:themeColor="text1"/>
          <w:sz w:val="24"/>
          <w:lang w:eastAsia="zh-CN"/>
          <w14:textFill>
            <w14:solidFill>
              <w14:schemeClr w14:val="tx1"/>
            </w14:solidFill>
          </w14:textFill>
        </w:rPr>
        <w:t>。</w:t>
      </w:r>
    </w:p>
    <w:p w14:paraId="202614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(2)支持教师通过个人空间云盘上传资料，并分享到个人笔记、小组、通知，或分享给同单位其他人。</w:t>
      </w:r>
    </w:p>
    <w:p w14:paraId="359BCB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2.9.1网络课程资源</w:t>
      </w:r>
    </w:p>
    <w:p w14:paraId="205687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(1)平台需提供不低于18</w:t>
      </w:r>
      <w:r>
        <w:rPr>
          <w:rFonts w:hint="eastAsia" w:ascii="宋体" w:hAnsi="宋体" w:cs="Times New Roman"/>
          <w:b w:val="0"/>
          <w:bCs w:val="0"/>
          <w:color w:val="000000" w:themeColor="text1"/>
          <w:sz w:val="24"/>
          <w:lang w:eastAsia="zh-CN"/>
          <w14:textFill>
            <w14:solidFill>
              <w14:schemeClr w14:val="tx1"/>
            </w14:solidFill>
          </w14:textFill>
        </w:rPr>
        <w:t>，</w:t>
      </w:r>
      <w:r>
        <w:rPr>
          <w:rFonts w:hint="eastAsia" w:ascii="宋体" w:hAnsi="宋体" w:eastAsia="宋体" w:cs="Times New Roman"/>
          <w:b w:val="0"/>
          <w:bCs w:val="0"/>
          <w:color w:val="000000" w:themeColor="text1"/>
          <w:sz w:val="24"/>
          <w14:textFill>
            <w14:solidFill>
              <w14:schemeClr w14:val="tx1"/>
            </w14:solidFill>
          </w14:textFill>
        </w:rPr>
        <w:t>000门专业课课程资源供选择，课程需由国内外知名院校和科研机构制作，按照教育部相关划分标准，课程资源需涵盖全部本科十二个大类，实现常用专业全覆盖，满足我院专业授课需要。</w:t>
      </w:r>
    </w:p>
    <w:p w14:paraId="574405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(2)同时要求线上专业课程视频清晰，视频中配备图片等多媒体素材可帮助学生学习。</w:t>
      </w:r>
    </w:p>
    <w:p w14:paraId="05965C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2.9.2网络课程资源要求</w:t>
      </w:r>
    </w:p>
    <w:p w14:paraId="36DF06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课程为高清拍摄，可在线以720P（高清）以上清晰度流畅播放。课程资源包含但不限于章节教学视频、题库、试卷库、参考教材等资源，所提供的课程来源于国内外知名院校，课程内容符合我校教学要求。</w:t>
      </w:r>
    </w:p>
    <w:p w14:paraId="0E9493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2.9.3题库和拓展学习资料要求</w:t>
      </w:r>
    </w:p>
    <w:p w14:paraId="419E5D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（1）每门课程至少包含100道试题，满足期末考试两套试卷组卷要求。拓展学习资料。</w:t>
      </w:r>
    </w:p>
    <w:p w14:paraId="44896A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（2）提供支持学生拓展学习需要的资源，通过平台教学资源添加电子图书、视频资源，或教师自主上传文本、视频、音频等其他学习资料。</w:t>
      </w:r>
    </w:p>
    <w:p w14:paraId="02D301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2.9.4课程编辑</w:t>
      </w:r>
    </w:p>
    <w:p w14:paraId="447158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课程支持二次编辑，满足教师随时调整课程内容的需要。</w:t>
      </w:r>
    </w:p>
    <w:p w14:paraId="68BAE4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2.9.5版权保证</w:t>
      </w:r>
    </w:p>
    <w:p w14:paraId="6C1D31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14:textFill>
            <w14:solidFill>
              <w14:schemeClr w14:val="tx1"/>
            </w14:solidFill>
          </w14:textFill>
        </w:rPr>
      </w:pPr>
      <w:r>
        <w:rPr>
          <w:rFonts w:hint="eastAsia" w:ascii="宋体" w:hAnsi="宋体" w:eastAsia="宋体" w:cs="Times New Roman"/>
          <w:b w:val="0"/>
          <w:bCs w:val="0"/>
          <w:color w:val="000000" w:themeColor="text1"/>
          <w:sz w:val="24"/>
          <w14:textFill>
            <w14:solidFill>
              <w14:schemeClr w14:val="tx1"/>
            </w14:solidFill>
          </w14:textFill>
        </w:rPr>
        <w:t>所提供的网络课程及配套资源不存在版权问题；供应商须承诺：如课程在我校使用过程中产生版权纠纷，由供应商承担全部侵权责任。</w:t>
      </w:r>
    </w:p>
    <w:p w14:paraId="40F3AB2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三、</w:t>
      </w:r>
      <w:r>
        <w:rPr>
          <w:rFonts w:hint="eastAsia" w:ascii="宋体" w:hAnsi="宋体"/>
          <w:b/>
          <w:bCs/>
          <w:color w:val="000000" w:themeColor="text1"/>
          <w:sz w:val="24"/>
          <w14:textFill>
            <w14:solidFill>
              <w14:schemeClr w14:val="tx1"/>
            </w14:solidFill>
          </w14:textFill>
        </w:rPr>
        <w:t>现场演示要求：</w:t>
      </w:r>
    </w:p>
    <w:p w14:paraId="77960F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Times New Roman"/>
          <w:b/>
          <w:bCs/>
          <w:color w:val="000000" w:themeColor="text1"/>
          <w:sz w:val="24"/>
          <w:lang w:eastAsia="zh-CN"/>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供应商须应使用真实系统进行现场演示，不接受demo账号、视频讲解、PPT等演示，演示所需设备由供应商自行准备，现场仅供电源，演示时间不超过</w:t>
      </w:r>
      <w:r>
        <w:rPr>
          <w:rFonts w:hint="eastAsia" w:ascii="宋体" w:hAnsi="宋体"/>
          <w:b w:val="0"/>
          <w:bCs w:val="0"/>
          <w:color w:val="000000" w:themeColor="text1"/>
          <w:sz w:val="24"/>
          <w:lang w:val="en-US" w:eastAsia="zh-CN"/>
          <w14:textFill>
            <w14:solidFill>
              <w14:schemeClr w14:val="tx1"/>
            </w14:solidFill>
          </w14:textFill>
        </w:rPr>
        <w:t>1</w:t>
      </w:r>
      <w:r>
        <w:rPr>
          <w:rFonts w:hint="eastAsia" w:ascii="宋体" w:hAnsi="宋体"/>
          <w:b w:val="0"/>
          <w:bCs w:val="0"/>
          <w:color w:val="000000" w:themeColor="text1"/>
          <w:sz w:val="24"/>
          <w14:textFill>
            <w14:solidFill>
              <w14:schemeClr w14:val="tx1"/>
            </w14:solidFill>
          </w14:textFill>
        </w:rPr>
        <w:t>0分钟/家，时间届满必须立即停止演示。</w:t>
      </w:r>
    </w:p>
    <w:p w14:paraId="34393AF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b/>
          <w:bCs/>
          <w:color w:val="000000" w:themeColor="text1"/>
          <w:sz w:val="24"/>
          <w:highlight w:val="none"/>
          <w:lang w:eastAsia="zh-CN"/>
          <w14:textFill>
            <w14:solidFill>
              <w14:schemeClr w14:val="tx1"/>
            </w14:solidFill>
          </w14:textFill>
        </w:rPr>
      </w:pPr>
      <w:r>
        <w:rPr>
          <w:rFonts w:hint="eastAsia" w:ascii="宋体" w:hAnsi="宋体" w:cs="Times New Roman"/>
          <w:b/>
          <w:bCs/>
          <w:color w:val="000000" w:themeColor="text1"/>
          <w:sz w:val="24"/>
          <w:highlight w:val="none"/>
          <w:lang w:eastAsia="zh-CN"/>
          <w14:textFill>
            <w14:solidFill>
              <w14:schemeClr w14:val="tx1"/>
            </w14:solidFill>
          </w14:textFill>
        </w:rPr>
        <w:t>四、</w:t>
      </w:r>
      <w:r>
        <w:rPr>
          <w:rFonts w:hint="eastAsia" w:ascii="宋体" w:hAnsi="宋体" w:eastAsia="宋体" w:cs="Times New Roman"/>
          <w:b/>
          <w:bCs/>
          <w:color w:val="000000" w:themeColor="text1"/>
          <w:sz w:val="24"/>
          <w:highlight w:val="none"/>
          <w:lang w:eastAsia="zh-CN"/>
          <w14:textFill>
            <w14:solidFill>
              <w14:schemeClr w14:val="tx1"/>
            </w14:solidFill>
          </w14:textFill>
        </w:rPr>
        <w:t>特别事项及其他要求</w:t>
      </w:r>
    </w:p>
    <w:p w14:paraId="2DC6F0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1、按教育部要求，线上课程资源，包括30%自建及70%其</w:t>
      </w:r>
      <w:r>
        <w:rPr>
          <w:rFonts w:hint="eastAsia" w:ascii="宋体" w:hAnsi="宋体" w:cs="Times New Roman"/>
          <w:b w:val="0"/>
          <w:bCs w:val="0"/>
          <w:color w:val="000000" w:themeColor="text1"/>
          <w:sz w:val="24"/>
          <w:highlight w:val="none"/>
          <w:lang w:val="en-US" w:eastAsia="zh-CN"/>
          <w14:textFill>
            <w14:solidFill>
              <w14:schemeClr w14:val="tx1"/>
            </w14:solidFill>
          </w14:textFill>
        </w:rPr>
        <w:t>他</w:t>
      </w: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来源。其中70%课程资源能满足我校成人高等教育各专业线上教学需要。我校自建课程上线前，免费提供相同名称的课程资源</w:t>
      </w:r>
    </w:p>
    <w:p w14:paraId="1C54F2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pPr>
      <w:r>
        <w:rPr>
          <w:rFonts w:hint="eastAsia" w:ascii="宋体" w:hAnsi="宋体" w:cs="Times New Roman"/>
          <w:b w:val="0"/>
          <w:bCs w:val="0"/>
          <w:color w:val="000000" w:themeColor="text1"/>
          <w:sz w:val="24"/>
          <w:highlight w:val="none"/>
          <w:lang w:val="en-US" w:eastAsia="zh-CN"/>
          <w14:textFill>
            <w14:solidFill>
              <w14:schemeClr w14:val="tx1"/>
            </w14:solidFill>
          </w14:textFill>
        </w:rPr>
        <w:t>2</w:t>
      </w: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、合同服务到期后若无继续中标，平台数据需保密并无条件配合数据迁移</w:t>
      </w:r>
    </w:p>
    <w:p w14:paraId="6518FD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pPr>
      <w:r>
        <w:rPr>
          <w:rFonts w:hint="eastAsia" w:ascii="宋体" w:hAnsi="宋体" w:cs="Times New Roman"/>
          <w:b w:val="0"/>
          <w:bCs w:val="0"/>
          <w:color w:val="000000" w:themeColor="text1"/>
          <w:sz w:val="24"/>
          <w:highlight w:val="none"/>
          <w:lang w:val="en-US" w:eastAsia="zh-CN"/>
          <w14:textFill>
            <w14:solidFill>
              <w14:schemeClr w14:val="tx1"/>
            </w14:solidFill>
          </w14:textFill>
        </w:rPr>
        <w:t>3</w:t>
      </w: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、若上级教育主管部门需要我校提供线上课程资源及相关数据需要无条件配合</w:t>
      </w:r>
    </w:p>
    <w:p w14:paraId="3CBEC9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highlight w:val="none"/>
          <w14:textFill>
            <w14:solidFill>
              <w14:schemeClr w14:val="tx1"/>
            </w14:solidFill>
          </w14:textFill>
        </w:rPr>
      </w:pPr>
      <w:r>
        <w:rPr>
          <w:rFonts w:hint="eastAsia" w:ascii="宋体" w:hAnsi="宋体" w:cs="Times New Roman"/>
          <w:b w:val="0"/>
          <w:bCs w:val="0"/>
          <w:color w:val="000000" w:themeColor="text1"/>
          <w:sz w:val="24"/>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、供应商</w:t>
      </w:r>
      <w:r>
        <w:rPr>
          <w:rFonts w:hint="eastAsia" w:ascii="宋体" w:hAnsi="宋体" w:eastAsia="宋体" w:cs="Times New Roman"/>
          <w:b w:val="0"/>
          <w:bCs w:val="0"/>
          <w:color w:val="000000" w:themeColor="text1"/>
          <w:sz w:val="24"/>
          <w:highlight w:val="none"/>
          <w14:textFill>
            <w14:solidFill>
              <w14:schemeClr w14:val="tx1"/>
            </w14:solidFill>
          </w14:textFill>
        </w:rPr>
        <w:t>对提供的服务，因产品及服务质量、或知识产权纠纷等问题，必须提供保修、包换等服务。</w:t>
      </w:r>
    </w:p>
    <w:p w14:paraId="4901B1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highlight w:val="none"/>
          <w14:textFill>
            <w14:solidFill>
              <w14:schemeClr w14:val="tx1"/>
            </w14:solidFill>
          </w14:textFill>
        </w:rPr>
      </w:pPr>
      <w:r>
        <w:rPr>
          <w:rFonts w:hint="eastAsia" w:ascii="宋体" w:hAnsi="宋体" w:cs="Times New Roman"/>
          <w:b w:val="0"/>
          <w:bCs w:val="0"/>
          <w:color w:val="000000" w:themeColor="text1"/>
          <w:sz w:val="24"/>
          <w:highlight w:val="none"/>
          <w:lang w:val="en-US" w:eastAsia="zh-CN"/>
          <w14:textFill>
            <w14:solidFill>
              <w14:schemeClr w14:val="tx1"/>
            </w14:solidFill>
          </w14:textFill>
        </w:rPr>
        <w:t>5</w:t>
      </w: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、管理综合平台</w:t>
      </w:r>
      <w:r>
        <w:rPr>
          <w:rFonts w:hint="eastAsia" w:ascii="宋体" w:hAnsi="宋体" w:eastAsia="宋体" w:cs="Times New Roman"/>
          <w:b w:val="0"/>
          <w:bCs w:val="0"/>
          <w:color w:val="000000" w:themeColor="text1"/>
          <w:sz w:val="24"/>
          <w:highlight w:val="none"/>
          <w14:textFill>
            <w14:solidFill>
              <w14:schemeClr w14:val="tx1"/>
            </w14:solidFill>
          </w14:textFill>
        </w:rPr>
        <w:t>调试合格后，</w:t>
      </w: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供应商</w:t>
      </w:r>
      <w:r>
        <w:rPr>
          <w:rFonts w:hint="eastAsia" w:ascii="宋体" w:hAnsi="宋体" w:eastAsia="宋体" w:cs="Times New Roman"/>
          <w:b w:val="0"/>
          <w:bCs w:val="0"/>
          <w:color w:val="000000" w:themeColor="text1"/>
          <w:sz w:val="24"/>
          <w:highlight w:val="none"/>
          <w14:textFill>
            <w14:solidFill>
              <w14:schemeClr w14:val="tx1"/>
            </w14:solidFill>
          </w14:textFill>
        </w:rPr>
        <w:t>负责对采购人技术人员进行免费现场培训，</w:t>
      </w:r>
      <w:r>
        <w:rPr>
          <w:rFonts w:hint="eastAsia" w:ascii="宋体" w:hAnsi="宋体" w:eastAsia="宋体" w:cs="Times New Roman"/>
          <w:b w:val="0"/>
          <w:bCs w:val="0"/>
          <w:color w:val="000000" w:themeColor="text1"/>
          <w:sz w:val="24"/>
          <w:highlight w:val="none"/>
          <w:lang w:eastAsia="zh-CN"/>
          <w14:textFill>
            <w14:solidFill>
              <w14:schemeClr w14:val="tx1"/>
            </w14:solidFill>
          </w14:textFill>
        </w:rPr>
        <w:t>（</w:t>
      </w:r>
      <w:r>
        <w:rPr>
          <w:rFonts w:hint="eastAsia" w:ascii="宋体" w:hAnsi="宋体" w:eastAsia="宋体" w:cs="Times New Roman"/>
          <w:b w:val="0"/>
          <w:bCs w:val="0"/>
          <w:color w:val="000000" w:themeColor="text1"/>
          <w:sz w:val="24"/>
          <w:highlight w:val="none"/>
          <w14:textFill>
            <w14:solidFill>
              <w14:schemeClr w14:val="tx1"/>
            </w14:solidFill>
          </w14:textFill>
        </w:rPr>
        <w:t>投入本项目的服务人员中具有软件开发工程师或网络技术工程师资格高级及以上资格证书</w:t>
      </w:r>
      <w:r>
        <w:rPr>
          <w:rFonts w:hint="eastAsia" w:ascii="宋体" w:hAnsi="宋体" w:eastAsia="宋体" w:cs="Times New Roman"/>
          <w:b w:val="0"/>
          <w:bCs w:val="0"/>
          <w:color w:val="000000" w:themeColor="text1"/>
          <w:sz w:val="24"/>
          <w:highlight w:val="none"/>
          <w:lang w:eastAsia="zh-CN"/>
          <w14:textFill>
            <w14:solidFill>
              <w14:schemeClr w14:val="tx1"/>
            </w14:solidFill>
          </w14:textFill>
        </w:rPr>
        <w:t>）</w:t>
      </w:r>
      <w:r>
        <w:rPr>
          <w:rFonts w:hint="eastAsia" w:ascii="宋体" w:hAnsi="宋体" w:eastAsia="宋体" w:cs="Times New Roman"/>
          <w:b w:val="0"/>
          <w:bCs w:val="0"/>
          <w:color w:val="000000" w:themeColor="text1"/>
          <w:sz w:val="24"/>
          <w:highlight w:val="none"/>
          <w14:textFill>
            <w14:solidFill>
              <w14:schemeClr w14:val="tx1"/>
            </w14:solidFill>
          </w14:textFill>
        </w:rPr>
        <w:t>培训内容包括</w:t>
      </w: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平台</w:t>
      </w:r>
      <w:r>
        <w:rPr>
          <w:rFonts w:hint="eastAsia" w:ascii="宋体" w:hAnsi="宋体" w:eastAsia="宋体" w:cs="Times New Roman"/>
          <w:b w:val="0"/>
          <w:bCs w:val="0"/>
          <w:color w:val="000000" w:themeColor="text1"/>
          <w:sz w:val="24"/>
          <w:highlight w:val="none"/>
          <w14:textFill>
            <w14:solidFill>
              <w14:schemeClr w14:val="tx1"/>
            </w14:solidFill>
          </w14:textFill>
        </w:rPr>
        <w:t>系统的功能、原理、使用与维护等，培训日程视实际情况另定。</w:t>
      </w:r>
    </w:p>
    <w:p w14:paraId="63F31F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pPr>
      <w:r>
        <w:rPr>
          <w:rFonts w:hint="eastAsia" w:ascii="宋体" w:hAnsi="宋体" w:cs="Times New Roman"/>
          <w:b w:val="0"/>
          <w:bCs w:val="0"/>
          <w:color w:val="000000" w:themeColor="text1"/>
          <w:sz w:val="24"/>
          <w:highlight w:val="none"/>
          <w:lang w:val="en-US" w:eastAsia="zh-CN"/>
          <w14:textFill>
            <w14:solidFill>
              <w14:schemeClr w14:val="tx1"/>
            </w14:solidFill>
          </w14:textFill>
        </w:rPr>
        <w:t>6</w:t>
      </w: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、为保证后期平台的正常运行，在本地设置售后服务机构及售后服务团队。系统</w:t>
      </w:r>
      <w:r>
        <w:rPr>
          <w:rFonts w:hint="eastAsia" w:ascii="宋体" w:hAnsi="宋体" w:cs="Times New Roman"/>
          <w:b w:val="0"/>
          <w:bCs w:val="0"/>
          <w:color w:val="000000" w:themeColor="text1"/>
          <w:sz w:val="24"/>
          <w:highlight w:val="none"/>
          <w:lang w:val="en-US" w:eastAsia="zh-CN"/>
          <w14:textFill>
            <w14:solidFill>
              <w14:schemeClr w14:val="tx1"/>
            </w14:solidFill>
          </w14:textFill>
        </w:rPr>
        <w:t>一旦</w:t>
      </w: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出现故障，在接</w:t>
      </w:r>
      <w:r>
        <w:rPr>
          <w:rFonts w:hint="eastAsia" w:ascii="宋体" w:hAnsi="宋体" w:eastAsia="宋体" w:cs="Times New Roman"/>
          <w:b w:val="0"/>
          <w:bCs w:val="0"/>
          <w:color w:val="000000" w:themeColor="text1"/>
          <w:sz w:val="24"/>
          <w:highlight w:val="none"/>
          <w:lang w:val="en-US" w:eastAsia="zh-Hans"/>
          <w14:textFill>
            <w14:solidFill>
              <w14:schemeClr w14:val="tx1"/>
            </w14:solidFill>
          </w14:textFill>
        </w:rPr>
        <w:t>到反馈</w:t>
      </w: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后</w:t>
      </w:r>
      <w:r>
        <w:rPr>
          <w:rFonts w:hint="eastAsia" w:ascii="宋体" w:hAnsi="宋体" w:cs="Times New Roman"/>
          <w:b w:val="0"/>
          <w:bCs w:val="0"/>
          <w:color w:val="000000" w:themeColor="text1"/>
          <w:sz w:val="24"/>
          <w:highlight w:val="none"/>
          <w:lang w:val="en-US" w:eastAsia="zh-CN"/>
          <w14:textFill>
            <w14:solidFill>
              <w14:schemeClr w14:val="tx1"/>
            </w14:solidFill>
          </w14:textFill>
        </w:rPr>
        <w:t>6</w:t>
      </w: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0分钟内响应，对于无法通过远程技术支持方式解决的，工程师在</w:t>
      </w:r>
      <w:r>
        <w:rPr>
          <w:rFonts w:hint="eastAsia" w:ascii="宋体" w:hAnsi="宋体" w:cs="Times New Roman"/>
          <w:b w:val="0"/>
          <w:bCs w:val="0"/>
          <w:color w:val="000000" w:themeColor="text1"/>
          <w:sz w:val="24"/>
          <w:highlight w:val="none"/>
          <w:lang w:val="en-US" w:eastAsia="zh-CN"/>
          <w14:textFill>
            <w14:solidFill>
              <w14:schemeClr w14:val="tx1"/>
            </w14:solidFill>
          </w14:textFill>
        </w:rPr>
        <w:t>6</w:t>
      </w: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小时内赶到现场进行指导。</w:t>
      </w:r>
    </w:p>
    <w:p w14:paraId="0003F9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8、协助采购方建立数据安全管理规范，定期免费提供系统安全漏洞扫描及防护加固方案。</w:t>
      </w:r>
    </w:p>
    <w:p w14:paraId="0F6390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b/>
          <w:bCs/>
          <w:color w:val="000000" w:themeColor="text1"/>
          <w:sz w:val="24"/>
          <w:highlight w:val="none"/>
          <w14:textFill>
            <w14:solidFill>
              <w14:schemeClr w14:val="tx1"/>
            </w14:solidFill>
          </w14:textFill>
        </w:rPr>
      </w:pP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9、在合同有效期内为采购方提供终身免费系统升级服务，包括但不限于功能优化、安全补丁及性能提升等迭代更新。所有升级版本均通过专业技术团队进行现场/远程操作。升级过程不收取任何软件授权及服务费用，并提供升级后的技术支持和操作培训服务，切实保障平台运行的稳定性与安全性。</w:t>
      </w:r>
    </w:p>
    <w:p w14:paraId="3E73F72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bCs/>
          <w:sz w:val="24"/>
        </w:rPr>
      </w:pPr>
      <w:r>
        <w:rPr>
          <w:rFonts w:hint="eastAsia" w:ascii="宋体" w:hAnsi="宋体"/>
          <w:b/>
          <w:bCs/>
          <w:sz w:val="24"/>
          <w:lang w:eastAsia="zh-CN"/>
        </w:rPr>
        <w:t>五</w:t>
      </w:r>
      <w:r>
        <w:rPr>
          <w:rFonts w:hint="eastAsia" w:ascii="宋体" w:hAnsi="宋体"/>
          <w:b/>
          <w:bCs/>
          <w:sz w:val="24"/>
        </w:rPr>
        <w:t>、项目验收</w:t>
      </w:r>
    </w:p>
    <w:bookmarkEnd w:id="52"/>
    <w:bookmarkEnd w:id="53"/>
    <w:p w14:paraId="01DD247B">
      <w:pPr>
        <w:pStyle w:val="8"/>
        <w:spacing w:line="440" w:lineRule="exact"/>
        <w:ind w:firstLine="482" w:firstLineChars="200"/>
        <w:rPr>
          <w:rFonts w:ascii="宋体" w:hAnsi="宋体" w:cs="宋体"/>
          <w:b/>
          <w:bCs/>
          <w:sz w:val="24"/>
        </w:rPr>
      </w:pPr>
      <w:bookmarkStart w:id="58" w:name="_Toc394319918"/>
      <w:bookmarkStart w:id="59" w:name="_Toc491700052"/>
      <w:bookmarkStart w:id="60" w:name="_Toc430269118"/>
      <w:bookmarkStart w:id="61" w:name="_Toc285393068"/>
      <w:bookmarkStart w:id="62" w:name="_Toc430269287"/>
      <w:bookmarkStart w:id="63" w:name="_Toc358109807"/>
      <w:bookmarkStart w:id="64" w:name="_Toc394319917"/>
      <w:bookmarkStart w:id="65" w:name="_Toc358109806"/>
      <w:r>
        <w:rPr>
          <w:rFonts w:hint="eastAsia" w:ascii="宋体" w:hAnsi="宋体" w:cs="宋体"/>
          <w:b/>
          <w:bCs/>
          <w:sz w:val="24"/>
        </w:rPr>
        <w:t>（一）验收标准</w:t>
      </w:r>
    </w:p>
    <w:p w14:paraId="1BCD3497">
      <w:pPr>
        <w:spacing w:line="440" w:lineRule="exact"/>
        <w:ind w:firstLine="480" w:firstLineChars="200"/>
        <w:rPr>
          <w:rFonts w:hAnsi="宋体"/>
          <w:sz w:val="24"/>
        </w:rPr>
      </w:pPr>
      <w:r>
        <w:rPr>
          <w:rFonts w:hint="eastAsia" w:hAnsi="宋体"/>
          <w:sz w:val="24"/>
        </w:rPr>
        <w:t>符合国家或行业或地方标准、招标文件、投标文件、合同等相关文件执行。验收结果应符合采购人使用要求。</w:t>
      </w:r>
    </w:p>
    <w:p w14:paraId="2A673749">
      <w:pPr>
        <w:pStyle w:val="8"/>
        <w:spacing w:line="440" w:lineRule="exact"/>
        <w:ind w:firstLine="482" w:firstLineChars="200"/>
        <w:rPr>
          <w:rFonts w:ascii="宋体" w:hAnsi="宋体" w:cs="宋体"/>
          <w:b/>
          <w:bCs/>
          <w:sz w:val="24"/>
        </w:rPr>
      </w:pPr>
      <w:r>
        <w:rPr>
          <w:rFonts w:hint="eastAsia" w:ascii="宋体" w:hAnsi="宋体" w:cs="宋体"/>
          <w:b/>
          <w:bCs/>
          <w:sz w:val="24"/>
        </w:rPr>
        <w:t>（二）验收程序</w:t>
      </w:r>
    </w:p>
    <w:p w14:paraId="54C0BF5D">
      <w:pPr>
        <w:spacing w:line="440" w:lineRule="exact"/>
        <w:ind w:firstLine="480" w:firstLineChars="200"/>
        <w:rPr>
          <w:rFonts w:hAnsi="宋体"/>
          <w:sz w:val="24"/>
        </w:rPr>
      </w:pPr>
      <w:r>
        <w:rPr>
          <w:rFonts w:hint="eastAsia" w:hAnsi="宋体"/>
          <w:sz w:val="24"/>
        </w:rPr>
        <w:t>1.供应商服务计划确认：投标人需提供服务的具体计划安排，计划应经采购人认可后实施。投标人在服务提供前，应按服务标准规定进行执行安排，并负责将服务按照采购人指定地点进行执行。</w:t>
      </w:r>
    </w:p>
    <w:p w14:paraId="017A3672">
      <w:pPr>
        <w:spacing w:line="440" w:lineRule="exact"/>
        <w:ind w:firstLine="480" w:firstLineChars="200"/>
        <w:rPr>
          <w:rFonts w:hAnsi="宋体"/>
          <w:sz w:val="24"/>
        </w:rPr>
      </w:pPr>
      <w:r>
        <w:rPr>
          <w:rFonts w:hint="eastAsia" w:hAnsi="宋体"/>
          <w:sz w:val="24"/>
        </w:rPr>
        <w:t>2.初步验收：服务开启</w:t>
      </w:r>
      <w:r>
        <w:rPr>
          <w:rFonts w:hint="eastAsia" w:hAnsi="宋体"/>
          <w:color w:val="auto"/>
          <w:sz w:val="24"/>
        </w:rPr>
        <w:t>后</w:t>
      </w:r>
      <w:r>
        <w:rPr>
          <w:rFonts w:hint="eastAsia" w:hAnsi="宋体"/>
          <w:color w:val="auto"/>
          <w:sz w:val="24"/>
          <w:lang w:val="en-US" w:eastAsia="zh-CN"/>
        </w:rPr>
        <w:t>15</w:t>
      </w:r>
      <w:r>
        <w:rPr>
          <w:rFonts w:hint="eastAsia" w:hAnsi="宋体"/>
          <w:color w:val="auto"/>
          <w:sz w:val="24"/>
        </w:rPr>
        <w:t>个工作日</w:t>
      </w:r>
      <w:r>
        <w:rPr>
          <w:rFonts w:hint="eastAsia" w:hAnsi="宋体"/>
          <w:sz w:val="24"/>
        </w:rPr>
        <w:t>内完成初步验收。采购人（或采购人授权单位）在服务（含软件）启动后，将按合同规定对服务项目进行核对和商检，对服务数量与质量进行初步验收（但不作为最终合格的保证），该验收应达到合同规定的要求。初步验收不合格的，采购人有权要求调整服务处理：投标人需在收到调整服务通知</w:t>
      </w:r>
      <w:r>
        <w:rPr>
          <w:rFonts w:hint="eastAsia" w:hAnsi="宋体"/>
          <w:sz w:val="24"/>
          <w:lang w:eastAsia="zh-CN"/>
        </w:rPr>
        <w:t>之</w:t>
      </w:r>
      <w:r>
        <w:rPr>
          <w:rFonts w:hint="eastAsia" w:hAnsi="宋体"/>
          <w:sz w:val="24"/>
        </w:rPr>
        <w:t>日起15个工作日内调整完成，逾期未处理的，将予以退货，由此产生的费用和采购人的损失，由投标人承担。</w:t>
      </w:r>
    </w:p>
    <w:p w14:paraId="488756DB">
      <w:pPr>
        <w:spacing w:line="440" w:lineRule="exact"/>
        <w:ind w:firstLine="480" w:firstLineChars="200"/>
        <w:rPr>
          <w:rFonts w:hAnsi="宋体"/>
          <w:b/>
          <w:bCs/>
          <w:color w:val="FF0000"/>
          <w:sz w:val="24"/>
        </w:rPr>
      </w:pPr>
      <w:r>
        <w:rPr>
          <w:rFonts w:hint="eastAsia" w:hAnsi="宋体"/>
          <w:sz w:val="24"/>
        </w:rPr>
        <w:t>3.最终验收：</w:t>
      </w:r>
      <w:r>
        <w:rPr>
          <w:rFonts w:hint="eastAsia" w:ascii="宋体" w:hAnsi="宋体" w:eastAsia="宋体" w:cs="宋体"/>
          <w:color w:val="000000" w:themeColor="text1"/>
          <w:sz w:val="24"/>
          <w:szCs w:val="24"/>
          <w:lang w:val="en-US" w:eastAsia="zh-CN"/>
          <w14:textFill>
            <w14:solidFill>
              <w14:schemeClr w14:val="tx1"/>
            </w14:solidFill>
          </w14:textFill>
        </w:rPr>
        <w:t>供应商部署完所需安全设备，试运行无问题之后30天内完成最终验收（因供应商原因导致无法验收的情况除外）</w:t>
      </w:r>
      <w:r>
        <w:rPr>
          <w:rFonts w:hint="eastAsia" w:hAnsi="宋体"/>
          <w:color w:val="000000" w:themeColor="text1"/>
          <w:sz w:val="24"/>
          <w14:textFill>
            <w14:solidFill>
              <w14:schemeClr w14:val="tx1"/>
            </w14:solidFill>
          </w14:textFill>
        </w:rPr>
        <w:t>。项目具备验收条件后，供应商应向采购人提出验收请求并提供完整的项目验收资料及验收报告</w:t>
      </w:r>
      <w:r>
        <w:rPr>
          <w:rFonts w:hint="eastAsia" w:hAnsi="宋体"/>
          <w:sz w:val="24"/>
        </w:rPr>
        <w:t>。采购人收到验收请求后由甲方项目负责人组织验收，并最终确认验收合格；验收不合格，采购人有权选择通知整改处理：通知整改处理的，投标人需在收到整改通知日起30天内完成整改，逾期未处理，将按退货处理，由此产生的费用和采购人的损失，由投标人承担。</w:t>
      </w:r>
    </w:p>
    <w:p w14:paraId="485A30C0">
      <w:pPr>
        <w:spacing w:line="440" w:lineRule="exact"/>
        <w:ind w:firstLine="482" w:firstLineChars="200"/>
        <w:rPr>
          <w:rFonts w:hAnsi="宋体"/>
          <w:b/>
          <w:bCs/>
          <w:sz w:val="24"/>
        </w:rPr>
      </w:pPr>
      <w:r>
        <w:rPr>
          <w:rFonts w:hint="eastAsia" w:hAnsi="宋体"/>
          <w:b/>
          <w:bCs/>
          <w:sz w:val="24"/>
          <w:lang w:eastAsia="zh-CN"/>
        </w:rPr>
        <w:t>六</w:t>
      </w:r>
      <w:r>
        <w:rPr>
          <w:rFonts w:hAnsi="宋体"/>
          <w:b/>
          <w:bCs/>
          <w:sz w:val="24"/>
        </w:rPr>
        <w:t>、报价</w:t>
      </w:r>
      <w:r>
        <w:rPr>
          <w:rFonts w:hint="eastAsia" w:hAnsi="宋体"/>
          <w:b/>
          <w:bCs/>
          <w:sz w:val="24"/>
        </w:rPr>
        <w:t>要求</w:t>
      </w:r>
    </w:p>
    <w:bookmarkEnd w:id="58"/>
    <w:bookmarkEnd w:id="59"/>
    <w:bookmarkEnd w:id="60"/>
    <w:bookmarkEnd w:id="61"/>
    <w:bookmarkEnd w:id="62"/>
    <w:bookmarkEnd w:id="63"/>
    <w:p w14:paraId="470D1EE0">
      <w:pPr>
        <w:spacing w:line="440" w:lineRule="exact"/>
        <w:ind w:firstLine="480" w:firstLineChars="200"/>
        <w:rPr>
          <w:rFonts w:hAnsi="宋体"/>
          <w:b/>
          <w:bCs/>
          <w:sz w:val="24"/>
        </w:rPr>
      </w:pPr>
      <w:bookmarkStart w:id="66" w:name="_Toc491700053"/>
      <w:r>
        <w:rPr>
          <w:rFonts w:hAnsi="宋体"/>
          <w:b w:val="0"/>
          <w:bCs w:val="0"/>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5D664B25">
      <w:pPr>
        <w:spacing w:line="440" w:lineRule="exact"/>
        <w:ind w:firstLine="480" w:firstLineChars="200"/>
        <w:rPr>
          <w:rFonts w:ascii="宋体" w:hAnsi="宋体"/>
          <w:sz w:val="24"/>
        </w:rPr>
      </w:pPr>
      <w:r>
        <w:rPr>
          <w:rFonts w:hint="eastAsia" w:ascii="宋体" w:hAnsi="宋体"/>
          <w:bCs/>
          <w:kern w:val="0"/>
          <w:sz w:val="24"/>
        </w:rPr>
        <w:t>2.</w:t>
      </w:r>
      <w:r>
        <w:rPr>
          <w:rFonts w:ascii="宋体" w:hAnsi="宋体"/>
          <w:sz w:val="24"/>
        </w:rPr>
        <w:t>各供应商报价时应综合考虑日后</w:t>
      </w:r>
      <w:r>
        <w:rPr>
          <w:rFonts w:hint="eastAsia" w:ascii="宋体" w:hAnsi="宋体"/>
          <w:sz w:val="24"/>
          <w:lang w:eastAsia="zh-CN"/>
        </w:rPr>
        <w:t>因</w:t>
      </w:r>
      <w:r>
        <w:rPr>
          <w:rFonts w:ascii="宋体" w:hAnsi="宋体"/>
          <w:sz w:val="24"/>
        </w:rPr>
        <w:t>政策性调整、各种材料市场价格的浮动等因素造成的货物价格变动，上述价格变动不予调整。</w:t>
      </w:r>
    </w:p>
    <w:p w14:paraId="385DA721">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7BE16AE9">
      <w:pPr>
        <w:spacing w:line="440" w:lineRule="exact"/>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成交供应商</w:t>
      </w:r>
      <w:r>
        <w:rPr>
          <w:rFonts w:hint="eastAsia" w:ascii="宋体" w:hAnsi="宋体" w:cs="宋体"/>
          <w:color w:val="000000" w:themeColor="text1"/>
          <w:sz w:val="24"/>
          <w14:textFill>
            <w14:solidFill>
              <w14:schemeClr w14:val="tx1"/>
            </w14:solidFill>
          </w14:textFill>
        </w:rPr>
        <w:t>在服务期限内，应严格按照《</w:t>
      </w:r>
      <w:r>
        <w:rPr>
          <w:rFonts w:hint="eastAsia" w:ascii="宋体" w:hAnsi="宋体" w:cs="宋体"/>
          <w:color w:val="000000" w:themeColor="text1"/>
          <w:sz w:val="24"/>
          <w:lang w:eastAsia="zh-CN"/>
          <w14:textFill>
            <w14:solidFill>
              <w14:schemeClr w14:val="tx1"/>
            </w14:solidFill>
          </w14:textFill>
        </w:rPr>
        <w:t>中华人民共和国</w:t>
      </w:r>
      <w:r>
        <w:rPr>
          <w:rFonts w:hint="eastAsia" w:ascii="宋体" w:hAnsi="宋体" w:cs="宋体"/>
          <w:color w:val="000000" w:themeColor="text1"/>
          <w:sz w:val="24"/>
          <w14:textFill>
            <w14:solidFill>
              <w14:schemeClr w14:val="tx1"/>
            </w14:solidFill>
          </w14:textFill>
        </w:rPr>
        <w:t>劳动法》的规定用工，签订用工劳务合同，并按规定为工人购买人身意外保险及相关的劳动保险，承包期间发生的一切安全责任事故及造成第三者伤害责任的，均由成交供应商承担。</w:t>
      </w:r>
    </w:p>
    <w:p w14:paraId="11CF6941">
      <w:pPr>
        <w:spacing w:line="44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eastAsia="zh-CN"/>
          <w14:textFill>
            <w14:solidFill>
              <w14:schemeClr w14:val="tx1"/>
            </w14:solidFill>
          </w14:textFill>
        </w:rPr>
        <w:t>七</w:t>
      </w:r>
      <w:r>
        <w:rPr>
          <w:rFonts w:hint="eastAsia" w:ascii="宋体" w:hAnsi="宋体"/>
          <w:b/>
          <w:color w:val="000000" w:themeColor="text1"/>
          <w:kern w:val="0"/>
          <w:sz w:val="24"/>
          <w14:textFill>
            <w14:solidFill>
              <w14:schemeClr w14:val="tx1"/>
            </w14:solidFill>
          </w14:textFill>
        </w:rPr>
        <w:t>、服务地点及时间</w:t>
      </w:r>
    </w:p>
    <w:p w14:paraId="5D0598C9">
      <w:pPr>
        <w:pStyle w:val="24"/>
        <w:ind w:firstLine="480" w:firstLineChars="200"/>
        <w:rPr>
          <w:rFonts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具体地点安排按采购人要求执行</w:t>
      </w:r>
    </w:p>
    <w:p w14:paraId="3AC33D5F">
      <w:pPr>
        <w:spacing w:line="44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eastAsia="zh-CN"/>
          <w14:textFill>
            <w14:solidFill>
              <w14:schemeClr w14:val="tx1"/>
            </w14:solidFill>
          </w14:textFill>
        </w:rPr>
        <w:t>八</w:t>
      </w:r>
      <w:r>
        <w:rPr>
          <w:rFonts w:ascii="宋体" w:hAnsi="宋体"/>
          <w:b/>
          <w:color w:val="000000" w:themeColor="text1"/>
          <w:kern w:val="0"/>
          <w:sz w:val="24"/>
          <w14:textFill>
            <w14:solidFill>
              <w14:schemeClr w14:val="tx1"/>
            </w14:solidFill>
          </w14:textFill>
        </w:rPr>
        <w:t>、付款方式</w:t>
      </w:r>
    </w:p>
    <w:bookmarkEnd w:id="54"/>
    <w:bookmarkEnd w:id="55"/>
    <w:bookmarkEnd w:id="56"/>
    <w:bookmarkEnd w:id="57"/>
    <w:bookmarkEnd w:id="64"/>
    <w:bookmarkEnd w:id="65"/>
    <w:bookmarkEnd w:id="66"/>
    <w:p w14:paraId="5279D095">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经最终验收合格后付清100</w:t>
      </w:r>
      <w:r>
        <w:rPr>
          <w:rFonts w:hint="eastAsia" w:ascii="宋体" w:hAnsi="宋体" w:eastAsia="宋体" w:cs="宋体"/>
          <w:color w:val="000000" w:themeColor="text1"/>
          <w:sz w:val="24"/>
          <w:highlight w:val="none"/>
          <w14:textFill>
            <w14:solidFill>
              <w14:schemeClr w14:val="tx1"/>
            </w14:solidFill>
          </w14:textFill>
        </w:rPr>
        <w:t>%货款</w:t>
      </w:r>
    </w:p>
    <w:p w14:paraId="443B6959">
      <w:pPr>
        <w:spacing w:line="44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eastAsia="zh-CN"/>
          <w14:textFill>
            <w14:solidFill>
              <w14:schemeClr w14:val="tx1"/>
            </w14:solidFill>
          </w14:textFill>
        </w:rPr>
        <w:t>九</w:t>
      </w:r>
      <w:r>
        <w:rPr>
          <w:rFonts w:hint="eastAsia" w:ascii="宋体" w:hAnsi="宋体"/>
          <w:b/>
          <w:color w:val="000000" w:themeColor="text1"/>
          <w:kern w:val="0"/>
          <w:sz w:val="24"/>
          <w14:textFill>
            <w14:solidFill>
              <w14:schemeClr w14:val="tx1"/>
            </w14:solidFill>
          </w14:textFill>
        </w:rPr>
        <w:t>、知识产权</w:t>
      </w:r>
    </w:p>
    <w:p w14:paraId="364561C3">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w:t>
      </w:r>
      <w:r>
        <w:rPr>
          <w:rFonts w:hint="eastAsia" w:ascii="宋体" w:hAnsi="宋体" w:cs="宋体"/>
          <w:kern w:val="2"/>
          <w:lang w:eastAsia="zh-CN"/>
        </w:rPr>
        <w:t>受</w:t>
      </w:r>
      <w:r>
        <w:rPr>
          <w:rFonts w:hint="eastAsia" w:ascii="宋体" w:hAnsi="宋体" w:cs="宋体"/>
          <w:kern w:val="2"/>
        </w:rPr>
        <w:t>损失，则成交供应商应赔偿该损失。</w:t>
      </w:r>
    </w:p>
    <w:p w14:paraId="1EC434EF">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w:t>
      </w:r>
      <w:r>
        <w:rPr>
          <w:rFonts w:hint="eastAsia" w:ascii="宋体" w:hAnsi="宋体" w:cs="宋体"/>
          <w:kern w:val="2"/>
          <w:lang w:eastAsia="zh-CN"/>
        </w:rPr>
        <w:t>其</w:t>
      </w:r>
      <w:r>
        <w:rPr>
          <w:rFonts w:hint="eastAsia" w:ascii="宋体" w:hAnsi="宋体" w:cs="宋体"/>
          <w:kern w:val="2"/>
        </w:rPr>
        <w:t>中标资格将被取消；采购人将按照有关法律、法规和规章的规定进行处理，并按</w:t>
      </w:r>
      <w:r>
        <w:rPr>
          <w:rFonts w:hint="eastAsia" w:ascii="宋体" w:hAnsi="宋体" w:cs="宋体"/>
          <w:kern w:val="2"/>
          <w:lang w:eastAsia="zh-CN"/>
        </w:rPr>
        <w:t>照</w:t>
      </w:r>
      <w:r>
        <w:rPr>
          <w:rFonts w:hint="eastAsia" w:ascii="宋体" w:hAnsi="宋体" w:cs="宋体"/>
          <w:kern w:val="2"/>
        </w:rPr>
        <w:t>本合同约定追究其违约责任。</w:t>
      </w:r>
    </w:p>
    <w:p w14:paraId="682F660D">
      <w:pPr>
        <w:spacing w:line="440" w:lineRule="exact"/>
        <w:ind w:firstLine="482" w:firstLineChars="200"/>
        <w:rPr>
          <w:rFonts w:ascii="宋体" w:hAnsi="宋体"/>
          <w:b/>
          <w:sz w:val="24"/>
        </w:rPr>
      </w:pPr>
      <w:r>
        <w:rPr>
          <w:rFonts w:hint="eastAsia" w:ascii="宋体" w:hAnsi="宋体"/>
          <w:b/>
          <w:sz w:val="24"/>
          <w:lang w:eastAsia="zh-CN"/>
        </w:rPr>
        <w:t>十</w:t>
      </w:r>
      <w:r>
        <w:rPr>
          <w:rFonts w:hint="eastAsia" w:ascii="宋体" w:hAnsi="宋体"/>
          <w:b/>
          <w:sz w:val="24"/>
        </w:rPr>
        <w:t>、违约责任</w:t>
      </w:r>
    </w:p>
    <w:p w14:paraId="54B7B208">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（1）成交供应商未经采购人同意单方面终止合同的，成交供应商除了应向采购人赔偿因合同终止导致的损失外，还应向采购人偿付该合同款30%的违约金。</w:t>
      </w:r>
    </w:p>
    <w:p w14:paraId="4BEBB37D">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lang w:val="en-US" w:eastAsia="zh-CN"/>
        </w:rPr>
        <w:t>（2）</w:t>
      </w:r>
      <w:r>
        <w:rPr>
          <w:rFonts w:hint="eastAsia" w:ascii="宋体" w:hAnsi="宋体" w:cs="宋体"/>
          <w:kern w:val="2"/>
        </w:rPr>
        <w:t>成交供应商逾期</w:t>
      </w:r>
      <w:r>
        <w:rPr>
          <w:rFonts w:hint="eastAsia" w:ascii="宋体" w:hAnsi="宋体" w:cs="宋体"/>
          <w:kern w:val="2"/>
          <w:lang w:eastAsia="zh-CN"/>
        </w:rPr>
        <w:t>交付服务</w:t>
      </w:r>
      <w:r>
        <w:rPr>
          <w:rFonts w:hint="eastAsia" w:ascii="宋体" w:hAnsi="宋体" w:cs="宋体"/>
          <w:kern w:val="2"/>
        </w:rPr>
        <w:t>的，应按逾期交付总额每日万分之四向采购人支付违约金，由采购人从待付款</w:t>
      </w:r>
      <w:r>
        <w:rPr>
          <w:rFonts w:hint="eastAsia" w:ascii="宋体" w:hAnsi="宋体" w:cs="宋体"/>
          <w:kern w:val="2"/>
          <w:lang w:eastAsia="zh-CN"/>
        </w:rPr>
        <w:t>项</w:t>
      </w:r>
      <w:r>
        <w:rPr>
          <w:rFonts w:hint="eastAsia" w:ascii="宋体" w:hAnsi="宋体" w:cs="宋体"/>
          <w:kern w:val="2"/>
        </w:rPr>
        <w:t>中扣除。成交供应商无正当理由逾期超过约定日期3天仍不能交付的，视为“成交供应商不按合同约定履约”。</w:t>
      </w:r>
    </w:p>
    <w:p w14:paraId="3D30E656">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lang w:val="en-US" w:eastAsia="zh-CN"/>
        </w:rPr>
        <w:t>（3）</w:t>
      </w:r>
      <w:r>
        <w:rPr>
          <w:rFonts w:hint="eastAsia" w:ascii="宋体" w:hAnsi="宋体" w:cs="宋体"/>
          <w:kern w:val="2"/>
        </w:rPr>
        <w:t>成交供应商所交付的</w:t>
      </w:r>
      <w:r>
        <w:rPr>
          <w:rFonts w:hint="eastAsia" w:ascii="宋体" w:hAnsi="宋体" w:cs="宋体"/>
          <w:kern w:val="2"/>
          <w:lang w:eastAsia="zh-CN"/>
        </w:rPr>
        <w:t>服务</w:t>
      </w:r>
      <w:r>
        <w:rPr>
          <w:rFonts w:hint="eastAsia" w:ascii="宋体" w:hAnsi="宋体" w:cs="宋体"/>
          <w:kern w:val="2"/>
        </w:rPr>
        <w:t>不符合合同规定及《</w:t>
      </w:r>
      <w:r>
        <w:rPr>
          <w:rFonts w:hint="eastAsia" w:ascii="宋体" w:hAnsi="宋体" w:cs="宋体"/>
          <w:kern w:val="2"/>
          <w:lang w:eastAsia="zh-CN"/>
        </w:rPr>
        <w:t>询价</w:t>
      </w:r>
      <w:r>
        <w:rPr>
          <w:rFonts w:hint="eastAsia" w:ascii="宋体" w:hAnsi="宋体" w:cs="宋体"/>
          <w:kern w:val="2"/>
        </w:rPr>
        <w:t>文件》规定标准的，采购人有权拒收，成交供应商愿意</w:t>
      </w:r>
      <w:r>
        <w:rPr>
          <w:rFonts w:hint="eastAsia" w:ascii="宋体" w:hAnsi="宋体" w:cs="宋体"/>
          <w:kern w:val="2"/>
          <w:lang w:eastAsia="zh-CN"/>
        </w:rPr>
        <w:t>整改</w:t>
      </w:r>
      <w:r>
        <w:rPr>
          <w:rFonts w:hint="eastAsia" w:ascii="宋体" w:hAnsi="宋体" w:cs="宋体"/>
          <w:kern w:val="2"/>
        </w:rPr>
        <w:t>但逾期交</w:t>
      </w:r>
      <w:r>
        <w:rPr>
          <w:rFonts w:hint="eastAsia" w:ascii="宋体" w:hAnsi="宋体" w:cs="宋体"/>
          <w:kern w:val="2"/>
          <w:lang w:eastAsia="zh-CN"/>
        </w:rPr>
        <w:t>付</w:t>
      </w:r>
      <w:r>
        <w:rPr>
          <w:rFonts w:hint="eastAsia" w:ascii="宋体" w:hAnsi="宋体" w:cs="宋体"/>
          <w:kern w:val="2"/>
        </w:rPr>
        <w:t>的，按成交供应商逾期交</w:t>
      </w:r>
      <w:r>
        <w:rPr>
          <w:rFonts w:hint="eastAsia" w:ascii="宋体" w:hAnsi="宋体" w:cs="宋体"/>
          <w:kern w:val="2"/>
          <w:lang w:eastAsia="zh-CN"/>
        </w:rPr>
        <w:t>付</w:t>
      </w:r>
      <w:r>
        <w:rPr>
          <w:rFonts w:hint="eastAsia" w:ascii="宋体" w:hAnsi="宋体" w:cs="宋体"/>
          <w:kern w:val="2"/>
        </w:rPr>
        <w:t>处理。成交供应商拒绝</w:t>
      </w:r>
      <w:r>
        <w:rPr>
          <w:rFonts w:hint="eastAsia" w:ascii="宋体" w:hAnsi="宋体" w:cs="宋体"/>
          <w:kern w:val="2"/>
          <w:lang w:eastAsia="zh-CN"/>
        </w:rPr>
        <w:t>整改</w:t>
      </w:r>
      <w:r>
        <w:rPr>
          <w:rFonts w:hint="eastAsia" w:ascii="宋体" w:hAnsi="宋体" w:cs="宋体"/>
          <w:kern w:val="2"/>
        </w:rPr>
        <w:t>的，视为“成交供应商不按合同约定履约”。</w:t>
      </w:r>
    </w:p>
    <w:p w14:paraId="166F1BDA">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lang w:val="en-US" w:eastAsia="zh-CN"/>
        </w:rPr>
        <w:t>（4）</w:t>
      </w:r>
      <w:r>
        <w:rPr>
          <w:rFonts w:hint="eastAsia" w:ascii="宋体" w:hAnsi="宋体" w:cs="宋体"/>
          <w:kern w:val="2"/>
        </w:rPr>
        <w:t>成交供应商不按合同约定履约的，采购人可以解除采购合同，同时，成交供应商还须向采购人支付违约金：合同总价30%的违约金。</w:t>
      </w:r>
    </w:p>
    <w:p w14:paraId="7724A9D2">
      <w:pPr>
        <w:pStyle w:val="4"/>
        <w:spacing w:before="0" w:after="0" w:line="440" w:lineRule="exact"/>
        <w:jc w:val="left"/>
        <w:rPr>
          <w:rFonts w:ascii="宋体" w:hAnsi="宋体" w:eastAsia="宋体"/>
          <w:sz w:val="24"/>
        </w:rPr>
      </w:pPr>
    </w:p>
    <w:bookmarkEnd w:id="49"/>
    <w:bookmarkEnd w:id="50"/>
    <w:p w14:paraId="5493D1CD">
      <w:pPr>
        <w:pStyle w:val="18"/>
        <w:ind w:firstLine="210"/>
      </w:pPr>
    </w:p>
    <w:p w14:paraId="45E490B2">
      <w:pPr>
        <w:pStyle w:val="3"/>
        <w:spacing w:before="120" w:after="120" w:line="400" w:lineRule="exact"/>
        <w:jc w:val="center"/>
        <w:rPr>
          <w:rFonts w:ascii="宋体" w:hAnsi="宋体" w:eastAsia="宋体"/>
          <w:szCs w:val="32"/>
        </w:rPr>
      </w:pPr>
      <w:bookmarkStart w:id="67" w:name="_Toc1683"/>
      <w:r>
        <w:rPr>
          <w:rFonts w:hint="eastAsia" w:ascii="宋体" w:hAnsi="宋体" w:eastAsia="宋体"/>
          <w:szCs w:val="32"/>
        </w:rPr>
        <w:br w:type="page"/>
      </w:r>
      <w:bookmarkStart w:id="68" w:name="_Toc25197"/>
      <w:bookmarkStart w:id="69" w:name="_Toc3042"/>
      <w:r>
        <w:rPr>
          <w:rFonts w:hint="eastAsia" w:ascii="宋体" w:hAnsi="宋体" w:eastAsia="宋体"/>
          <w:szCs w:val="32"/>
        </w:rPr>
        <w:t>第四部分    报价文件格式</w:t>
      </w:r>
      <w:bookmarkEnd w:id="67"/>
      <w:bookmarkEnd w:id="68"/>
      <w:bookmarkEnd w:id="69"/>
    </w:p>
    <w:p w14:paraId="6C8FD3BA">
      <w:pPr>
        <w:spacing w:line="360" w:lineRule="auto"/>
        <w:rPr>
          <w:rFonts w:ascii="宋体" w:hAnsi="宋体"/>
          <w:b/>
          <w:sz w:val="28"/>
          <w:szCs w:val="28"/>
        </w:rPr>
      </w:pPr>
    </w:p>
    <w:p w14:paraId="64BA8951">
      <w:pPr>
        <w:spacing w:line="360" w:lineRule="auto"/>
        <w:jc w:val="center"/>
        <w:rPr>
          <w:rFonts w:ascii="宋体" w:hAnsi="宋体"/>
          <w:b/>
          <w:sz w:val="72"/>
        </w:rPr>
      </w:pPr>
    </w:p>
    <w:p w14:paraId="6332E747">
      <w:pPr>
        <w:spacing w:line="360" w:lineRule="auto"/>
        <w:jc w:val="center"/>
        <w:rPr>
          <w:rFonts w:ascii="宋体" w:hAnsi="宋体"/>
          <w:b/>
          <w:sz w:val="84"/>
          <w:szCs w:val="84"/>
        </w:rPr>
      </w:pPr>
      <w:r>
        <w:rPr>
          <w:rFonts w:hint="eastAsia" w:ascii="宋体" w:hAnsi="宋体"/>
          <w:b/>
          <w:sz w:val="84"/>
          <w:szCs w:val="84"/>
        </w:rPr>
        <w:t>报价响应文件</w:t>
      </w:r>
    </w:p>
    <w:p w14:paraId="32DF7C7D">
      <w:pPr>
        <w:spacing w:line="360" w:lineRule="auto"/>
        <w:jc w:val="center"/>
        <w:rPr>
          <w:rFonts w:ascii="宋体" w:hAnsi="宋体"/>
          <w:b/>
          <w:sz w:val="36"/>
        </w:rPr>
      </w:pPr>
    </w:p>
    <w:p w14:paraId="42B79E41">
      <w:pPr>
        <w:spacing w:line="360" w:lineRule="auto"/>
        <w:jc w:val="center"/>
        <w:rPr>
          <w:rFonts w:ascii="宋体" w:hAnsi="宋体"/>
          <w:b/>
          <w:sz w:val="36"/>
        </w:rPr>
      </w:pPr>
    </w:p>
    <w:p w14:paraId="193EEB19">
      <w:pPr>
        <w:spacing w:line="360" w:lineRule="auto"/>
        <w:jc w:val="center"/>
        <w:rPr>
          <w:rFonts w:ascii="宋体" w:hAnsi="宋体"/>
          <w:b/>
          <w:sz w:val="36"/>
        </w:rPr>
      </w:pPr>
    </w:p>
    <w:p w14:paraId="1DCDDC80">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7D90D9BC">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38FE0D30">
      <w:pPr>
        <w:spacing w:line="360" w:lineRule="auto"/>
        <w:rPr>
          <w:rFonts w:ascii="宋体" w:hAnsi="宋体"/>
          <w:sz w:val="28"/>
          <w:szCs w:val="28"/>
        </w:rPr>
      </w:pPr>
    </w:p>
    <w:p w14:paraId="054CC913">
      <w:pPr>
        <w:pStyle w:val="16"/>
      </w:pPr>
    </w:p>
    <w:p w14:paraId="6DCAA12F">
      <w:pPr>
        <w:spacing w:line="360" w:lineRule="auto"/>
        <w:rPr>
          <w:rFonts w:ascii="宋体" w:hAnsi="宋体"/>
          <w:b/>
          <w:sz w:val="36"/>
        </w:rPr>
      </w:pPr>
    </w:p>
    <w:p w14:paraId="11968CA0">
      <w:pPr>
        <w:pStyle w:val="16"/>
      </w:pPr>
    </w:p>
    <w:p w14:paraId="579D960A">
      <w:pPr>
        <w:spacing w:line="360" w:lineRule="auto"/>
        <w:rPr>
          <w:rFonts w:ascii="宋体" w:hAnsi="宋体"/>
          <w:b/>
          <w:sz w:val="36"/>
        </w:rPr>
      </w:pPr>
    </w:p>
    <w:p w14:paraId="5391D526">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1CAAF2A4">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652B3D44">
      <w:pPr>
        <w:widowControl/>
        <w:spacing w:line="400" w:lineRule="exact"/>
        <w:ind w:firstLine="5600" w:firstLineChars="2000"/>
        <w:rPr>
          <w:rFonts w:ascii="宋体" w:hAnsi="宋体" w:cs="宋体"/>
          <w:kern w:val="0"/>
          <w:sz w:val="28"/>
          <w:szCs w:val="28"/>
          <w:shd w:val="clear" w:color="auto" w:fill="FFFFFF"/>
        </w:rPr>
      </w:pPr>
    </w:p>
    <w:p w14:paraId="46DA42AD">
      <w:pPr>
        <w:widowControl/>
        <w:spacing w:line="400" w:lineRule="exact"/>
        <w:ind w:firstLine="5600" w:firstLineChars="2000"/>
        <w:rPr>
          <w:rFonts w:ascii="宋体" w:hAnsi="宋体" w:cs="宋体"/>
          <w:kern w:val="0"/>
          <w:sz w:val="28"/>
          <w:szCs w:val="28"/>
          <w:shd w:val="clear" w:color="auto" w:fill="FFFFFF"/>
        </w:rPr>
      </w:pPr>
    </w:p>
    <w:p w14:paraId="3E3CD30B">
      <w:pPr>
        <w:widowControl/>
        <w:spacing w:line="400" w:lineRule="exact"/>
        <w:ind w:firstLine="5600" w:firstLineChars="2000"/>
        <w:rPr>
          <w:rFonts w:ascii="宋体" w:hAnsi="宋体" w:cs="宋体"/>
          <w:kern w:val="0"/>
          <w:sz w:val="28"/>
          <w:szCs w:val="28"/>
          <w:shd w:val="clear" w:color="auto" w:fill="FFFFFF"/>
        </w:rPr>
      </w:pPr>
    </w:p>
    <w:p w14:paraId="3E7931ED">
      <w:pPr>
        <w:pStyle w:val="16"/>
      </w:pPr>
    </w:p>
    <w:p w14:paraId="4A7D1E46"/>
    <w:p w14:paraId="3CFF40B7">
      <w:pPr>
        <w:widowControl/>
        <w:spacing w:line="400" w:lineRule="exact"/>
        <w:ind w:firstLine="5600" w:firstLineChars="2000"/>
        <w:rPr>
          <w:rFonts w:ascii="宋体" w:hAnsi="宋体" w:cs="宋体"/>
          <w:kern w:val="0"/>
          <w:sz w:val="28"/>
          <w:szCs w:val="28"/>
          <w:shd w:val="clear" w:color="auto" w:fill="FFFFFF"/>
        </w:rPr>
      </w:pPr>
    </w:p>
    <w:p w14:paraId="27628BCB">
      <w:pPr>
        <w:spacing w:line="440" w:lineRule="exact"/>
        <w:outlineLvl w:val="0"/>
        <w:rPr>
          <w:rFonts w:ascii="宋体" w:hAnsi="宋体" w:cs="宋体"/>
          <w:sz w:val="28"/>
          <w:szCs w:val="28"/>
        </w:rPr>
      </w:pPr>
      <w:bookmarkStart w:id="70" w:name="_Toc14215"/>
      <w:bookmarkStart w:id="71" w:name="_Toc12112"/>
      <w:bookmarkStart w:id="72" w:name="_Toc25899"/>
      <w:bookmarkStart w:id="73" w:name="_Toc29646"/>
      <w:bookmarkStart w:id="74" w:name="_Toc372013039"/>
      <w:bookmarkStart w:id="75" w:name="_Toc502907889"/>
      <w:bookmarkStart w:id="76" w:name="_Toc1606"/>
      <w:bookmarkStart w:id="77" w:name="_Toc393727156"/>
      <w:bookmarkStart w:id="78" w:name="_Toc432513145"/>
      <w:bookmarkStart w:id="79" w:name="_Toc373141305"/>
      <w:r>
        <w:rPr>
          <w:rFonts w:hint="eastAsia" w:ascii="宋体" w:hAnsi="宋体" w:cs="宋体"/>
          <w:b/>
          <w:sz w:val="28"/>
          <w:szCs w:val="28"/>
        </w:rPr>
        <w:t>格式1                       报   价  书</w:t>
      </w:r>
      <w:bookmarkEnd w:id="70"/>
      <w:bookmarkEnd w:id="71"/>
      <w:bookmarkEnd w:id="72"/>
      <w:bookmarkEnd w:id="73"/>
    </w:p>
    <w:p w14:paraId="0A99A006">
      <w:pPr>
        <w:pStyle w:val="10"/>
        <w:spacing w:line="440" w:lineRule="exact"/>
        <w:rPr>
          <w:rFonts w:ascii="宋体" w:hAnsi="宋体" w:cs="宋体"/>
          <w:szCs w:val="28"/>
        </w:rPr>
      </w:pPr>
    </w:p>
    <w:p w14:paraId="429CBF46">
      <w:pPr>
        <w:pStyle w:val="10"/>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1262CA02">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72EC5F94">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711B9B16">
      <w:pPr>
        <w:spacing w:line="360" w:lineRule="auto"/>
        <w:ind w:firstLine="480" w:firstLineChars="200"/>
        <w:rPr>
          <w:rFonts w:ascii="宋体" w:hAnsi="宋体" w:cs="宋体"/>
          <w:sz w:val="24"/>
        </w:rPr>
      </w:pPr>
      <w:r>
        <w:rPr>
          <w:rFonts w:hint="eastAsia" w:ascii="宋体" w:hAnsi="宋体" w:cs="宋体"/>
          <w:sz w:val="24"/>
        </w:rPr>
        <w:t>(2) 资格证明文件；</w:t>
      </w:r>
    </w:p>
    <w:p w14:paraId="4B19919A">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2EF3AF77">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559F3EFF">
      <w:pPr>
        <w:spacing w:line="360" w:lineRule="auto"/>
        <w:ind w:firstLine="480" w:firstLineChars="200"/>
        <w:rPr>
          <w:rFonts w:ascii="宋体" w:hAnsi="宋体" w:cs="宋体"/>
          <w:sz w:val="24"/>
        </w:rPr>
      </w:pPr>
      <w:r>
        <w:rPr>
          <w:rFonts w:hint="eastAsia" w:ascii="宋体" w:hAnsi="宋体" w:cs="宋体"/>
          <w:sz w:val="24"/>
        </w:rPr>
        <w:t>(5) 报价供应商认为需加以说明的其</w:t>
      </w:r>
      <w:r>
        <w:rPr>
          <w:rFonts w:hint="eastAsia" w:ascii="宋体" w:hAnsi="宋体" w:cs="宋体"/>
          <w:sz w:val="24"/>
          <w:lang w:eastAsia="zh-CN"/>
        </w:rPr>
        <w:t>他</w:t>
      </w:r>
      <w:r>
        <w:rPr>
          <w:rFonts w:hint="eastAsia" w:ascii="宋体" w:hAnsi="宋体" w:cs="宋体"/>
          <w:sz w:val="24"/>
        </w:rPr>
        <w:t>文件；</w:t>
      </w:r>
    </w:p>
    <w:p w14:paraId="5940A383">
      <w:pPr>
        <w:spacing w:line="360" w:lineRule="auto"/>
        <w:rPr>
          <w:rFonts w:ascii="宋体" w:hAnsi="宋体" w:cs="宋体"/>
          <w:sz w:val="24"/>
        </w:rPr>
      </w:pPr>
      <w:r>
        <w:rPr>
          <w:rFonts w:hint="eastAsia" w:ascii="宋体" w:hAnsi="宋体" w:cs="宋体"/>
          <w:sz w:val="24"/>
        </w:rPr>
        <w:t xml:space="preserve">    据此函，报价供应商同意遵守如下条款：</w:t>
      </w:r>
    </w:p>
    <w:p w14:paraId="1FCDC17E">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3384BDA4">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066BFF45">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3、报价供应商已详细审查全部询价文件，包括修改文件（如有）以及全部参考资料和相关附件。我们完全理解并同意放弃对这方面有不明及误解的权利。</w:t>
      </w:r>
    </w:p>
    <w:p w14:paraId="782CA080">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631655AB">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6AE17508">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6653B408">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w:t>
      </w:r>
      <w:r>
        <w:rPr>
          <w:rFonts w:hint="eastAsia" w:ascii="宋体" w:hAnsi="宋体" w:cs="宋体"/>
          <w:spacing w:val="-4"/>
          <w:sz w:val="24"/>
          <w:lang w:eastAsia="zh-CN"/>
        </w:rPr>
        <w:t>通信</w:t>
      </w:r>
      <w:r>
        <w:rPr>
          <w:rFonts w:hint="eastAsia" w:ascii="宋体" w:hAnsi="宋体" w:cs="宋体"/>
          <w:spacing w:val="-4"/>
          <w:sz w:val="24"/>
        </w:rPr>
        <w:t>请寄：</w:t>
      </w:r>
    </w:p>
    <w:p w14:paraId="342E8820">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7828F8B5">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w:t>
      </w:r>
    </w:p>
    <w:p w14:paraId="56DA23B9">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099966AC">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5D048EA1">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12E08E88">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4BC8BB4A">
      <w:pPr>
        <w:pStyle w:val="18"/>
        <w:ind w:firstLine="210"/>
      </w:pPr>
    </w:p>
    <w:p w14:paraId="6EC5F573">
      <w:pPr>
        <w:spacing w:line="440" w:lineRule="exact"/>
        <w:rPr>
          <w:rFonts w:ascii="宋体" w:hAnsi="宋体" w:cs="宋体"/>
          <w:b/>
          <w:sz w:val="28"/>
          <w:szCs w:val="28"/>
        </w:rPr>
      </w:pPr>
    </w:p>
    <w:p w14:paraId="3B662860">
      <w:pPr>
        <w:pStyle w:val="24"/>
      </w:pPr>
    </w:p>
    <w:p w14:paraId="5927BE6B">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26916"/>
      <w:bookmarkStart w:id="81" w:name="_Toc20566"/>
      <w:bookmarkStart w:id="82" w:name="_Toc4358"/>
      <w:bookmarkStart w:id="83" w:name="_Toc22694"/>
      <w:r>
        <w:rPr>
          <w:rFonts w:hint="eastAsia" w:ascii="宋体" w:hAnsi="宋体" w:cs="宋体"/>
          <w:b/>
          <w:sz w:val="28"/>
          <w:szCs w:val="28"/>
        </w:rPr>
        <w:t>格式2                       报价一览表</w:t>
      </w:r>
      <w:bookmarkEnd w:id="80"/>
      <w:bookmarkEnd w:id="81"/>
      <w:bookmarkEnd w:id="82"/>
      <w:bookmarkEnd w:id="83"/>
    </w:p>
    <w:p w14:paraId="64C0FD04">
      <w:pPr>
        <w:spacing w:line="440" w:lineRule="exact"/>
        <w:rPr>
          <w:rFonts w:ascii="宋体" w:hAnsi="宋体" w:cs="宋体"/>
          <w:sz w:val="28"/>
          <w:szCs w:val="28"/>
        </w:rPr>
      </w:pPr>
    </w:p>
    <w:p w14:paraId="5AB75CBE">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476DBA24">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1C2B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78ADE1A">
            <w:pPr>
              <w:pStyle w:val="17"/>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5778249">
            <w:pPr>
              <w:pStyle w:val="17"/>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4CDE124">
            <w:pPr>
              <w:pStyle w:val="17"/>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9430BE0">
            <w:pPr>
              <w:pStyle w:val="17"/>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040B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B53F22C">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6E7E5A3F">
            <w:pPr>
              <w:pStyle w:val="15"/>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0059220B">
            <w:pPr>
              <w:pStyle w:val="15"/>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767BBCE9">
            <w:pPr>
              <w:pStyle w:val="11"/>
              <w:tabs>
                <w:tab w:val="left" w:pos="8360"/>
              </w:tabs>
              <w:spacing w:line="360" w:lineRule="exact"/>
              <w:jc w:val="center"/>
              <w:rPr>
                <w:rFonts w:ascii="宋体" w:hAnsi="宋体" w:cs="宋体"/>
                <w:sz w:val="24"/>
                <w:szCs w:val="24"/>
                <w:u w:val="single"/>
              </w:rPr>
            </w:pPr>
          </w:p>
        </w:tc>
      </w:tr>
    </w:tbl>
    <w:p w14:paraId="3B63F87D">
      <w:pPr>
        <w:pStyle w:val="24"/>
        <w:rPr>
          <w:rFonts w:ascii="宋体" w:hAnsi="宋体" w:eastAsia="宋体" w:cs="宋体"/>
          <w:color w:val="auto"/>
          <w:u w:val="single"/>
        </w:rPr>
      </w:pPr>
    </w:p>
    <w:p w14:paraId="0540A5AF">
      <w:pPr>
        <w:pStyle w:val="24"/>
        <w:rPr>
          <w:rFonts w:ascii="宋体" w:hAnsi="宋体" w:eastAsia="宋体" w:cs="宋体"/>
          <w:color w:val="auto"/>
          <w:u w:val="single"/>
        </w:rPr>
      </w:pPr>
    </w:p>
    <w:p w14:paraId="1C20EEFC">
      <w:pPr>
        <w:pStyle w:val="24"/>
        <w:rPr>
          <w:rFonts w:ascii="宋体" w:hAnsi="宋体" w:eastAsia="宋体" w:cs="宋体"/>
          <w:color w:val="auto"/>
          <w:u w:val="single"/>
        </w:rPr>
      </w:pPr>
    </w:p>
    <w:p w14:paraId="367D0D2B">
      <w:pPr>
        <w:pStyle w:val="24"/>
        <w:rPr>
          <w:rFonts w:ascii="宋体" w:hAnsi="宋体" w:eastAsia="宋体" w:cs="宋体"/>
          <w:color w:val="auto"/>
          <w:u w:val="single"/>
        </w:rPr>
      </w:pPr>
    </w:p>
    <w:p w14:paraId="766EF95E">
      <w:pPr>
        <w:pStyle w:val="24"/>
        <w:rPr>
          <w:rFonts w:ascii="宋体" w:hAnsi="宋体" w:eastAsia="宋体" w:cs="宋体"/>
          <w:color w:val="auto"/>
          <w:u w:val="single"/>
        </w:rPr>
      </w:pPr>
    </w:p>
    <w:p w14:paraId="1A6187AF">
      <w:pPr>
        <w:spacing w:line="360" w:lineRule="auto"/>
        <w:ind w:firstLine="2400" w:firstLineChars="1000"/>
        <w:rPr>
          <w:rFonts w:ascii="宋体" w:hAnsi="宋体" w:cs="宋体"/>
          <w:sz w:val="24"/>
        </w:rPr>
      </w:pPr>
    </w:p>
    <w:p w14:paraId="2A9EF3DB">
      <w:pPr>
        <w:spacing w:line="360" w:lineRule="auto"/>
        <w:ind w:firstLine="2400" w:firstLineChars="1000"/>
        <w:rPr>
          <w:rFonts w:ascii="宋体" w:hAnsi="宋体" w:cs="宋体"/>
          <w:sz w:val="24"/>
        </w:rPr>
      </w:pPr>
    </w:p>
    <w:p w14:paraId="2EFDE3A3">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D12BE3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317B080">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EDAEFA6">
      <w:pPr>
        <w:spacing w:line="360" w:lineRule="auto"/>
        <w:rPr>
          <w:rFonts w:ascii="宋体" w:hAnsi="宋体" w:cs="宋体"/>
          <w:sz w:val="24"/>
        </w:rPr>
      </w:pPr>
    </w:p>
    <w:p w14:paraId="20288248">
      <w:pPr>
        <w:spacing w:line="360" w:lineRule="auto"/>
        <w:rPr>
          <w:rFonts w:ascii="宋体" w:hAnsi="宋体" w:cs="宋体"/>
          <w:sz w:val="24"/>
        </w:rPr>
      </w:pPr>
    </w:p>
    <w:p w14:paraId="4D1AC8DD">
      <w:pPr>
        <w:rPr>
          <w:rFonts w:ascii="宋体" w:hAnsi="宋体" w:cs="宋体"/>
          <w:sz w:val="28"/>
          <w:szCs w:val="28"/>
        </w:rPr>
      </w:pPr>
    </w:p>
    <w:p w14:paraId="1798B5C8">
      <w:pPr>
        <w:rPr>
          <w:rFonts w:ascii="宋体" w:hAnsi="宋体" w:cs="宋体"/>
          <w:sz w:val="28"/>
          <w:szCs w:val="28"/>
        </w:rPr>
      </w:pPr>
    </w:p>
    <w:p w14:paraId="588277EC">
      <w:pPr>
        <w:rPr>
          <w:rFonts w:ascii="宋体" w:hAnsi="宋体" w:cs="宋体"/>
          <w:sz w:val="28"/>
          <w:szCs w:val="28"/>
        </w:rPr>
      </w:pPr>
    </w:p>
    <w:p w14:paraId="203F7067">
      <w:pPr>
        <w:rPr>
          <w:rFonts w:ascii="宋体" w:hAnsi="宋体" w:cs="宋体"/>
          <w:sz w:val="28"/>
          <w:szCs w:val="28"/>
        </w:rPr>
      </w:pPr>
    </w:p>
    <w:p w14:paraId="3CC7E6D3">
      <w:pPr>
        <w:pStyle w:val="18"/>
        <w:ind w:firstLine="280"/>
        <w:rPr>
          <w:rFonts w:ascii="宋体" w:hAnsi="宋体" w:cs="宋体"/>
          <w:sz w:val="28"/>
          <w:szCs w:val="28"/>
        </w:rPr>
      </w:pPr>
    </w:p>
    <w:p w14:paraId="5BEF0A76">
      <w:pPr>
        <w:pStyle w:val="18"/>
        <w:ind w:firstLine="280"/>
        <w:rPr>
          <w:rFonts w:ascii="宋体" w:hAnsi="宋体" w:cs="宋体"/>
          <w:sz w:val="28"/>
          <w:szCs w:val="28"/>
        </w:rPr>
      </w:pPr>
    </w:p>
    <w:p w14:paraId="7C713A96">
      <w:pPr>
        <w:pStyle w:val="18"/>
        <w:ind w:firstLine="280"/>
        <w:rPr>
          <w:rFonts w:ascii="宋体" w:hAnsi="宋体" w:cs="宋体"/>
          <w:sz w:val="28"/>
          <w:szCs w:val="28"/>
        </w:rPr>
      </w:pPr>
    </w:p>
    <w:p w14:paraId="1EE19803">
      <w:pPr>
        <w:pStyle w:val="18"/>
        <w:ind w:firstLine="280"/>
        <w:rPr>
          <w:rFonts w:ascii="宋体" w:hAnsi="宋体" w:cs="宋体"/>
          <w:sz w:val="28"/>
          <w:szCs w:val="28"/>
        </w:rPr>
      </w:pPr>
    </w:p>
    <w:p w14:paraId="4F9166F5">
      <w:pPr>
        <w:spacing w:line="400" w:lineRule="exact"/>
        <w:rPr>
          <w:rFonts w:hAnsi="宋体"/>
          <w:b/>
          <w:sz w:val="24"/>
        </w:rPr>
      </w:pPr>
      <w:bookmarkStart w:id="84" w:name="_Toc477899480"/>
    </w:p>
    <w:p w14:paraId="1827A3DE">
      <w:pPr>
        <w:spacing w:line="400" w:lineRule="exact"/>
        <w:outlineLvl w:val="0"/>
        <w:rPr>
          <w:rFonts w:ascii="宋体" w:hAnsi="宋体"/>
          <w:b/>
          <w:sz w:val="24"/>
        </w:rPr>
      </w:pPr>
      <w:bookmarkStart w:id="85" w:name="_Toc7202"/>
      <w:bookmarkStart w:id="86" w:name="_Toc7138"/>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14:paraId="43C62D7A">
      <w:pPr>
        <w:spacing w:line="400" w:lineRule="exact"/>
        <w:rPr>
          <w:rFonts w:ascii="黑体" w:hAnsi="Arial" w:eastAsia="黑体"/>
          <w:b/>
          <w:sz w:val="24"/>
        </w:rPr>
      </w:pPr>
    </w:p>
    <w:p w14:paraId="24CB7325">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2C0D1368">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0CAE42C5">
      <w:pPr>
        <w:spacing w:line="400" w:lineRule="exact"/>
        <w:rPr>
          <w:rFonts w:ascii="Arial" w:hAnsi="Arial"/>
          <w:szCs w:val="21"/>
        </w:rPr>
      </w:pPr>
    </w:p>
    <w:p w14:paraId="144425B5">
      <w:pPr>
        <w:pStyle w:val="24"/>
        <w:rPr>
          <w:rFonts w:ascii="Arial" w:hAnsi="Arial"/>
          <w:color w:val="auto"/>
          <w:szCs w:val="21"/>
        </w:rPr>
      </w:pPr>
    </w:p>
    <w:p w14:paraId="156755B1">
      <w:pPr>
        <w:pStyle w:val="24"/>
        <w:rPr>
          <w:rFonts w:ascii="Arial" w:hAnsi="Arial"/>
          <w:color w:val="auto"/>
          <w:szCs w:val="21"/>
        </w:rPr>
      </w:pPr>
    </w:p>
    <w:p w14:paraId="384F1EF9">
      <w:pPr>
        <w:spacing w:line="400" w:lineRule="exact"/>
        <w:jc w:val="center"/>
        <w:rPr>
          <w:rFonts w:ascii="Arial" w:hAnsi="Arial"/>
          <w:sz w:val="32"/>
          <w:szCs w:val="32"/>
        </w:rPr>
      </w:pPr>
      <w:r>
        <w:rPr>
          <w:rFonts w:hint="eastAsia" w:ascii="Arial" w:hAnsi="Arial"/>
          <w:sz w:val="32"/>
          <w:szCs w:val="32"/>
        </w:rPr>
        <w:t>格式自拟定</w:t>
      </w:r>
    </w:p>
    <w:p w14:paraId="4E640EB9">
      <w:pPr>
        <w:spacing w:line="400" w:lineRule="exact"/>
        <w:rPr>
          <w:rFonts w:ascii="Arial" w:hAnsi="Arial"/>
          <w:szCs w:val="21"/>
        </w:rPr>
      </w:pPr>
    </w:p>
    <w:p w14:paraId="6F95A7FF">
      <w:pPr>
        <w:pStyle w:val="24"/>
        <w:rPr>
          <w:rFonts w:ascii="Arial" w:hAnsi="Arial"/>
          <w:color w:val="auto"/>
          <w:szCs w:val="21"/>
        </w:rPr>
      </w:pPr>
    </w:p>
    <w:p w14:paraId="5B5AC4D7">
      <w:pPr>
        <w:pStyle w:val="24"/>
        <w:rPr>
          <w:rFonts w:ascii="Arial" w:hAnsi="Arial"/>
          <w:color w:val="auto"/>
          <w:szCs w:val="21"/>
        </w:rPr>
      </w:pPr>
    </w:p>
    <w:p w14:paraId="443E58D4">
      <w:pPr>
        <w:pStyle w:val="24"/>
        <w:rPr>
          <w:rFonts w:ascii="Arial" w:hAnsi="Arial"/>
          <w:color w:val="auto"/>
          <w:szCs w:val="21"/>
        </w:rPr>
      </w:pPr>
    </w:p>
    <w:p w14:paraId="26E285FF">
      <w:pPr>
        <w:spacing w:line="400" w:lineRule="exact"/>
        <w:rPr>
          <w:rFonts w:ascii="宋体" w:hAnsi="宋体"/>
          <w:b/>
          <w:szCs w:val="21"/>
        </w:rPr>
      </w:pPr>
    </w:p>
    <w:p w14:paraId="5B3B5E54">
      <w:pPr>
        <w:spacing w:line="400" w:lineRule="exact"/>
        <w:rPr>
          <w:rFonts w:ascii="宋体" w:hAnsi="宋体"/>
          <w:szCs w:val="21"/>
        </w:rPr>
      </w:pPr>
    </w:p>
    <w:p w14:paraId="0F9E9C6D">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2E3C841">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7864A78">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5E3A3CD">
      <w:pPr>
        <w:pStyle w:val="18"/>
        <w:ind w:firstLine="0" w:firstLineChars="0"/>
        <w:rPr>
          <w:rFonts w:ascii="宋体" w:hAnsi="宋体" w:cs="宋体"/>
          <w:sz w:val="28"/>
          <w:szCs w:val="28"/>
        </w:rPr>
      </w:pPr>
    </w:p>
    <w:p w14:paraId="490FD0E1">
      <w:pPr>
        <w:pStyle w:val="18"/>
        <w:ind w:firstLine="0" w:firstLineChars="0"/>
        <w:rPr>
          <w:rFonts w:ascii="宋体" w:hAnsi="宋体" w:cs="宋体"/>
          <w:sz w:val="28"/>
          <w:szCs w:val="28"/>
        </w:rPr>
      </w:pPr>
    </w:p>
    <w:p w14:paraId="7ECD26AB">
      <w:pPr>
        <w:pStyle w:val="18"/>
        <w:ind w:firstLine="0" w:firstLineChars="0"/>
        <w:rPr>
          <w:rFonts w:ascii="宋体" w:hAnsi="宋体" w:cs="宋体"/>
          <w:sz w:val="28"/>
          <w:szCs w:val="28"/>
        </w:rPr>
      </w:pPr>
    </w:p>
    <w:p w14:paraId="1F5173A5">
      <w:pPr>
        <w:pStyle w:val="18"/>
        <w:ind w:firstLine="0" w:firstLineChars="0"/>
        <w:rPr>
          <w:rFonts w:ascii="宋体" w:hAnsi="宋体" w:cs="宋体"/>
          <w:sz w:val="28"/>
          <w:szCs w:val="28"/>
        </w:rPr>
      </w:pPr>
    </w:p>
    <w:p w14:paraId="12CE4ECC">
      <w:pPr>
        <w:pStyle w:val="18"/>
        <w:ind w:firstLine="0" w:firstLineChars="0"/>
        <w:rPr>
          <w:rFonts w:ascii="宋体" w:hAnsi="宋体" w:cs="宋体"/>
          <w:sz w:val="28"/>
          <w:szCs w:val="28"/>
        </w:rPr>
      </w:pPr>
    </w:p>
    <w:p w14:paraId="0FB19106">
      <w:pPr>
        <w:pStyle w:val="18"/>
        <w:ind w:firstLine="0" w:firstLineChars="0"/>
        <w:rPr>
          <w:rFonts w:ascii="宋体" w:hAnsi="宋体" w:cs="宋体"/>
          <w:sz w:val="28"/>
          <w:szCs w:val="28"/>
        </w:rPr>
      </w:pPr>
    </w:p>
    <w:p w14:paraId="2A154D67">
      <w:pPr>
        <w:pStyle w:val="18"/>
        <w:ind w:firstLine="0" w:firstLineChars="0"/>
        <w:rPr>
          <w:rFonts w:ascii="宋体" w:hAnsi="宋体" w:cs="宋体"/>
          <w:sz w:val="28"/>
          <w:szCs w:val="28"/>
        </w:rPr>
      </w:pPr>
    </w:p>
    <w:p w14:paraId="0E472111">
      <w:pPr>
        <w:pStyle w:val="18"/>
        <w:ind w:firstLine="0" w:firstLineChars="0"/>
        <w:rPr>
          <w:rFonts w:ascii="宋体" w:hAnsi="宋体" w:cs="宋体"/>
          <w:sz w:val="28"/>
          <w:szCs w:val="28"/>
        </w:rPr>
      </w:pPr>
    </w:p>
    <w:p w14:paraId="59CC48F0">
      <w:pPr>
        <w:pStyle w:val="18"/>
        <w:ind w:firstLine="0" w:firstLineChars="0"/>
        <w:rPr>
          <w:rFonts w:ascii="宋体" w:hAnsi="宋体" w:cs="宋体"/>
          <w:sz w:val="28"/>
          <w:szCs w:val="28"/>
        </w:rPr>
      </w:pPr>
    </w:p>
    <w:p w14:paraId="0D170F22">
      <w:pPr>
        <w:pStyle w:val="18"/>
        <w:ind w:firstLine="0" w:firstLineChars="0"/>
        <w:rPr>
          <w:rFonts w:ascii="宋体" w:hAnsi="宋体" w:cs="宋体"/>
          <w:sz w:val="28"/>
          <w:szCs w:val="28"/>
        </w:rPr>
      </w:pPr>
    </w:p>
    <w:p w14:paraId="48AC4D10">
      <w:pPr>
        <w:spacing w:line="440" w:lineRule="exact"/>
        <w:outlineLvl w:val="0"/>
        <w:rPr>
          <w:rFonts w:ascii="宋体" w:hAnsi="宋体" w:cs="宋体"/>
          <w:b/>
          <w:sz w:val="28"/>
          <w:szCs w:val="28"/>
        </w:rPr>
      </w:pPr>
      <w:bookmarkStart w:id="87" w:name="_Toc24019"/>
      <w:bookmarkStart w:id="88" w:name="_Toc102"/>
      <w:bookmarkStart w:id="89" w:name="_Toc29026"/>
      <w:bookmarkStart w:id="90" w:name="_Toc23010"/>
      <w:bookmarkStart w:id="91" w:name="_Toc393727163"/>
      <w:bookmarkStart w:id="92" w:name="_Toc145132116"/>
      <w:bookmarkStart w:id="93" w:name="_Toc432513149"/>
      <w:bookmarkStart w:id="94" w:name="_Toc372013046"/>
      <w:bookmarkStart w:id="95" w:name="_Toc373141312"/>
      <w:bookmarkStart w:id="96" w:name="_Toc502907895"/>
    </w:p>
    <w:p w14:paraId="1515441E">
      <w:pPr>
        <w:spacing w:line="440" w:lineRule="exact"/>
        <w:outlineLvl w:val="0"/>
        <w:rPr>
          <w:rFonts w:ascii="宋体" w:hAnsi="宋体" w:cs="宋体"/>
          <w:b/>
          <w:sz w:val="28"/>
          <w:szCs w:val="28"/>
        </w:rPr>
      </w:pPr>
      <w:bookmarkStart w:id="97" w:name="_Toc25622"/>
      <w:r>
        <w:rPr>
          <w:rFonts w:hint="eastAsia" w:ascii="宋体" w:hAnsi="宋体" w:cs="宋体"/>
          <w:b/>
          <w:sz w:val="28"/>
          <w:szCs w:val="28"/>
        </w:rPr>
        <w:t>格式4                           资格声明函</w:t>
      </w:r>
      <w:bookmarkEnd w:id="87"/>
      <w:bookmarkEnd w:id="88"/>
      <w:bookmarkEnd w:id="89"/>
      <w:bookmarkEnd w:id="97"/>
    </w:p>
    <w:p w14:paraId="6BE2FC8D">
      <w:pPr>
        <w:spacing w:line="440" w:lineRule="exact"/>
        <w:ind w:firstLine="2940" w:firstLineChars="1046"/>
        <w:jc w:val="left"/>
        <w:rPr>
          <w:rFonts w:ascii="宋体" w:hAnsi="宋体" w:cs="宋体"/>
          <w:b/>
          <w:sz w:val="28"/>
          <w:szCs w:val="28"/>
        </w:rPr>
      </w:pPr>
    </w:p>
    <w:p w14:paraId="7DFF9C43">
      <w:pPr>
        <w:pStyle w:val="10"/>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521ABE09">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66F9374F">
      <w:pPr>
        <w:spacing w:line="360" w:lineRule="auto"/>
        <w:ind w:firstLine="480" w:firstLineChars="200"/>
        <w:rPr>
          <w:rFonts w:ascii="宋体" w:hAnsi="宋体" w:cs="宋体"/>
          <w:sz w:val="24"/>
        </w:rPr>
      </w:pPr>
      <w:r>
        <w:rPr>
          <w:rFonts w:hint="eastAsia" w:ascii="宋体" w:hAnsi="宋体" w:cs="宋体"/>
          <w:sz w:val="24"/>
        </w:rPr>
        <w:t>我方对</w:t>
      </w:r>
      <w:r>
        <w:rPr>
          <w:rFonts w:hint="eastAsia" w:ascii="宋体" w:hAnsi="宋体" w:cs="宋体"/>
          <w:sz w:val="24"/>
          <w:lang w:eastAsia="zh-CN"/>
        </w:rPr>
        <w:t>贵方</w:t>
      </w:r>
      <w:bookmarkStart w:id="104" w:name="_GoBack"/>
      <w:bookmarkEnd w:id="104"/>
      <w:r>
        <w:rPr>
          <w:rFonts w:hint="eastAsia" w:ascii="宋体" w:hAnsi="宋体" w:cs="宋体"/>
          <w:sz w:val="24"/>
        </w:rPr>
        <w:t>可能要求提供的进一步的资格资料表示理解和同意，并同意按贵方的要求提供任何有关资料。</w:t>
      </w:r>
    </w:p>
    <w:p w14:paraId="01CBBBF4">
      <w:pPr>
        <w:spacing w:line="360" w:lineRule="auto"/>
        <w:ind w:firstLine="480" w:firstLineChars="200"/>
        <w:rPr>
          <w:rFonts w:ascii="宋体" w:hAnsi="宋体" w:cs="宋体"/>
          <w:sz w:val="24"/>
        </w:rPr>
      </w:pPr>
      <w:r>
        <w:rPr>
          <w:rFonts w:hint="eastAsia" w:ascii="宋体" w:hAnsi="宋体" w:cs="宋体"/>
          <w:sz w:val="24"/>
        </w:rPr>
        <w:t xml:space="preserve">    </w:t>
      </w:r>
    </w:p>
    <w:p w14:paraId="7FF6227B">
      <w:pPr>
        <w:spacing w:line="360" w:lineRule="auto"/>
        <w:ind w:firstLine="480" w:firstLineChars="200"/>
        <w:rPr>
          <w:rFonts w:ascii="宋体" w:hAnsi="宋体" w:cs="宋体"/>
          <w:sz w:val="24"/>
        </w:rPr>
      </w:pPr>
    </w:p>
    <w:p w14:paraId="2095B449">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2A3218C8">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5EED7657">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6E1BE99">
      <w:pPr>
        <w:spacing w:line="360" w:lineRule="auto"/>
        <w:ind w:firstLine="480" w:firstLineChars="200"/>
        <w:rPr>
          <w:rFonts w:ascii="宋体" w:hAnsi="宋体" w:cs="宋体"/>
          <w:sz w:val="24"/>
        </w:rPr>
      </w:pPr>
      <w:r>
        <w:rPr>
          <w:rFonts w:hint="eastAsia" w:ascii="宋体" w:hAnsi="宋体" w:cs="宋体"/>
          <w:sz w:val="24"/>
        </w:rPr>
        <w:t xml:space="preserve">    电话：</w:t>
      </w:r>
      <w:r>
        <w:rPr>
          <w:rFonts w:hint="eastAsia" w:ascii="宋体" w:hAnsi="宋体" w:cs="宋体"/>
          <w:sz w:val="24"/>
          <w:u w:val="single"/>
        </w:rPr>
        <w:t xml:space="preserve">                                   </w:t>
      </w:r>
    </w:p>
    <w:p w14:paraId="2D59C900">
      <w:pPr>
        <w:spacing w:line="360" w:lineRule="auto"/>
        <w:ind w:firstLine="480" w:firstLineChars="200"/>
        <w:rPr>
          <w:rFonts w:ascii="宋体" w:hAnsi="宋体" w:cs="宋体"/>
          <w:sz w:val="24"/>
        </w:rPr>
      </w:pPr>
      <w:r>
        <w:rPr>
          <w:rFonts w:hint="eastAsia" w:ascii="宋体" w:hAnsi="宋体" w:cs="宋体"/>
          <w:sz w:val="24"/>
        </w:rPr>
        <w:t xml:space="preserve"> </w:t>
      </w:r>
    </w:p>
    <w:p w14:paraId="6880E189">
      <w:pPr>
        <w:pStyle w:val="16"/>
      </w:pPr>
    </w:p>
    <w:p w14:paraId="33592B1F">
      <w:pPr>
        <w:spacing w:line="360" w:lineRule="auto"/>
        <w:rPr>
          <w:rFonts w:ascii="宋体" w:hAnsi="宋体" w:cs="宋体"/>
          <w:sz w:val="24"/>
        </w:rPr>
      </w:pPr>
      <w:r>
        <w:rPr>
          <w:rFonts w:hint="eastAsia" w:ascii="宋体" w:hAnsi="宋体" w:cs="宋体"/>
          <w:sz w:val="24"/>
        </w:rPr>
        <w:t>附后：</w:t>
      </w:r>
    </w:p>
    <w:p w14:paraId="7ED822BE">
      <w:pPr>
        <w:spacing w:line="360" w:lineRule="auto"/>
        <w:rPr>
          <w:rFonts w:ascii="宋体" w:hAnsi="宋体" w:cs="宋体"/>
          <w:sz w:val="24"/>
        </w:rPr>
      </w:pPr>
      <w:r>
        <w:rPr>
          <w:rFonts w:hint="eastAsia" w:ascii="宋体" w:hAnsi="宋体" w:cs="宋体"/>
          <w:sz w:val="24"/>
        </w:rPr>
        <w:t>1、公司简介</w:t>
      </w:r>
    </w:p>
    <w:p w14:paraId="44B9D519">
      <w:pPr>
        <w:spacing w:line="360" w:lineRule="auto"/>
        <w:rPr>
          <w:rFonts w:ascii="宋体" w:hAnsi="宋体" w:cs="宋体"/>
          <w:sz w:val="24"/>
        </w:rPr>
      </w:pPr>
      <w:r>
        <w:rPr>
          <w:rFonts w:hint="eastAsia" w:ascii="宋体" w:hAnsi="宋体" w:cs="宋体"/>
          <w:sz w:val="24"/>
        </w:rPr>
        <w:t>2、资格证明文件（均加盖报价供应商公章）</w:t>
      </w:r>
    </w:p>
    <w:p w14:paraId="28310683">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7BD38EAD">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7E1580CC">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19FB1F5A">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51EE824E">
      <w:pPr>
        <w:spacing w:line="360" w:lineRule="auto"/>
        <w:ind w:firstLine="360" w:firstLineChars="150"/>
        <w:rPr>
          <w:rFonts w:ascii="宋体" w:hAnsi="宋体" w:cs="宋体"/>
          <w:sz w:val="24"/>
        </w:rPr>
      </w:pPr>
      <w:r>
        <w:rPr>
          <w:rFonts w:ascii="Arial" w:hAnsi="Arial" w:cs="Arial"/>
          <w:sz w:val="24"/>
        </w:rPr>
        <w:t>…………………………</w:t>
      </w:r>
    </w:p>
    <w:p w14:paraId="4609D688">
      <w:pPr>
        <w:spacing w:line="360" w:lineRule="auto"/>
        <w:ind w:firstLine="360" w:firstLineChars="150"/>
        <w:rPr>
          <w:rFonts w:ascii="宋体" w:hAnsi="宋体" w:cs="宋体"/>
          <w:sz w:val="24"/>
        </w:rPr>
      </w:pPr>
    </w:p>
    <w:p w14:paraId="02780457">
      <w:pPr>
        <w:spacing w:line="360" w:lineRule="auto"/>
        <w:ind w:firstLine="360" w:firstLineChars="150"/>
        <w:rPr>
          <w:rFonts w:ascii="宋体" w:hAnsi="宋体" w:cs="宋体"/>
          <w:sz w:val="24"/>
        </w:rPr>
      </w:pPr>
    </w:p>
    <w:p w14:paraId="514B246B">
      <w:pPr>
        <w:spacing w:line="360" w:lineRule="auto"/>
        <w:ind w:firstLine="360" w:firstLineChars="150"/>
        <w:rPr>
          <w:rFonts w:ascii="宋体" w:hAnsi="宋体" w:cs="宋体"/>
          <w:sz w:val="24"/>
        </w:rPr>
      </w:pPr>
    </w:p>
    <w:p w14:paraId="4AC0FA29">
      <w:pPr>
        <w:spacing w:line="360" w:lineRule="auto"/>
        <w:ind w:firstLine="360" w:firstLineChars="150"/>
        <w:rPr>
          <w:rFonts w:ascii="宋体" w:hAnsi="宋体" w:cs="宋体"/>
          <w:sz w:val="24"/>
        </w:rPr>
      </w:pPr>
    </w:p>
    <w:p w14:paraId="6849C6D7">
      <w:pPr>
        <w:spacing w:line="360" w:lineRule="auto"/>
        <w:ind w:firstLine="360" w:firstLineChars="150"/>
        <w:rPr>
          <w:rFonts w:ascii="宋体" w:hAnsi="宋体" w:cs="宋体"/>
          <w:sz w:val="24"/>
        </w:rPr>
      </w:pPr>
    </w:p>
    <w:bookmarkEnd w:id="90"/>
    <w:bookmarkEnd w:id="91"/>
    <w:bookmarkEnd w:id="92"/>
    <w:bookmarkEnd w:id="93"/>
    <w:bookmarkEnd w:id="94"/>
    <w:bookmarkEnd w:id="95"/>
    <w:bookmarkEnd w:id="96"/>
    <w:p w14:paraId="715E1F09">
      <w:pPr>
        <w:spacing w:line="440" w:lineRule="exact"/>
        <w:rPr>
          <w:rFonts w:ascii="宋体" w:hAnsi="宋体" w:cs="宋体"/>
          <w:b/>
          <w:sz w:val="28"/>
          <w:szCs w:val="28"/>
        </w:rPr>
      </w:pPr>
    </w:p>
    <w:p w14:paraId="42D9A2EA">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8" w:name="_Toc20593"/>
      <w:bookmarkStart w:id="99" w:name="_Toc4657"/>
      <w:bookmarkStart w:id="100" w:name="_Toc13141"/>
      <w:bookmarkStart w:id="101" w:name="_Toc15327"/>
      <w:r>
        <w:rPr>
          <w:rFonts w:hint="eastAsia" w:ascii="宋体" w:hAnsi="宋体" w:cs="宋体"/>
          <w:b/>
          <w:sz w:val="28"/>
          <w:szCs w:val="28"/>
        </w:rPr>
        <w:t>格式5                  法定代表人授权书(原件)</w:t>
      </w:r>
      <w:bookmarkEnd w:id="98"/>
      <w:bookmarkEnd w:id="99"/>
      <w:bookmarkEnd w:id="100"/>
      <w:bookmarkEnd w:id="101"/>
    </w:p>
    <w:p w14:paraId="324BD495">
      <w:pPr>
        <w:spacing w:line="440" w:lineRule="exact"/>
        <w:rPr>
          <w:rFonts w:ascii="宋体" w:hAnsi="宋体" w:cs="宋体"/>
          <w:b/>
          <w:sz w:val="28"/>
          <w:szCs w:val="28"/>
        </w:rPr>
      </w:pPr>
    </w:p>
    <w:p w14:paraId="22272F59">
      <w:pPr>
        <w:spacing w:line="440" w:lineRule="exact"/>
        <w:rPr>
          <w:rFonts w:ascii="宋体" w:hAnsi="宋体" w:cs="宋体"/>
          <w:b/>
          <w:sz w:val="28"/>
          <w:szCs w:val="28"/>
        </w:rPr>
      </w:pPr>
    </w:p>
    <w:p w14:paraId="54502D4B">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22E6666C">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7BF3FE58">
      <w:pPr>
        <w:pStyle w:val="25"/>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5A717040">
      <w:pPr>
        <w:pStyle w:val="25"/>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4CEC31DF">
      <w:pPr>
        <w:pStyle w:val="25"/>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1C422410">
      <w:pPr>
        <w:pStyle w:val="25"/>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306E2A71">
      <w:pPr>
        <w:pStyle w:val="25"/>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0D5F0679">
      <w:pPr>
        <w:spacing w:line="360" w:lineRule="auto"/>
        <w:ind w:firstLine="480" w:firstLineChars="200"/>
        <w:rPr>
          <w:rFonts w:ascii="宋体" w:hAnsi="宋体" w:cs="宋体"/>
          <w:sz w:val="24"/>
        </w:rPr>
      </w:pPr>
      <w:r>
        <w:rPr>
          <w:rFonts w:hint="eastAsia" w:ascii="宋体" w:hAnsi="宋体" w:cs="宋体"/>
          <w:sz w:val="24"/>
        </w:rPr>
        <w:t>联系电话：</w:t>
      </w:r>
      <w:r>
        <w:rPr>
          <w:rFonts w:hint="eastAsia" w:ascii="宋体" w:hAnsi="宋体" w:cs="宋体"/>
          <w:b/>
          <w:sz w:val="24"/>
          <w:u w:val="single"/>
        </w:rPr>
        <w:t xml:space="preserve">                             </w:t>
      </w:r>
    </w:p>
    <w:p w14:paraId="11880622">
      <w:pPr>
        <w:spacing w:line="360" w:lineRule="auto"/>
        <w:rPr>
          <w:rFonts w:ascii="宋体" w:hAnsi="宋体" w:cs="宋体"/>
          <w:b/>
          <w:sz w:val="24"/>
        </w:rPr>
      </w:pPr>
    </w:p>
    <w:p w14:paraId="2A600658">
      <w:pPr>
        <w:pStyle w:val="25"/>
        <w:spacing w:line="360" w:lineRule="auto"/>
        <w:ind w:right="560" w:firstLine="560"/>
        <w:jc w:val="center"/>
        <w:rPr>
          <w:rFonts w:ascii="宋体" w:hAnsi="宋体" w:cs="宋体"/>
          <w:szCs w:val="24"/>
        </w:rPr>
      </w:pPr>
    </w:p>
    <w:p w14:paraId="40E01617">
      <w:pPr>
        <w:pStyle w:val="25"/>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6FBC4C11">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5BF0E9B">
      <w:pPr>
        <w:spacing w:line="440" w:lineRule="exact"/>
        <w:rPr>
          <w:rFonts w:ascii="宋体" w:hAnsi="宋体" w:cs="宋体"/>
          <w:b/>
          <w:sz w:val="28"/>
          <w:szCs w:val="28"/>
        </w:rPr>
      </w:pPr>
    </w:p>
    <w:p w14:paraId="2DA00F79">
      <w:pPr>
        <w:spacing w:line="440" w:lineRule="exact"/>
        <w:rPr>
          <w:rFonts w:ascii="宋体" w:hAnsi="宋体" w:cs="宋体"/>
          <w:b/>
          <w:sz w:val="28"/>
          <w:szCs w:val="28"/>
        </w:rPr>
      </w:pPr>
    </w:p>
    <w:p w14:paraId="707E7384">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3E2271A2">
      <w:pPr>
        <w:spacing w:line="440" w:lineRule="exact"/>
        <w:rPr>
          <w:rFonts w:ascii="宋体" w:hAnsi="宋体" w:cs="宋体"/>
          <w:b/>
          <w:sz w:val="28"/>
          <w:szCs w:val="28"/>
        </w:rPr>
      </w:pPr>
    </w:p>
    <w:p w14:paraId="4A6E363B">
      <w:pPr>
        <w:spacing w:line="440" w:lineRule="exact"/>
        <w:rPr>
          <w:rFonts w:ascii="宋体" w:hAnsi="宋体" w:cs="宋体"/>
          <w:b/>
          <w:sz w:val="28"/>
          <w:szCs w:val="28"/>
        </w:rPr>
      </w:pPr>
    </w:p>
    <w:p w14:paraId="0123623C">
      <w:pPr>
        <w:pStyle w:val="18"/>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57C4162">
      <w:pPr>
        <w:spacing w:line="440" w:lineRule="exact"/>
      </w:pPr>
    </w:p>
    <w:p w14:paraId="4AE51F2C">
      <w:pPr>
        <w:pStyle w:val="24"/>
        <w:rPr>
          <w:color w:val="auto"/>
        </w:rPr>
      </w:pPr>
    </w:p>
    <w:p w14:paraId="52E9C6BB">
      <w:pPr>
        <w:pStyle w:val="24"/>
        <w:rPr>
          <w:color w:val="auto"/>
        </w:rPr>
      </w:pPr>
    </w:p>
    <w:p w14:paraId="6D79D56A">
      <w:pPr>
        <w:pStyle w:val="24"/>
        <w:rPr>
          <w:color w:val="auto"/>
        </w:rPr>
      </w:pPr>
    </w:p>
    <w:p w14:paraId="75FD2968">
      <w:pPr>
        <w:pStyle w:val="24"/>
        <w:rPr>
          <w:color w:val="auto"/>
        </w:rPr>
      </w:pPr>
    </w:p>
    <w:p w14:paraId="0C2A7C30">
      <w:pPr>
        <w:pStyle w:val="24"/>
        <w:rPr>
          <w:color w:val="auto"/>
        </w:rPr>
      </w:pPr>
    </w:p>
    <w:p w14:paraId="54EAE539">
      <w:pPr>
        <w:pStyle w:val="24"/>
        <w:rPr>
          <w:color w:val="auto"/>
        </w:rPr>
      </w:pPr>
    </w:p>
    <w:p w14:paraId="5268A6DB">
      <w:pPr>
        <w:pStyle w:val="24"/>
        <w:rPr>
          <w:color w:val="auto"/>
        </w:rPr>
      </w:pPr>
    </w:p>
    <w:p w14:paraId="13D5EFA9">
      <w:pPr>
        <w:pStyle w:val="24"/>
        <w:rPr>
          <w:color w:val="auto"/>
        </w:rPr>
      </w:pPr>
    </w:p>
    <w:p w14:paraId="1157E08B">
      <w:pPr>
        <w:spacing w:line="440" w:lineRule="exact"/>
        <w:outlineLvl w:val="0"/>
        <w:rPr>
          <w:rFonts w:ascii="宋体" w:hAnsi="宋体" w:cs="宋体"/>
          <w:b/>
          <w:sz w:val="28"/>
          <w:szCs w:val="28"/>
        </w:rPr>
      </w:pPr>
      <w:bookmarkStart w:id="102" w:name="_Toc3179"/>
      <w:r>
        <w:rPr>
          <w:rFonts w:hint="eastAsia" w:ascii="宋体" w:hAnsi="宋体" w:cs="宋体"/>
          <w:b/>
          <w:sz w:val="28"/>
          <w:szCs w:val="28"/>
        </w:rPr>
        <w:t>格式6                          资格声明函</w:t>
      </w:r>
      <w:bookmarkEnd w:id="102"/>
    </w:p>
    <w:p w14:paraId="734DE62C">
      <w:pPr>
        <w:pStyle w:val="10"/>
        <w:spacing w:line="360" w:lineRule="auto"/>
        <w:rPr>
          <w:rFonts w:ascii="宋体" w:hAnsi="宋体" w:cs="宋体"/>
          <w:color w:val="FF0000"/>
          <w:sz w:val="24"/>
          <w:szCs w:val="24"/>
        </w:rPr>
      </w:pPr>
    </w:p>
    <w:p w14:paraId="0E84103C">
      <w:pPr>
        <w:pStyle w:val="10"/>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7B6F9726">
      <w:pPr>
        <w:pStyle w:val="24"/>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03068658">
      <w:pPr>
        <w:pStyle w:val="24"/>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2C5C830F">
      <w:pPr>
        <w:pStyle w:val="24"/>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741CACEA">
      <w:pPr>
        <w:pStyle w:val="15"/>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0B229561">
      <w:pPr>
        <w:pStyle w:val="15"/>
        <w:widowControl/>
        <w:ind w:firstLine="336"/>
        <w:rPr>
          <w:rFonts w:asciiTheme="minorEastAsia" w:hAnsiTheme="minorEastAsia" w:eastAsiaTheme="minorEastAsia" w:cstheme="minorEastAsia"/>
          <w:color w:val="FF0000"/>
        </w:rPr>
      </w:pPr>
    </w:p>
    <w:p w14:paraId="48C97431">
      <w:pPr>
        <w:pStyle w:val="15"/>
        <w:widowControl/>
        <w:ind w:firstLine="336"/>
        <w:rPr>
          <w:rFonts w:asciiTheme="minorEastAsia" w:hAnsiTheme="minorEastAsia" w:eastAsiaTheme="minorEastAsia" w:cstheme="minorEastAsia"/>
          <w:color w:val="FF0000"/>
        </w:rPr>
      </w:pPr>
    </w:p>
    <w:p w14:paraId="737B605A">
      <w:pPr>
        <w:pStyle w:val="15"/>
        <w:widowControl/>
        <w:ind w:firstLine="336"/>
        <w:rPr>
          <w:rFonts w:asciiTheme="minorEastAsia" w:hAnsiTheme="minorEastAsia" w:eastAsiaTheme="minorEastAsia" w:cstheme="minorEastAsia"/>
          <w:color w:val="FF0000"/>
        </w:rPr>
      </w:pPr>
    </w:p>
    <w:p w14:paraId="5F2C53C1">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296051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04DB4AC">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018ED40">
      <w:pPr>
        <w:pStyle w:val="24"/>
        <w:rPr>
          <w:rFonts w:asciiTheme="minorEastAsia" w:hAnsiTheme="minorEastAsia" w:eastAsiaTheme="minorEastAsia" w:cstheme="minorEastAsia"/>
          <w:color w:val="FF0000"/>
        </w:rPr>
      </w:pPr>
    </w:p>
    <w:p w14:paraId="27525DA9">
      <w:pPr>
        <w:pStyle w:val="24"/>
        <w:rPr>
          <w:rFonts w:asciiTheme="minorEastAsia" w:hAnsiTheme="minorEastAsia" w:eastAsiaTheme="minorEastAsia" w:cstheme="minorEastAsia"/>
          <w:color w:val="FF0000"/>
        </w:rPr>
      </w:pPr>
    </w:p>
    <w:p w14:paraId="1DDFD2B8">
      <w:pPr>
        <w:pStyle w:val="24"/>
        <w:rPr>
          <w:rFonts w:asciiTheme="minorEastAsia" w:hAnsiTheme="minorEastAsia" w:eastAsiaTheme="minorEastAsia" w:cstheme="minorEastAsia"/>
          <w:color w:val="FF0000"/>
        </w:rPr>
      </w:pPr>
    </w:p>
    <w:p w14:paraId="2EA3AAC5">
      <w:pPr>
        <w:pStyle w:val="24"/>
        <w:rPr>
          <w:rFonts w:asciiTheme="minorEastAsia" w:hAnsiTheme="minorEastAsia" w:eastAsiaTheme="minorEastAsia" w:cstheme="minorEastAsia"/>
          <w:color w:val="FF0000"/>
        </w:rPr>
      </w:pPr>
    </w:p>
    <w:p w14:paraId="57DB1DCF">
      <w:pPr>
        <w:pStyle w:val="24"/>
        <w:rPr>
          <w:rFonts w:asciiTheme="minorEastAsia" w:hAnsiTheme="minorEastAsia" w:eastAsiaTheme="minorEastAsia" w:cstheme="minorEastAsia"/>
          <w:color w:val="FF0000"/>
        </w:rPr>
      </w:pPr>
    </w:p>
    <w:p w14:paraId="0C136AAA">
      <w:pPr>
        <w:pStyle w:val="24"/>
        <w:rPr>
          <w:rFonts w:asciiTheme="minorEastAsia" w:hAnsiTheme="minorEastAsia" w:eastAsiaTheme="minorEastAsia" w:cstheme="minorEastAsia"/>
          <w:color w:val="FF0000"/>
        </w:rPr>
      </w:pPr>
    </w:p>
    <w:p w14:paraId="5FEFB4C7">
      <w:pPr>
        <w:pStyle w:val="24"/>
        <w:rPr>
          <w:rFonts w:asciiTheme="minorEastAsia" w:hAnsiTheme="minorEastAsia" w:eastAsiaTheme="minorEastAsia" w:cstheme="minorEastAsia"/>
          <w:color w:val="FF0000"/>
        </w:rPr>
      </w:pPr>
    </w:p>
    <w:p w14:paraId="09F718E7">
      <w:pPr>
        <w:pStyle w:val="24"/>
        <w:rPr>
          <w:rFonts w:asciiTheme="minorEastAsia" w:hAnsiTheme="minorEastAsia" w:eastAsiaTheme="minorEastAsia" w:cstheme="minorEastAsia"/>
          <w:color w:val="FF0000"/>
        </w:rPr>
      </w:pPr>
    </w:p>
    <w:p w14:paraId="67830AE4">
      <w:pPr>
        <w:pStyle w:val="24"/>
        <w:rPr>
          <w:rFonts w:asciiTheme="minorEastAsia" w:hAnsiTheme="minorEastAsia" w:eastAsiaTheme="minorEastAsia" w:cstheme="minorEastAsia"/>
          <w:color w:val="FF0000"/>
        </w:rPr>
      </w:pPr>
    </w:p>
    <w:p w14:paraId="2945B6C7">
      <w:pPr>
        <w:pStyle w:val="24"/>
        <w:rPr>
          <w:rFonts w:asciiTheme="minorEastAsia" w:hAnsiTheme="minorEastAsia" w:eastAsiaTheme="minorEastAsia" w:cstheme="minorEastAsia"/>
          <w:color w:val="FF0000"/>
        </w:rPr>
      </w:pPr>
    </w:p>
    <w:p w14:paraId="7281C3FC">
      <w:pPr>
        <w:pStyle w:val="24"/>
        <w:rPr>
          <w:rFonts w:asciiTheme="minorEastAsia" w:hAnsiTheme="minorEastAsia" w:eastAsiaTheme="minorEastAsia" w:cstheme="minorEastAsia"/>
          <w:color w:val="FF0000"/>
        </w:rPr>
      </w:pPr>
    </w:p>
    <w:p w14:paraId="774896A0">
      <w:pPr>
        <w:pStyle w:val="24"/>
        <w:rPr>
          <w:rFonts w:asciiTheme="minorEastAsia" w:hAnsiTheme="minorEastAsia" w:eastAsiaTheme="minorEastAsia" w:cstheme="minorEastAsia"/>
          <w:color w:val="FF0000"/>
        </w:rPr>
      </w:pPr>
    </w:p>
    <w:p w14:paraId="36C77089">
      <w:pPr>
        <w:pStyle w:val="24"/>
        <w:rPr>
          <w:rFonts w:asciiTheme="minorEastAsia" w:hAnsiTheme="minorEastAsia" w:eastAsiaTheme="minorEastAsia" w:cstheme="minorEastAsia"/>
          <w:color w:val="FF0000"/>
        </w:rPr>
      </w:pPr>
    </w:p>
    <w:p w14:paraId="1C350DB7">
      <w:pPr>
        <w:pStyle w:val="24"/>
        <w:rPr>
          <w:rFonts w:asciiTheme="minorEastAsia" w:hAnsiTheme="minorEastAsia" w:eastAsiaTheme="minorEastAsia" w:cstheme="minorEastAsia"/>
          <w:color w:val="FF0000"/>
        </w:rPr>
      </w:pPr>
    </w:p>
    <w:p w14:paraId="3A5BE612">
      <w:pPr>
        <w:pStyle w:val="24"/>
        <w:rPr>
          <w:rFonts w:asciiTheme="minorEastAsia" w:hAnsiTheme="minorEastAsia" w:eastAsiaTheme="minorEastAsia" w:cstheme="minorEastAsia"/>
          <w:color w:val="FF0000"/>
        </w:rPr>
      </w:pPr>
    </w:p>
    <w:p w14:paraId="72960A0A">
      <w:pPr>
        <w:pStyle w:val="24"/>
        <w:rPr>
          <w:rFonts w:asciiTheme="minorEastAsia" w:hAnsiTheme="minorEastAsia" w:eastAsiaTheme="minorEastAsia" w:cstheme="minorEastAsia"/>
          <w:color w:val="FF0000"/>
        </w:rPr>
      </w:pPr>
    </w:p>
    <w:p w14:paraId="010C291B">
      <w:pPr>
        <w:pStyle w:val="24"/>
        <w:rPr>
          <w:rFonts w:asciiTheme="minorEastAsia" w:hAnsiTheme="minorEastAsia" w:eastAsiaTheme="minorEastAsia" w:cstheme="minorEastAsia"/>
          <w:color w:val="FF0000"/>
        </w:rPr>
      </w:pPr>
    </w:p>
    <w:p w14:paraId="4A91B3DE">
      <w:pPr>
        <w:pStyle w:val="24"/>
        <w:rPr>
          <w:rFonts w:asciiTheme="minorEastAsia" w:hAnsiTheme="minorEastAsia" w:eastAsiaTheme="minorEastAsia" w:cstheme="minorEastAsia"/>
          <w:color w:val="FF0000"/>
        </w:rPr>
      </w:pPr>
    </w:p>
    <w:p w14:paraId="52AE3B4B">
      <w:pPr>
        <w:pStyle w:val="24"/>
        <w:rPr>
          <w:rFonts w:asciiTheme="minorEastAsia" w:hAnsiTheme="minorEastAsia" w:eastAsiaTheme="minorEastAsia" w:cstheme="minorEastAsia"/>
          <w:color w:val="FF0000"/>
        </w:rPr>
      </w:pPr>
    </w:p>
    <w:p w14:paraId="012583EB">
      <w:pPr>
        <w:pStyle w:val="24"/>
        <w:rPr>
          <w:rFonts w:asciiTheme="minorEastAsia" w:hAnsiTheme="minorEastAsia" w:eastAsiaTheme="minorEastAsia" w:cstheme="minorEastAsia"/>
          <w:color w:val="FF0000"/>
        </w:rPr>
      </w:pPr>
    </w:p>
    <w:p w14:paraId="17426F6B">
      <w:pPr>
        <w:pStyle w:val="24"/>
        <w:rPr>
          <w:rFonts w:asciiTheme="minorEastAsia" w:hAnsiTheme="minorEastAsia" w:eastAsiaTheme="minorEastAsia" w:cstheme="minorEastAsia"/>
          <w:color w:val="FF0000"/>
        </w:rPr>
      </w:pPr>
    </w:p>
    <w:p w14:paraId="6AB91351">
      <w:pPr>
        <w:pStyle w:val="24"/>
        <w:rPr>
          <w:rFonts w:asciiTheme="minorEastAsia" w:hAnsiTheme="minorEastAsia" w:eastAsiaTheme="minorEastAsia" w:cstheme="minorEastAsia"/>
          <w:color w:val="FF0000"/>
        </w:rPr>
      </w:pPr>
    </w:p>
    <w:p w14:paraId="5926FFA6">
      <w:pPr>
        <w:pStyle w:val="24"/>
        <w:rPr>
          <w:rFonts w:asciiTheme="minorEastAsia" w:hAnsiTheme="minorEastAsia" w:eastAsiaTheme="minorEastAsia" w:cstheme="minorEastAsia"/>
          <w:color w:val="FF0000"/>
        </w:rPr>
      </w:pPr>
    </w:p>
    <w:p w14:paraId="482A7725">
      <w:pPr>
        <w:pStyle w:val="24"/>
        <w:rPr>
          <w:rFonts w:asciiTheme="minorEastAsia" w:hAnsiTheme="minorEastAsia" w:eastAsiaTheme="minorEastAsia" w:cstheme="minorEastAsia"/>
          <w:color w:val="FF0000"/>
        </w:rPr>
      </w:pPr>
    </w:p>
    <w:p w14:paraId="2029993D">
      <w:pPr>
        <w:spacing w:line="440" w:lineRule="exact"/>
        <w:outlineLvl w:val="0"/>
        <w:rPr>
          <w:rFonts w:ascii="宋体" w:hAnsi="宋体" w:cs="宋体"/>
          <w:b/>
          <w:sz w:val="28"/>
          <w:szCs w:val="28"/>
        </w:rPr>
      </w:pPr>
      <w:bookmarkStart w:id="103" w:name="_Toc11346"/>
      <w:r>
        <w:rPr>
          <w:rFonts w:hint="eastAsia" w:ascii="宋体" w:hAnsi="宋体" w:cs="宋体"/>
          <w:b/>
          <w:sz w:val="28"/>
          <w:szCs w:val="28"/>
        </w:rPr>
        <w:t>格式7                         售后服务承诺</w:t>
      </w:r>
      <w:bookmarkEnd w:id="103"/>
      <w:r>
        <w:rPr>
          <w:rFonts w:hint="eastAsia" w:ascii="宋体" w:hAnsi="宋体" w:cs="宋体"/>
          <w:b/>
          <w:sz w:val="28"/>
          <w:szCs w:val="28"/>
        </w:rPr>
        <w:t xml:space="preserve"> </w:t>
      </w:r>
    </w:p>
    <w:p w14:paraId="76E887FB">
      <w:pPr>
        <w:pStyle w:val="10"/>
        <w:spacing w:line="360" w:lineRule="auto"/>
        <w:rPr>
          <w:rFonts w:ascii="宋体" w:hAnsi="宋体" w:cs="宋体"/>
          <w:color w:val="FF0000"/>
          <w:sz w:val="24"/>
          <w:szCs w:val="24"/>
        </w:rPr>
      </w:pPr>
    </w:p>
    <w:p w14:paraId="51B5ABAF">
      <w:pPr>
        <w:pStyle w:val="10"/>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41882A06">
      <w:pPr>
        <w:pStyle w:val="15"/>
        <w:widowControl/>
        <w:ind w:firstLine="336"/>
        <w:rPr>
          <w:rFonts w:asciiTheme="minorEastAsia" w:hAnsiTheme="minorEastAsia" w:eastAsiaTheme="minorEastAsia" w:cstheme="minorEastAsia"/>
          <w:color w:val="FF0000"/>
        </w:rPr>
      </w:pPr>
    </w:p>
    <w:p w14:paraId="1FC0ECAB">
      <w:pPr>
        <w:pStyle w:val="15"/>
        <w:widowControl/>
        <w:ind w:firstLine="336"/>
        <w:rPr>
          <w:rFonts w:asciiTheme="minorEastAsia" w:hAnsiTheme="minorEastAsia" w:eastAsiaTheme="minorEastAsia" w:cstheme="minorEastAsia"/>
          <w:color w:val="FF0000"/>
        </w:rPr>
      </w:pPr>
    </w:p>
    <w:p w14:paraId="47441059">
      <w:pPr>
        <w:pStyle w:val="15"/>
        <w:widowControl/>
        <w:ind w:firstLine="336"/>
        <w:rPr>
          <w:rFonts w:asciiTheme="minorEastAsia" w:hAnsiTheme="minorEastAsia" w:eastAsiaTheme="minorEastAsia" w:cstheme="minorEastAsia"/>
          <w:color w:val="FF0000"/>
        </w:rPr>
      </w:pPr>
    </w:p>
    <w:p w14:paraId="1933F0F7">
      <w:pPr>
        <w:pStyle w:val="15"/>
        <w:widowControl/>
        <w:ind w:firstLine="336"/>
        <w:rPr>
          <w:rFonts w:asciiTheme="minorEastAsia" w:hAnsiTheme="minorEastAsia" w:eastAsiaTheme="minorEastAsia" w:cstheme="minorEastAsia"/>
          <w:color w:val="FF0000"/>
        </w:rPr>
      </w:pPr>
    </w:p>
    <w:p w14:paraId="78AFE3E8">
      <w:pPr>
        <w:pStyle w:val="15"/>
        <w:widowControl/>
        <w:ind w:firstLine="336"/>
        <w:rPr>
          <w:rFonts w:asciiTheme="minorEastAsia" w:hAnsiTheme="minorEastAsia" w:eastAsiaTheme="minorEastAsia" w:cstheme="minorEastAsia"/>
          <w:color w:val="FF0000"/>
        </w:rPr>
      </w:pPr>
    </w:p>
    <w:p w14:paraId="0EC7339F">
      <w:pPr>
        <w:pStyle w:val="15"/>
        <w:widowControl/>
        <w:ind w:firstLine="336"/>
        <w:rPr>
          <w:rFonts w:asciiTheme="minorEastAsia" w:hAnsiTheme="minorEastAsia" w:eastAsiaTheme="minorEastAsia" w:cstheme="minorEastAsia"/>
          <w:color w:val="FF0000"/>
        </w:rPr>
      </w:pPr>
    </w:p>
    <w:p w14:paraId="0B140374">
      <w:pPr>
        <w:pStyle w:val="15"/>
        <w:widowControl/>
        <w:ind w:firstLine="336"/>
        <w:rPr>
          <w:rFonts w:asciiTheme="minorEastAsia" w:hAnsiTheme="minorEastAsia" w:eastAsiaTheme="minorEastAsia" w:cstheme="minorEastAsia"/>
          <w:color w:val="FF0000"/>
        </w:rPr>
      </w:pPr>
    </w:p>
    <w:p w14:paraId="19D51E75">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FFE338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60B0D97">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115545E">
      <w:pPr>
        <w:pStyle w:val="24"/>
        <w:rPr>
          <w:rFonts w:asciiTheme="minorEastAsia" w:hAnsiTheme="minorEastAsia" w:eastAsiaTheme="minorEastAsia" w:cstheme="minorEastAsia"/>
          <w:color w:val="FF0000"/>
        </w:rPr>
      </w:pPr>
    </w:p>
    <w:p w14:paraId="4A524D06">
      <w:pPr>
        <w:pStyle w:val="24"/>
        <w:rPr>
          <w:rFonts w:asciiTheme="minorEastAsia" w:hAnsiTheme="minorEastAsia" w:eastAsiaTheme="minorEastAsia" w:cstheme="minorEastAsia"/>
          <w:color w:val="FF0000"/>
        </w:rPr>
      </w:pPr>
    </w:p>
    <w:p w14:paraId="5261C5D5">
      <w:pPr>
        <w:pStyle w:val="24"/>
        <w:rPr>
          <w:rFonts w:asciiTheme="minorEastAsia" w:hAnsiTheme="minorEastAsia" w:eastAsiaTheme="minorEastAsia" w:cstheme="minorEastAsia"/>
          <w:color w:val="FF0000"/>
        </w:rPr>
      </w:pPr>
    </w:p>
    <w:p w14:paraId="0BEF5061">
      <w:pPr>
        <w:pStyle w:val="24"/>
        <w:rPr>
          <w:rFonts w:asciiTheme="minorEastAsia" w:hAnsiTheme="minorEastAsia" w:eastAsiaTheme="minorEastAsia" w:cstheme="minorEastAsia"/>
          <w:color w:val="FF0000"/>
        </w:rPr>
      </w:pPr>
    </w:p>
    <w:p w14:paraId="76EB3E1A">
      <w:pPr>
        <w:pStyle w:val="24"/>
        <w:rPr>
          <w:rFonts w:asciiTheme="minorEastAsia" w:hAnsiTheme="minorEastAsia" w:eastAsiaTheme="minorEastAsia" w:cstheme="minorEastAsia"/>
          <w:color w:val="FF0000"/>
        </w:rPr>
      </w:pPr>
    </w:p>
    <w:p w14:paraId="39BA535F">
      <w:pPr>
        <w:pStyle w:val="24"/>
        <w:rPr>
          <w:rFonts w:asciiTheme="minorEastAsia" w:hAnsiTheme="minorEastAsia" w:eastAsiaTheme="minorEastAsia" w:cstheme="minorEastAsia"/>
          <w:color w:val="FF0000"/>
        </w:rPr>
      </w:pPr>
    </w:p>
    <w:p w14:paraId="3C1D3AF4">
      <w:pPr>
        <w:pStyle w:val="24"/>
        <w:rPr>
          <w:rFonts w:asciiTheme="minorEastAsia" w:hAnsiTheme="minorEastAsia" w:eastAsiaTheme="minorEastAsia" w:cstheme="minorEastAsia"/>
          <w:color w:val="FF0000"/>
        </w:rPr>
      </w:pPr>
    </w:p>
    <w:p w14:paraId="486B7B81">
      <w:pPr>
        <w:pStyle w:val="24"/>
        <w:rPr>
          <w:rFonts w:asciiTheme="minorEastAsia" w:hAnsiTheme="minorEastAsia" w:eastAsiaTheme="minorEastAsia" w:cstheme="minorEastAsia"/>
          <w:color w:val="FF0000"/>
        </w:rPr>
      </w:pPr>
    </w:p>
    <w:p w14:paraId="5E6DEE09">
      <w:pPr>
        <w:pStyle w:val="24"/>
        <w:rPr>
          <w:rFonts w:asciiTheme="minorEastAsia" w:hAnsiTheme="minorEastAsia" w:eastAsiaTheme="minorEastAsia" w:cstheme="minorEastAsia"/>
          <w:color w:val="FF0000"/>
        </w:rPr>
      </w:pPr>
    </w:p>
    <w:p w14:paraId="3A51B7DF">
      <w:pPr>
        <w:pStyle w:val="24"/>
        <w:rPr>
          <w:rFonts w:asciiTheme="minorEastAsia" w:hAnsiTheme="minorEastAsia" w:eastAsiaTheme="minorEastAsia" w:cstheme="minorEastAsia"/>
          <w:color w:val="FF0000"/>
        </w:rPr>
      </w:pPr>
    </w:p>
    <w:p w14:paraId="6C07AF5D">
      <w:pPr>
        <w:pStyle w:val="24"/>
        <w:rPr>
          <w:rFonts w:asciiTheme="minorEastAsia" w:hAnsiTheme="minorEastAsia" w:eastAsiaTheme="minorEastAsia" w:cstheme="minorEastAsia"/>
          <w:color w:val="FF0000"/>
        </w:rPr>
      </w:pPr>
    </w:p>
    <w:p w14:paraId="7DDF7C51">
      <w:pPr>
        <w:pStyle w:val="24"/>
        <w:rPr>
          <w:rFonts w:asciiTheme="minorEastAsia" w:hAnsiTheme="minorEastAsia" w:eastAsiaTheme="minorEastAsia" w:cstheme="minorEastAsia"/>
          <w:color w:val="FF0000"/>
        </w:rPr>
      </w:pPr>
    </w:p>
    <w:p w14:paraId="01B1213F">
      <w:pPr>
        <w:pStyle w:val="24"/>
        <w:rPr>
          <w:rFonts w:asciiTheme="minorEastAsia" w:hAnsiTheme="minorEastAsia" w:eastAsiaTheme="minorEastAsia" w:cstheme="minorEastAsia"/>
          <w:color w:val="FF0000"/>
        </w:rPr>
      </w:pPr>
    </w:p>
    <w:p w14:paraId="03551E12">
      <w:pPr>
        <w:pStyle w:val="24"/>
        <w:rPr>
          <w:rFonts w:asciiTheme="minorEastAsia" w:hAnsiTheme="minorEastAsia" w:eastAsiaTheme="minorEastAsia" w:cstheme="minorEastAsia"/>
          <w:color w:val="FF0000"/>
        </w:rPr>
      </w:pPr>
    </w:p>
    <w:p w14:paraId="736F4426">
      <w:pPr>
        <w:pStyle w:val="24"/>
        <w:rPr>
          <w:rFonts w:asciiTheme="minorEastAsia" w:hAnsiTheme="minorEastAsia" w:eastAsiaTheme="minorEastAsia" w:cstheme="minorEastAsia"/>
          <w:color w:val="FF0000"/>
        </w:rPr>
      </w:pPr>
    </w:p>
    <w:p w14:paraId="0E964BB5">
      <w:pPr>
        <w:pStyle w:val="24"/>
        <w:rPr>
          <w:rFonts w:asciiTheme="minorEastAsia" w:hAnsiTheme="minorEastAsia" w:eastAsiaTheme="minorEastAsia" w:cstheme="minorEastAsia"/>
          <w:color w:val="FF0000"/>
        </w:rPr>
      </w:pPr>
    </w:p>
    <w:p w14:paraId="36E30BF0">
      <w:pPr>
        <w:pStyle w:val="24"/>
        <w:rPr>
          <w:rFonts w:asciiTheme="minorEastAsia" w:hAnsiTheme="minorEastAsia" w:eastAsiaTheme="minorEastAsia" w:cstheme="minorEastAsia"/>
          <w:color w:val="FF0000"/>
        </w:rPr>
      </w:pPr>
    </w:p>
    <w:p w14:paraId="3F4DBDF8">
      <w:pPr>
        <w:pStyle w:val="24"/>
        <w:rPr>
          <w:rFonts w:asciiTheme="minorEastAsia" w:hAnsiTheme="minorEastAsia" w:eastAsiaTheme="minorEastAsia" w:cstheme="minorEastAsia"/>
          <w:color w:val="FF0000"/>
        </w:rPr>
      </w:pPr>
    </w:p>
    <w:p w14:paraId="247DAD62">
      <w:pPr>
        <w:pStyle w:val="24"/>
        <w:rPr>
          <w:rFonts w:asciiTheme="minorEastAsia" w:hAnsiTheme="minorEastAsia" w:eastAsiaTheme="minorEastAsia" w:cstheme="minorEastAsia"/>
          <w:color w:val="FF0000"/>
        </w:rPr>
      </w:pPr>
    </w:p>
    <w:p w14:paraId="04715DB9">
      <w:pPr>
        <w:pStyle w:val="24"/>
        <w:rPr>
          <w:rFonts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冬青黑体简体中文 W3">
    <w:altName w:val="黑体"/>
    <w:panose1 w:val="020B0300000000000000"/>
    <w:charset w:val="86"/>
    <w:family w:val="auto"/>
    <w:pitch w:val="default"/>
    <w:sig w:usb0="00000000" w:usb1="00000000" w:usb2="00000016" w:usb3="00000000" w:csb0="00060007"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D1CD389">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8F6BF7C">
          <w:pPr>
            <w:pStyle w:val="11"/>
            <w:tabs>
              <w:tab w:val="clear" w:pos="4153"/>
              <w:tab w:val="clear" w:pos="8306"/>
            </w:tabs>
            <w:ind w:right="360"/>
            <w:jc w:val="both"/>
          </w:pPr>
          <w:r>
            <w:rPr>
              <w:rFonts w:hint="eastAsia"/>
            </w:rPr>
            <w:t xml:space="preserve">福建诚信招标有限公司                          联系电话：0595-22507198、22507298                     </w:t>
          </w:r>
        </w:p>
      </w:tc>
    </w:tr>
  </w:tbl>
  <w:p w14:paraId="75EC004A">
    <w:pPr>
      <w:pStyle w:val="1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9DB3">
    <w:pPr>
      <w:pStyle w:val="11"/>
      <w:framePr w:wrap="around" w:vAnchor="text" w:hAnchor="margin" w:xAlign="right" w:y="1"/>
      <w:rPr>
        <w:rStyle w:val="22"/>
      </w:rPr>
    </w:pPr>
    <w:r>
      <w:fldChar w:fldCharType="begin"/>
    </w:r>
    <w:r>
      <w:rPr>
        <w:rStyle w:val="22"/>
      </w:rPr>
      <w:instrText xml:space="preserve">PAGE  </w:instrText>
    </w:r>
    <w:r>
      <w:fldChar w:fldCharType="end"/>
    </w:r>
  </w:p>
  <w:p w14:paraId="167E8A7C">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5036017">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565E9192">
          <w:pPr>
            <w:pStyle w:val="11"/>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4207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EA42070">
                          <w:pPr>
                            <w:pStyle w:val="1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EF513">
                                <w:pPr>
                                  <w:pStyle w:val="1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42EF513">
                          <w:pPr>
                            <w:pStyle w:val="11"/>
                          </w:pPr>
                        </w:p>
                      </w:txbxContent>
                    </v:textbox>
                  </v:shape>
                </w:pict>
              </mc:Fallback>
            </mc:AlternateContent>
          </w:r>
        </w:p>
      </w:tc>
    </w:tr>
  </w:tbl>
  <w:p w14:paraId="6D8A01DC">
    <w:pPr>
      <w:pStyle w:val="11"/>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75FB">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5E0CC">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895E0CC">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2BE7">
    <w:pPr>
      <w:pStyle w:val="12"/>
      <w:tabs>
        <w:tab w:val="clear" w:pos="4153"/>
        <w:tab w:val="clear" w:pos="8306"/>
      </w:tabs>
      <w:jc w:val="both"/>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AA1F6"/>
    <w:multiLevelType w:val="singleLevel"/>
    <w:tmpl w:val="14FAA1F6"/>
    <w:lvl w:ilvl="0" w:tentative="0">
      <w:start w:val="1"/>
      <w:numFmt w:val="decimal"/>
      <w:suff w:val="nothing"/>
      <w:lvlText w:val="（%1）"/>
      <w:lvlJc w:val="left"/>
    </w:lvl>
  </w:abstractNum>
  <w:abstractNum w:abstractNumId="1">
    <w:nsid w:val="287B1364"/>
    <w:multiLevelType w:val="singleLevel"/>
    <w:tmpl w:val="287B136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MmJkN2I1ODQ3ODRlMDM0ZTNmOWVjMTIzM2ZlOTEifQ=="/>
  </w:docVars>
  <w:rsids>
    <w:rsidRoot w:val="59835B2E"/>
    <w:rsid w:val="0017169A"/>
    <w:rsid w:val="004D3CB3"/>
    <w:rsid w:val="006A696F"/>
    <w:rsid w:val="006B31C3"/>
    <w:rsid w:val="00835990"/>
    <w:rsid w:val="00847DE1"/>
    <w:rsid w:val="00851535"/>
    <w:rsid w:val="00A178B2"/>
    <w:rsid w:val="00A347FC"/>
    <w:rsid w:val="00A62B38"/>
    <w:rsid w:val="00C865BD"/>
    <w:rsid w:val="00CC727F"/>
    <w:rsid w:val="00D94B74"/>
    <w:rsid w:val="00DC5B99"/>
    <w:rsid w:val="00F731DF"/>
    <w:rsid w:val="00FA37CF"/>
    <w:rsid w:val="0100390C"/>
    <w:rsid w:val="0128341F"/>
    <w:rsid w:val="01AC5842"/>
    <w:rsid w:val="01AE3AC2"/>
    <w:rsid w:val="01B36BD0"/>
    <w:rsid w:val="01F82835"/>
    <w:rsid w:val="020E2058"/>
    <w:rsid w:val="025A34EF"/>
    <w:rsid w:val="027068C8"/>
    <w:rsid w:val="02914086"/>
    <w:rsid w:val="02B32C00"/>
    <w:rsid w:val="03015719"/>
    <w:rsid w:val="030F6088"/>
    <w:rsid w:val="034675D0"/>
    <w:rsid w:val="034E4A21"/>
    <w:rsid w:val="0394658D"/>
    <w:rsid w:val="03AE6494"/>
    <w:rsid w:val="045D2E23"/>
    <w:rsid w:val="04B52C5F"/>
    <w:rsid w:val="04F25C61"/>
    <w:rsid w:val="052851DF"/>
    <w:rsid w:val="053C512E"/>
    <w:rsid w:val="056401E1"/>
    <w:rsid w:val="056B1570"/>
    <w:rsid w:val="057743B8"/>
    <w:rsid w:val="057B7A05"/>
    <w:rsid w:val="05AF5900"/>
    <w:rsid w:val="05D62E8D"/>
    <w:rsid w:val="064029FC"/>
    <w:rsid w:val="07DB2C0D"/>
    <w:rsid w:val="082E31F3"/>
    <w:rsid w:val="086724C2"/>
    <w:rsid w:val="08762705"/>
    <w:rsid w:val="089D5EE4"/>
    <w:rsid w:val="08CA47FF"/>
    <w:rsid w:val="08F8136C"/>
    <w:rsid w:val="0A5C5E72"/>
    <w:rsid w:val="0A6F565E"/>
    <w:rsid w:val="0ABD4BDB"/>
    <w:rsid w:val="0AD7407F"/>
    <w:rsid w:val="0B6E3B68"/>
    <w:rsid w:val="0B873C0E"/>
    <w:rsid w:val="0BA80E28"/>
    <w:rsid w:val="0BBE124B"/>
    <w:rsid w:val="0C281F69"/>
    <w:rsid w:val="0C30706F"/>
    <w:rsid w:val="0C3D1EB8"/>
    <w:rsid w:val="0C4E46A6"/>
    <w:rsid w:val="0C786AA5"/>
    <w:rsid w:val="0C915D60"/>
    <w:rsid w:val="0C9870EE"/>
    <w:rsid w:val="0CB832EC"/>
    <w:rsid w:val="0CBE1A2C"/>
    <w:rsid w:val="0D492377"/>
    <w:rsid w:val="0DAF0B93"/>
    <w:rsid w:val="0DDC125D"/>
    <w:rsid w:val="0E417312"/>
    <w:rsid w:val="0E8611C8"/>
    <w:rsid w:val="0E8D13D6"/>
    <w:rsid w:val="0E9067FE"/>
    <w:rsid w:val="0E9B1118"/>
    <w:rsid w:val="0EC35F79"/>
    <w:rsid w:val="0F152C78"/>
    <w:rsid w:val="0F44355D"/>
    <w:rsid w:val="0F4470B9"/>
    <w:rsid w:val="0F6B2795"/>
    <w:rsid w:val="0F975858"/>
    <w:rsid w:val="0FB83603"/>
    <w:rsid w:val="10022AD1"/>
    <w:rsid w:val="1068327B"/>
    <w:rsid w:val="10765998"/>
    <w:rsid w:val="109E0A4B"/>
    <w:rsid w:val="10EE1FC0"/>
    <w:rsid w:val="10F16DCD"/>
    <w:rsid w:val="110C3C07"/>
    <w:rsid w:val="115376E2"/>
    <w:rsid w:val="11765524"/>
    <w:rsid w:val="11DA3D05"/>
    <w:rsid w:val="122D652B"/>
    <w:rsid w:val="123E4294"/>
    <w:rsid w:val="126D6927"/>
    <w:rsid w:val="12D70244"/>
    <w:rsid w:val="13433097"/>
    <w:rsid w:val="135D699C"/>
    <w:rsid w:val="13743CE5"/>
    <w:rsid w:val="137D5FD9"/>
    <w:rsid w:val="14922675"/>
    <w:rsid w:val="14E804E7"/>
    <w:rsid w:val="14E8498B"/>
    <w:rsid w:val="152B4878"/>
    <w:rsid w:val="15553091"/>
    <w:rsid w:val="158421C3"/>
    <w:rsid w:val="158D108E"/>
    <w:rsid w:val="15A014F5"/>
    <w:rsid w:val="16695657"/>
    <w:rsid w:val="166C4E41"/>
    <w:rsid w:val="16F7028D"/>
    <w:rsid w:val="16FC1186"/>
    <w:rsid w:val="17231CAA"/>
    <w:rsid w:val="173A664E"/>
    <w:rsid w:val="174A7237"/>
    <w:rsid w:val="175062B0"/>
    <w:rsid w:val="17764B15"/>
    <w:rsid w:val="17840174"/>
    <w:rsid w:val="17BB6387"/>
    <w:rsid w:val="17DF2075"/>
    <w:rsid w:val="17DF606D"/>
    <w:rsid w:val="180E22B6"/>
    <w:rsid w:val="18147845"/>
    <w:rsid w:val="187D363C"/>
    <w:rsid w:val="189F7A56"/>
    <w:rsid w:val="19303DDC"/>
    <w:rsid w:val="197C38F4"/>
    <w:rsid w:val="198D53B4"/>
    <w:rsid w:val="19A52E4A"/>
    <w:rsid w:val="1A1F0C36"/>
    <w:rsid w:val="1AB31597"/>
    <w:rsid w:val="1AE300CE"/>
    <w:rsid w:val="1AED7562"/>
    <w:rsid w:val="1B2D7187"/>
    <w:rsid w:val="1B7A0CBE"/>
    <w:rsid w:val="1BD143CB"/>
    <w:rsid w:val="1C1147C7"/>
    <w:rsid w:val="1C4B3D8B"/>
    <w:rsid w:val="1C5823F6"/>
    <w:rsid w:val="1CBB4733"/>
    <w:rsid w:val="1CF437B5"/>
    <w:rsid w:val="1D1A58FD"/>
    <w:rsid w:val="1D974856"/>
    <w:rsid w:val="1DAD6772"/>
    <w:rsid w:val="1DD464FF"/>
    <w:rsid w:val="1DE07FC5"/>
    <w:rsid w:val="1E450758"/>
    <w:rsid w:val="1E71154D"/>
    <w:rsid w:val="1E960FB4"/>
    <w:rsid w:val="1EAE454F"/>
    <w:rsid w:val="1F026649"/>
    <w:rsid w:val="1F2C479B"/>
    <w:rsid w:val="1F9C084C"/>
    <w:rsid w:val="1FD60202"/>
    <w:rsid w:val="1FEA15B7"/>
    <w:rsid w:val="1FFE5062"/>
    <w:rsid w:val="202D1DEC"/>
    <w:rsid w:val="206D21E8"/>
    <w:rsid w:val="20CB65E1"/>
    <w:rsid w:val="21294361"/>
    <w:rsid w:val="216929AF"/>
    <w:rsid w:val="219E33C1"/>
    <w:rsid w:val="21B202BE"/>
    <w:rsid w:val="21E10BCB"/>
    <w:rsid w:val="21FE12A1"/>
    <w:rsid w:val="221A1EFC"/>
    <w:rsid w:val="22723AE6"/>
    <w:rsid w:val="22857CBD"/>
    <w:rsid w:val="22D221CB"/>
    <w:rsid w:val="23533917"/>
    <w:rsid w:val="237D2742"/>
    <w:rsid w:val="23A202CD"/>
    <w:rsid w:val="240B5FA0"/>
    <w:rsid w:val="24134E54"/>
    <w:rsid w:val="243A0633"/>
    <w:rsid w:val="245A2A83"/>
    <w:rsid w:val="24724271"/>
    <w:rsid w:val="248144B4"/>
    <w:rsid w:val="24977834"/>
    <w:rsid w:val="24B16B47"/>
    <w:rsid w:val="24C90335"/>
    <w:rsid w:val="24E60E8D"/>
    <w:rsid w:val="25201F1F"/>
    <w:rsid w:val="254E25E8"/>
    <w:rsid w:val="255120D8"/>
    <w:rsid w:val="259A582D"/>
    <w:rsid w:val="25A641D2"/>
    <w:rsid w:val="26236A53"/>
    <w:rsid w:val="26396DF4"/>
    <w:rsid w:val="263F301E"/>
    <w:rsid w:val="269640B9"/>
    <w:rsid w:val="26BD2477"/>
    <w:rsid w:val="26D2389C"/>
    <w:rsid w:val="27054F28"/>
    <w:rsid w:val="27F76F67"/>
    <w:rsid w:val="280A256F"/>
    <w:rsid w:val="285A12A4"/>
    <w:rsid w:val="289F5B02"/>
    <w:rsid w:val="28C66939"/>
    <w:rsid w:val="28D64DCE"/>
    <w:rsid w:val="28E868B0"/>
    <w:rsid w:val="29323FCF"/>
    <w:rsid w:val="295977AD"/>
    <w:rsid w:val="29890093"/>
    <w:rsid w:val="299802D6"/>
    <w:rsid w:val="299F1664"/>
    <w:rsid w:val="29AD52D9"/>
    <w:rsid w:val="29AD768A"/>
    <w:rsid w:val="29BA46F0"/>
    <w:rsid w:val="2A473AAA"/>
    <w:rsid w:val="2A790107"/>
    <w:rsid w:val="2B070127"/>
    <w:rsid w:val="2B4D50F0"/>
    <w:rsid w:val="2B5B22BC"/>
    <w:rsid w:val="2B82123D"/>
    <w:rsid w:val="2BAE3DE1"/>
    <w:rsid w:val="2BDD46C6"/>
    <w:rsid w:val="2BF8505C"/>
    <w:rsid w:val="2C23181A"/>
    <w:rsid w:val="2CD258AD"/>
    <w:rsid w:val="2CEB06B4"/>
    <w:rsid w:val="2D0068BE"/>
    <w:rsid w:val="2D25239D"/>
    <w:rsid w:val="2D856F57"/>
    <w:rsid w:val="2DA134D1"/>
    <w:rsid w:val="2DBE0F13"/>
    <w:rsid w:val="2E0E0B66"/>
    <w:rsid w:val="2EBD258D"/>
    <w:rsid w:val="2EE1627B"/>
    <w:rsid w:val="2EE47B19"/>
    <w:rsid w:val="2F1E74CF"/>
    <w:rsid w:val="2F327502"/>
    <w:rsid w:val="2FA5723B"/>
    <w:rsid w:val="2FC31E25"/>
    <w:rsid w:val="2FD845A3"/>
    <w:rsid w:val="2FFE2E5D"/>
    <w:rsid w:val="305111DE"/>
    <w:rsid w:val="30EC4E63"/>
    <w:rsid w:val="30F2711A"/>
    <w:rsid w:val="31061FC9"/>
    <w:rsid w:val="312B5ED3"/>
    <w:rsid w:val="315F16D9"/>
    <w:rsid w:val="31E8488D"/>
    <w:rsid w:val="328A09D8"/>
    <w:rsid w:val="329830F5"/>
    <w:rsid w:val="32AB72CC"/>
    <w:rsid w:val="32B51EF8"/>
    <w:rsid w:val="32FB2F01"/>
    <w:rsid w:val="330D71CD"/>
    <w:rsid w:val="334119DE"/>
    <w:rsid w:val="3390201E"/>
    <w:rsid w:val="339733AC"/>
    <w:rsid w:val="33A31D51"/>
    <w:rsid w:val="33C33694"/>
    <w:rsid w:val="34104E2B"/>
    <w:rsid w:val="34330DDB"/>
    <w:rsid w:val="34637732"/>
    <w:rsid w:val="3479582F"/>
    <w:rsid w:val="34873421"/>
    <w:rsid w:val="349E076A"/>
    <w:rsid w:val="34B06A87"/>
    <w:rsid w:val="34CE54F3"/>
    <w:rsid w:val="351F7AFD"/>
    <w:rsid w:val="3529097C"/>
    <w:rsid w:val="355F7EFA"/>
    <w:rsid w:val="35A26038"/>
    <w:rsid w:val="35D73F34"/>
    <w:rsid w:val="35F920FC"/>
    <w:rsid w:val="3643461A"/>
    <w:rsid w:val="36462E68"/>
    <w:rsid w:val="364A2958"/>
    <w:rsid w:val="36916FED"/>
    <w:rsid w:val="36A06A1C"/>
    <w:rsid w:val="36DA0180"/>
    <w:rsid w:val="376B4243"/>
    <w:rsid w:val="37906A90"/>
    <w:rsid w:val="37C52BDE"/>
    <w:rsid w:val="37CD3840"/>
    <w:rsid w:val="382A2A41"/>
    <w:rsid w:val="38417D8A"/>
    <w:rsid w:val="38641F41"/>
    <w:rsid w:val="38EE1CC0"/>
    <w:rsid w:val="391D07F7"/>
    <w:rsid w:val="3A127C30"/>
    <w:rsid w:val="3A1F5EA9"/>
    <w:rsid w:val="3A876006"/>
    <w:rsid w:val="3AAF64A1"/>
    <w:rsid w:val="3ADE3FB6"/>
    <w:rsid w:val="3AFB2473"/>
    <w:rsid w:val="3AFB321D"/>
    <w:rsid w:val="3B1925BB"/>
    <w:rsid w:val="3B6C1D7D"/>
    <w:rsid w:val="3C3C2D43"/>
    <w:rsid w:val="3CC1149A"/>
    <w:rsid w:val="3CC86CCC"/>
    <w:rsid w:val="3CE60A9D"/>
    <w:rsid w:val="3D4C16AB"/>
    <w:rsid w:val="3D695DB9"/>
    <w:rsid w:val="3D7362E6"/>
    <w:rsid w:val="3D7F55DD"/>
    <w:rsid w:val="3D7F6049"/>
    <w:rsid w:val="3D8A4CE3"/>
    <w:rsid w:val="3D9170BE"/>
    <w:rsid w:val="3E002010"/>
    <w:rsid w:val="3E1675C3"/>
    <w:rsid w:val="3E1A5306"/>
    <w:rsid w:val="3E2241BA"/>
    <w:rsid w:val="3E3C16AF"/>
    <w:rsid w:val="3E706512"/>
    <w:rsid w:val="3E854E75"/>
    <w:rsid w:val="3F1461F9"/>
    <w:rsid w:val="3F2E1764"/>
    <w:rsid w:val="3F724CCD"/>
    <w:rsid w:val="3F9D1D4A"/>
    <w:rsid w:val="402E32EA"/>
    <w:rsid w:val="407D392A"/>
    <w:rsid w:val="407F76A2"/>
    <w:rsid w:val="40866C82"/>
    <w:rsid w:val="40E35E83"/>
    <w:rsid w:val="40EF43F7"/>
    <w:rsid w:val="40F260C6"/>
    <w:rsid w:val="41210759"/>
    <w:rsid w:val="41390199"/>
    <w:rsid w:val="416C40CA"/>
    <w:rsid w:val="41CC4B69"/>
    <w:rsid w:val="41E73751"/>
    <w:rsid w:val="41F93484"/>
    <w:rsid w:val="421D7172"/>
    <w:rsid w:val="42424E2B"/>
    <w:rsid w:val="426254CD"/>
    <w:rsid w:val="426D634C"/>
    <w:rsid w:val="42755200"/>
    <w:rsid w:val="428F7B8B"/>
    <w:rsid w:val="42A258CA"/>
    <w:rsid w:val="42F500EF"/>
    <w:rsid w:val="43065E58"/>
    <w:rsid w:val="431E31A2"/>
    <w:rsid w:val="43993170"/>
    <w:rsid w:val="44202F4A"/>
    <w:rsid w:val="44421112"/>
    <w:rsid w:val="444924A1"/>
    <w:rsid w:val="447C2876"/>
    <w:rsid w:val="451C1963"/>
    <w:rsid w:val="451F1798"/>
    <w:rsid w:val="45933291"/>
    <w:rsid w:val="4597548E"/>
    <w:rsid w:val="45D24718"/>
    <w:rsid w:val="45D264C6"/>
    <w:rsid w:val="45F621B4"/>
    <w:rsid w:val="460D47FD"/>
    <w:rsid w:val="46492C2C"/>
    <w:rsid w:val="46BF2EEE"/>
    <w:rsid w:val="46CA3DCA"/>
    <w:rsid w:val="470726E1"/>
    <w:rsid w:val="472D42FC"/>
    <w:rsid w:val="4732546E"/>
    <w:rsid w:val="47462CC7"/>
    <w:rsid w:val="478B4B7E"/>
    <w:rsid w:val="47B50386"/>
    <w:rsid w:val="47C200BA"/>
    <w:rsid w:val="47C36A0E"/>
    <w:rsid w:val="47D12ED9"/>
    <w:rsid w:val="480D6AD1"/>
    <w:rsid w:val="48561630"/>
    <w:rsid w:val="48741AB6"/>
    <w:rsid w:val="489F6B33"/>
    <w:rsid w:val="48B325DE"/>
    <w:rsid w:val="48BA1BBF"/>
    <w:rsid w:val="49282FCC"/>
    <w:rsid w:val="49463453"/>
    <w:rsid w:val="497D499A"/>
    <w:rsid w:val="49BF6D61"/>
    <w:rsid w:val="49F42EAF"/>
    <w:rsid w:val="49F44C5D"/>
    <w:rsid w:val="4A205A52"/>
    <w:rsid w:val="4A9B332A"/>
    <w:rsid w:val="4ADB406F"/>
    <w:rsid w:val="4AEF4285"/>
    <w:rsid w:val="4B02784D"/>
    <w:rsid w:val="4B3043BA"/>
    <w:rsid w:val="4B5C6F5D"/>
    <w:rsid w:val="4B72052F"/>
    <w:rsid w:val="4B8B7843"/>
    <w:rsid w:val="4BB4141E"/>
    <w:rsid w:val="4BD2790E"/>
    <w:rsid w:val="4BED2CAE"/>
    <w:rsid w:val="4BFA02E8"/>
    <w:rsid w:val="4C1307C4"/>
    <w:rsid w:val="4C4F2340"/>
    <w:rsid w:val="4C65575F"/>
    <w:rsid w:val="4C9808FB"/>
    <w:rsid w:val="4C991AEB"/>
    <w:rsid w:val="4CC0176E"/>
    <w:rsid w:val="4D3B0DF4"/>
    <w:rsid w:val="4D697710"/>
    <w:rsid w:val="4D785BA5"/>
    <w:rsid w:val="4D8B1D7C"/>
    <w:rsid w:val="4DFA480C"/>
    <w:rsid w:val="4DFC0584"/>
    <w:rsid w:val="4E255E4C"/>
    <w:rsid w:val="4E2F6BAB"/>
    <w:rsid w:val="4E487C6D"/>
    <w:rsid w:val="4EAF5DA4"/>
    <w:rsid w:val="4F123E7A"/>
    <w:rsid w:val="4F336227"/>
    <w:rsid w:val="4F3E2886"/>
    <w:rsid w:val="4F560168"/>
    <w:rsid w:val="4F583EE0"/>
    <w:rsid w:val="4F766114"/>
    <w:rsid w:val="4F8B5318"/>
    <w:rsid w:val="4FB05ACA"/>
    <w:rsid w:val="4FC21359"/>
    <w:rsid w:val="5043182B"/>
    <w:rsid w:val="5055041F"/>
    <w:rsid w:val="50727DEE"/>
    <w:rsid w:val="507408A5"/>
    <w:rsid w:val="51080F9B"/>
    <w:rsid w:val="512C73D2"/>
    <w:rsid w:val="517650D9"/>
    <w:rsid w:val="51AC3B4E"/>
    <w:rsid w:val="51B66C9C"/>
    <w:rsid w:val="51E43911"/>
    <w:rsid w:val="528C45CC"/>
    <w:rsid w:val="52CB6777"/>
    <w:rsid w:val="52D44965"/>
    <w:rsid w:val="52E15F9A"/>
    <w:rsid w:val="52E77A54"/>
    <w:rsid w:val="530103EA"/>
    <w:rsid w:val="53240B52"/>
    <w:rsid w:val="532E5683"/>
    <w:rsid w:val="534A3B3F"/>
    <w:rsid w:val="53894668"/>
    <w:rsid w:val="53B67427"/>
    <w:rsid w:val="53B95953"/>
    <w:rsid w:val="541F6D7A"/>
    <w:rsid w:val="544D7D8B"/>
    <w:rsid w:val="54C520DE"/>
    <w:rsid w:val="54D21631"/>
    <w:rsid w:val="54D579C3"/>
    <w:rsid w:val="54D67D81"/>
    <w:rsid w:val="550F6DEF"/>
    <w:rsid w:val="555869E7"/>
    <w:rsid w:val="55794C66"/>
    <w:rsid w:val="55A75561"/>
    <w:rsid w:val="55CD64D1"/>
    <w:rsid w:val="55D751F9"/>
    <w:rsid w:val="56D46542"/>
    <w:rsid w:val="56E04EE6"/>
    <w:rsid w:val="56F20776"/>
    <w:rsid w:val="572D17AE"/>
    <w:rsid w:val="575B631B"/>
    <w:rsid w:val="576F1DC6"/>
    <w:rsid w:val="58306707"/>
    <w:rsid w:val="583628E4"/>
    <w:rsid w:val="58447F4E"/>
    <w:rsid w:val="58692CBA"/>
    <w:rsid w:val="58873140"/>
    <w:rsid w:val="588B2C30"/>
    <w:rsid w:val="58DA7713"/>
    <w:rsid w:val="58EB36CF"/>
    <w:rsid w:val="59457283"/>
    <w:rsid w:val="59835B2E"/>
    <w:rsid w:val="59891A04"/>
    <w:rsid w:val="59C06909"/>
    <w:rsid w:val="5A227E3C"/>
    <w:rsid w:val="5A2A46CB"/>
    <w:rsid w:val="5AE34496"/>
    <w:rsid w:val="5B163077"/>
    <w:rsid w:val="5B5C4D58"/>
    <w:rsid w:val="5BA741CE"/>
    <w:rsid w:val="5BC16969"/>
    <w:rsid w:val="5BE20E76"/>
    <w:rsid w:val="5C7B120D"/>
    <w:rsid w:val="5CDB3A5A"/>
    <w:rsid w:val="5D1B0A7E"/>
    <w:rsid w:val="5D4B3638"/>
    <w:rsid w:val="5D5850AB"/>
    <w:rsid w:val="5D641CA2"/>
    <w:rsid w:val="5D654BBF"/>
    <w:rsid w:val="5DD31B41"/>
    <w:rsid w:val="5DF11787"/>
    <w:rsid w:val="5E0019CA"/>
    <w:rsid w:val="5E182FD2"/>
    <w:rsid w:val="5E225DE5"/>
    <w:rsid w:val="5E355B65"/>
    <w:rsid w:val="5E361890"/>
    <w:rsid w:val="5E736640"/>
    <w:rsid w:val="5EAE1426"/>
    <w:rsid w:val="5ECC1446"/>
    <w:rsid w:val="5EE412EC"/>
    <w:rsid w:val="5F1A4D0E"/>
    <w:rsid w:val="5F903222"/>
    <w:rsid w:val="5F944AC0"/>
    <w:rsid w:val="5F9D2038"/>
    <w:rsid w:val="5F9F5213"/>
    <w:rsid w:val="5FDE5D3B"/>
    <w:rsid w:val="607C050A"/>
    <w:rsid w:val="60A26E57"/>
    <w:rsid w:val="60CE7B5E"/>
    <w:rsid w:val="60EE6452"/>
    <w:rsid w:val="613160F4"/>
    <w:rsid w:val="6132578C"/>
    <w:rsid w:val="61D2367E"/>
    <w:rsid w:val="62065A1D"/>
    <w:rsid w:val="622B0FE0"/>
    <w:rsid w:val="622C3BBB"/>
    <w:rsid w:val="627604AD"/>
    <w:rsid w:val="62DD052C"/>
    <w:rsid w:val="62F87114"/>
    <w:rsid w:val="632321F3"/>
    <w:rsid w:val="63267BB9"/>
    <w:rsid w:val="638C52D7"/>
    <w:rsid w:val="640D6BEF"/>
    <w:rsid w:val="64382E48"/>
    <w:rsid w:val="64803865"/>
    <w:rsid w:val="64FB113D"/>
    <w:rsid w:val="651E4E2C"/>
    <w:rsid w:val="65387C9C"/>
    <w:rsid w:val="65660CAD"/>
    <w:rsid w:val="658E1FB1"/>
    <w:rsid w:val="659F7D1B"/>
    <w:rsid w:val="65E10333"/>
    <w:rsid w:val="66014531"/>
    <w:rsid w:val="66BB5028"/>
    <w:rsid w:val="66C567FF"/>
    <w:rsid w:val="66D103A8"/>
    <w:rsid w:val="66FB71D3"/>
    <w:rsid w:val="671F79C6"/>
    <w:rsid w:val="672C1A82"/>
    <w:rsid w:val="677F3E55"/>
    <w:rsid w:val="67D57A24"/>
    <w:rsid w:val="67ED0458"/>
    <w:rsid w:val="681349F0"/>
    <w:rsid w:val="68735896"/>
    <w:rsid w:val="68B735CD"/>
    <w:rsid w:val="68EF0FB9"/>
    <w:rsid w:val="6938470E"/>
    <w:rsid w:val="6942733B"/>
    <w:rsid w:val="694F1A58"/>
    <w:rsid w:val="69690D6B"/>
    <w:rsid w:val="69B95123"/>
    <w:rsid w:val="69EB0DAC"/>
    <w:rsid w:val="6A070584"/>
    <w:rsid w:val="6B064398"/>
    <w:rsid w:val="6B0F5943"/>
    <w:rsid w:val="6B6F018F"/>
    <w:rsid w:val="6B7D3D34"/>
    <w:rsid w:val="6B8F25DF"/>
    <w:rsid w:val="6C0134DD"/>
    <w:rsid w:val="6C1B20C5"/>
    <w:rsid w:val="6C3867D3"/>
    <w:rsid w:val="6C4E5FF7"/>
    <w:rsid w:val="6C6B5F49"/>
    <w:rsid w:val="6C891370"/>
    <w:rsid w:val="6CD01102"/>
    <w:rsid w:val="6CD7423E"/>
    <w:rsid w:val="6CFF5543"/>
    <w:rsid w:val="6D154D66"/>
    <w:rsid w:val="6D3F5C0C"/>
    <w:rsid w:val="6D633D24"/>
    <w:rsid w:val="6E9A7D81"/>
    <w:rsid w:val="6ECB392F"/>
    <w:rsid w:val="6EE13152"/>
    <w:rsid w:val="6F1F3C7A"/>
    <w:rsid w:val="6F286FD3"/>
    <w:rsid w:val="6F2B261F"/>
    <w:rsid w:val="6F563B40"/>
    <w:rsid w:val="6F63000B"/>
    <w:rsid w:val="6F975F07"/>
    <w:rsid w:val="6FA663F0"/>
    <w:rsid w:val="6FC565D0"/>
    <w:rsid w:val="70294DB1"/>
    <w:rsid w:val="7080699B"/>
    <w:rsid w:val="70983CE4"/>
    <w:rsid w:val="70F52EE5"/>
    <w:rsid w:val="710A33ED"/>
    <w:rsid w:val="71221911"/>
    <w:rsid w:val="717464FF"/>
    <w:rsid w:val="71867FE1"/>
    <w:rsid w:val="718F5027"/>
    <w:rsid w:val="71CA4371"/>
    <w:rsid w:val="71D15700"/>
    <w:rsid w:val="71D46F9E"/>
    <w:rsid w:val="726C6FA6"/>
    <w:rsid w:val="728E539F"/>
    <w:rsid w:val="731E2BC7"/>
    <w:rsid w:val="73227D4E"/>
    <w:rsid w:val="7331658E"/>
    <w:rsid w:val="7346211D"/>
    <w:rsid w:val="734927BA"/>
    <w:rsid w:val="736C78EA"/>
    <w:rsid w:val="738D38A8"/>
    <w:rsid w:val="73B13A3B"/>
    <w:rsid w:val="73BE1CB4"/>
    <w:rsid w:val="73D2014D"/>
    <w:rsid w:val="7400407A"/>
    <w:rsid w:val="749F1AE5"/>
    <w:rsid w:val="74F17E67"/>
    <w:rsid w:val="751F6782"/>
    <w:rsid w:val="752F2B61"/>
    <w:rsid w:val="753F5076"/>
    <w:rsid w:val="75826D11"/>
    <w:rsid w:val="75B551B1"/>
    <w:rsid w:val="75E41D5D"/>
    <w:rsid w:val="761F0123"/>
    <w:rsid w:val="76391AC6"/>
    <w:rsid w:val="766B41BF"/>
    <w:rsid w:val="766E5C13"/>
    <w:rsid w:val="76A35191"/>
    <w:rsid w:val="76A827A7"/>
    <w:rsid w:val="76C049FC"/>
    <w:rsid w:val="76DB492B"/>
    <w:rsid w:val="77106FA3"/>
    <w:rsid w:val="7758241F"/>
    <w:rsid w:val="775C1A30"/>
    <w:rsid w:val="77C16217"/>
    <w:rsid w:val="77FC0FFD"/>
    <w:rsid w:val="780B365B"/>
    <w:rsid w:val="781F6A99"/>
    <w:rsid w:val="78202F3D"/>
    <w:rsid w:val="782403EB"/>
    <w:rsid w:val="78597FC3"/>
    <w:rsid w:val="78C50714"/>
    <w:rsid w:val="78EE303B"/>
    <w:rsid w:val="78F87A16"/>
    <w:rsid w:val="79442C5B"/>
    <w:rsid w:val="7993773F"/>
    <w:rsid w:val="79B7342D"/>
    <w:rsid w:val="7A5A200A"/>
    <w:rsid w:val="7A665F33"/>
    <w:rsid w:val="7AB978D3"/>
    <w:rsid w:val="7AF1471D"/>
    <w:rsid w:val="7AF338F2"/>
    <w:rsid w:val="7AFE4400"/>
    <w:rsid w:val="7B1D5512"/>
    <w:rsid w:val="7B917CAE"/>
    <w:rsid w:val="7B9A1258"/>
    <w:rsid w:val="7BA06143"/>
    <w:rsid w:val="7BDD1E8F"/>
    <w:rsid w:val="7C32323F"/>
    <w:rsid w:val="7C442F72"/>
    <w:rsid w:val="7C5C4760"/>
    <w:rsid w:val="7C5E5F96"/>
    <w:rsid w:val="7CA02D78"/>
    <w:rsid w:val="7CCC5441"/>
    <w:rsid w:val="7D344D95"/>
    <w:rsid w:val="7D40373A"/>
    <w:rsid w:val="7D6504CC"/>
    <w:rsid w:val="7D902913"/>
    <w:rsid w:val="7DF06F0E"/>
    <w:rsid w:val="7E0155BF"/>
    <w:rsid w:val="7E026C41"/>
    <w:rsid w:val="7E2D0162"/>
    <w:rsid w:val="7E861620"/>
    <w:rsid w:val="7F606315"/>
    <w:rsid w:val="7F9D1317"/>
    <w:rsid w:val="7FC06DB4"/>
    <w:rsid w:val="7FCD09B5"/>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kern w:val="0"/>
      <w:sz w:val="27"/>
      <w:szCs w:val="27"/>
      <w:lang w:val="en-US" w:eastAsia="zh-CN" w:bidi="ar"/>
    </w:rPr>
  </w:style>
  <w:style w:type="paragraph" w:styleId="2">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next w:val="1"/>
    <w:qFormat/>
    <w:uiPriority w:val="0"/>
    <w:pPr>
      <w:spacing w:after="120"/>
    </w:pPr>
    <w:rPr>
      <w:rFonts w:ascii="Calibri" w:hAnsi="Calibri"/>
    </w:rPr>
  </w:style>
  <w:style w:type="paragraph" w:styleId="9">
    <w:name w:val="Plain Text"/>
    <w:basedOn w:val="1"/>
    <w:qFormat/>
    <w:uiPriority w:val="99"/>
    <w:rPr>
      <w:rFonts w:ascii="宋体" w:hAnsi="Courier New"/>
      <w:szCs w:val="21"/>
    </w:rPr>
  </w:style>
  <w:style w:type="paragraph" w:styleId="10">
    <w:name w:val="Date"/>
    <w:basedOn w:val="1"/>
    <w:next w:val="1"/>
    <w:qFormat/>
    <w:uiPriority w:val="0"/>
    <w:rPr>
      <w:sz w:val="28"/>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Title"/>
    <w:basedOn w:val="1"/>
    <w:next w:val="1"/>
    <w:qFormat/>
    <w:uiPriority w:val="0"/>
    <w:pPr>
      <w:jc w:val="center"/>
    </w:pPr>
    <w:rPr>
      <w:rFonts w:ascii="Arial Black" w:hAnsi="Arial Black" w:cs="Arial Black"/>
      <w:i/>
      <w:iCs/>
      <w:sz w:val="48"/>
      <w:szCs w:val="48"/>
    </w:rPr>
  </w:style>
  <w:style w:type="paragraph" w:styleId="17">
    <w:name w:val="annotation subject"/>
    <w:basedOn w:val="7"/>
    <w:next w:val="7"/>
    <w:qFormat/>
    <w:uiPriority w:val="0"/>
    <w:rPr>
      <w:rFonts w:ascii="宋体" w:hAnsi="Courier New"/>
      <w:szCs w:val="20"/>
    </w:rPr>
  </w:style>
  <w:style w:type="paragraph" w:styleId="18">
    <w:name w:val="Body Text First Indent"/>
    <w:basedOn w:val="8"/>
    <w:unhideWhenUsed/>
    <w:qFormat/>
    <w:uiPriority w:val="0"/>
    <w:pPr>
      <w:ind w:firstLine="420" w:firstLineChars="100"/>
    </w:p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null3"/>
    <w:hidden/>
    <w:qFormat/>
    <w:uiPriority w:val="0"/>
    <w:rPr>
      <w:rFonts w:hint="eastAsia" w:asciiTheme="minorHAnsi" w:hAnsiTheme="minorHAnsi" w:eastAsiaTheme="minorEastAsia" w:cstheme="minorBidi"/>
      <w:lang w:val="en-US" w:eastAsia="zh-Hans"/>
    </w:rPr>
  </w:style>
  <w:style w:type="paragraph" w:customStyle="1" w:styleId="29">
    <w:name w:val="正文（培训）"/>
    <w:basedOn w:val="1"/>
    <w:qFormat/>
    <w:uiPriority w:val="0"/>
    <w:pPr>
      <w:snapToGrid w:val="0"/>
      <w:spacing w:line="360" w:lineRule="auto"/>
      <w:ind w:firstLine="440"/>
    </w:pPr>
    <w:rPr>
      <w:rFonts w:ascii="冬青黑体简体中文 W3" w:hAnsi="冬青黑体简体中文 W3" w:eastAsia="冬青黑体简体中文 W3" w:cs="宋体"/>
      <w:szCs w:val="28"/>
    </w:rPr>
  </w:style>
  <w:style w:type="paragraph" w:customStyle="1"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14274</Words>
  <Characters>14807</Characters>
  <Lines>59</Lines>
  <Paragraphs>16</Paragraphs>
  <TotalTime>4</TotalTime>
  <ScaleCrop>false</ScaleCrop>
  <LinksUpToDate>false</LinksUpToDate>
  <CharactersWithSpaces>16199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戴真珠</cp:lastModifiedBy>
  <cp:lastPrinted>2023-09-13T03:56:00Z</cp:lastPrinted>
  <dcterms:modified xsi:type="dcterms:W3CDTF">2026-05-15T07:54:09Z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52F26AAE19AF4D1596947A8CAE3F99B9_13</vt:lpwstr>
  </property>
  <property fmtid="{D5CDD505-2E9C-101B-9397-08002B2CF9AE}" pid="4" name="KSOTemplateDocerSaveRecord">
    <vt:lpwstr>eyJoZGlkIjoiOWE2NmJmNzFjNzdmZTFiNzU1NDU5NDBmZjgyZDc1M2EiLCJ1c2VySWQiOiIzMDQ5NzY1NTYifQ==</vt:lpwstr>
  </property>
</Properties>
</file>