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ascii="宋体" w:hAnsi="宋体" w:eastAsia="宋体" w:cs="宋体"/>
          <w:b/>
          <w:bCs/>
          <w:i w:val="0"/>
          <w:iCs w:val="0"/>
          <w:caps w:val="0"/>
          <w:color w:val="393939"/>
          <w:spacing w:val="0"/>
          <w:sz w:val="72"/>
          <w:szCs w:val="72"/>
          <w:shd w:val="clear" w:fill="FFFFFF"/>
        </w:rPr>
        <w:t>福建省政府采购项目</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72"/>
          <w:szCs w:val="72"/>
          <w:shd w:val="clear" w:fill="FFFFFF"/>
        </w:rPr>
        <w:t>竞争性谈判文件</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泉州师范学院化工与材料学院高效液相色谱仪等实验教学仪器设备货物类采购项目</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C-SY-JT-202211-B0894-IDN</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[350500]HH[TP]2022003</w:t>
      </w:r>
    </w:p>
    <w:p>
      <w:pPr>
        <w:pStyle w:val="3"/>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p>
    <w:p>
      <w:pPr>
        <w:pStyle w:val="3"/>
        <w:keepNext w:val="0"/>
        <w:keepLines w:val="0"/>
        <w:widowControl/>
        <w:suppressLineNumbers w:val="0"/>
        <w:shd w:val="clear" w:fill="FFFFFF"/>
        <w:spacing w:before="75" w:beforeAutospacing="0" w:after="75" w:afterAutospacing="0"/>
        <w:ind w:left="0" w:right="0" w:firstLine="0"/>
        <w:rPr>
          <w:rStyle w:val="6"/>
          <w:rFonts w:hint="eastAsia" w:ascii="宋体" w:hAnsi="宋体" w:eastAsia="宋体" w:cs="宋体"/>
          <w:b/>
          <w:bCs/>
          <w:i w:val="0"/>
          <w:iCs w:val="0"/>
          <w:caps w:val="0"/>
          <w:color w:val="393939"/>
          <w:spacing w:val="0"/>
          <w:sz w:val="24"/>
          <w:szCs w:val="24"/>
          <w:shd w:val="clear" w:fill="FFFFFF"/>
        </w:rPr>
      </w:pPr>
    </w:p>
    <w:p>
      <w:pPr>
        <w:keepNext w:val="0"/>
        <w:keepLines w:val="0"/>
        <w:widowControl/>
        <w:suppressLineNumbers w:val="0"/>
        <w:jc w:val="left"/>
      </w:pPr>
      <w:r>
        <w:rPr>
          <w:rStyle w:val="6"/>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福建恒丰招标有限公司</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2022年12月</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化工与材料学院高效液相色谱仪等实验教学仪器设备货物类采购项目项目（以下简称：“本项目”）的政府采购活动，现欢迎国内合格的供应商前来参加。本项目由采购人委托福建恒丰招标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1.项目名称：泉州师范学院化工与材料学院高效液相色谱仪等实验教学仪器设备货物类采购项目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2.备案编号：C-SY-JT-202211-B0894-IDN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3.项目编号：[350500]HH[TP]2022003</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4"/>
        <w:tblW w:w="569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414"/>
        <w:gridCol w:w="1684"/>
        <w:gridCol w:w="1203"/>
        <w:gridCol w:w="937"/>
        <w:gridCol w:w="470"/>
        <w:gridCol w:w="955"/>
        <w:gridCol w:w="855"/>
        <w:gridCol w:w="1108"/>
        <w:gridCol w:w="10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4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1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88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6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49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4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45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8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2989" w:type="pct"/>
            <w:gridSpan w:val="6"/>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4999"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70"/>
              <w:gridCol w:w="1632"/>
              <w:gridCol w:w="1183"/>
              <w:gridCol w:w="938"/>
              <w:gridCol w:w="470"/>
              <w:gridCol w:w="938"/>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高效液相色谱仪</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超纯水机</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42000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紫外可见分光光度计</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198000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荧光显微镜(倒置)</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165000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石蜡切片机</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二氧化碳培养箱</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45000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台式高速冷冻离心机</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全自动旋转式压片机</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50000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荧光分光光度计</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198000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1-10</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平行合成反应仪</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129000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1-11</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实时荧光定量PCR</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120000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1-12</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光学显微镜（倒置）</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105000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1-13</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光学显微镜（正置）</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45000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1-14</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光催化反应器</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62000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1-15</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电转化仪</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1-16</w:t>
                  </w:r>
                </w:p>
              </w:tc>
              <w:tc>
                <w:tcPr>
                  <w:tcW w:w="1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雪花制冰机</w:t>
                  </w:r>
                </w:p>
              </w:tc>
              <w:tc>
                <w:tcPr>
                  <w:tcW w:w="10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18000</w:t>
                  </w:r>
                </w:p>
              </w:tc>
              <w:tc>
                <w:tcPr>
                  <w:tcW w:w="4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45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1672000</w:t>
            </w:r>
          </w:p>
        </w:tc>
        <w:tc>
          <w:tcPr>
            <w:tcW w:w="58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1672000</w:t>
            </w:r>
          </w:p>
        </w:tc>
        <w:tc>
          <w:tcPr>
            <w:tcW w:w="5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进口产品，适用于（合同包一）。节能产品，适用于（合同包一），按照第 期节能清单执行。环境标志产品，适用于（合同包一），按照第 期环境标志清单执行。信息安全产品，适用于（合同包一）。小型、微型企业，适用于（合同包一）。监狱企业，适用于（合同包一）。促进残疾人就业 ，适用于（合同包一）。信用记录，适用于（合同包一），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6"/>
          <w:rFonts w:hint="eastAsia" w:ascii="宋体" w:hAnsi="宋体" w:eastAsia="宋体" w:cs="宋体"/>
          <w:b/>
          <w:bCs/>
          <w:spacing w:val="0"/>
          <w:sz w:val="24"/>
          <w:szCs w:val="24"/>
          <w:shd w:val="clear" w:fill="FFFFFF"/>
        </w:rPr>
        <w:t>包：1</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企业采购项目，不接受非中小企业参与投标。投标人须按本招标文件第七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w:t>
      </w:r>
      <w:r>
        <w:rPr>
          <w:rStyle w:val="6"/>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联系人：陈燕青</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联系方法：15060982707</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代理机构：福建恒丰招标有限公司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址：泉州市丰泽区东湖街道东湖街金贸大厦B204室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联系人：林潍薇</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联系方法：059522336918</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Style w:val="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开户名称：福建恒丰招标有限公司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6"/>
          <w:rFonts w:ascii="宋体" w:hAnsi="宋体" w:eastAsia="宋体" w:cs="宋体"/>
          <w:b/>
          <w:bCs/>
          <w:kern w:val="0"/>
          <w:sz w:val="24"/>
          <w:szCs w:val="24"/>
          <w:lang w:val="en-US" w:eastAsia="zh-CN" w:bidi="ar"/>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r>
        <w:rPr>
          <w:rStyle w:val="6"/>
          <w:rFonts w:hint="eastAsia" w:ascii="宋体" w:hAnsi="宋体" w:eastAsia="宋体" w:cs="宋体"/>
          <w:b/>
          <w:bCs/>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Style w:val="4"/>
        <w:tblW w:w="9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02"/>
        <w:gridCol w:w="810"/>
        <w:gridCol w:w="80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9"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项号</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条款号</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8"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37"/>
              <w:gridCol w:w="43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shd w:val="clear" w:fill="FFFFFF"/>
              </w:rPr>
              <w:t>包：1</w:t>
            </w:r>
          </w:p>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37"/>
              <w:gridCol w:w="43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企业采购项目，不接受非中小企业参与投标。投标人须按本招标文件第七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7"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66"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63"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9"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01"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9"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24"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8"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b/>
                <w:bCs/>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43"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72"/>
              <w:gridCol w:w="1572"/>
              <w:gridCol w:w="47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成交人在签订合同前需向采购人缴纳合同金额2%的履约保证金，该保证金在成交人供应的货物全部验收合格，合同约定事项全部履行完毕且无未了事项后，30日内一次性无息退还。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10" w:hRule="atLeast"/>
        </w:trPr>
        <w:tc>
          <w:tcPr>
            <w:tcW w:w="50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7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817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成交人</w:t>
            </w:r>
            <w:r>
              <w:rPr>
                <w:rStyle w:val="6"/>
                <w:rFonts w:hint="eastAsia" w:ascii="宋体" w:hAnsi="宋体" w:eastAsia="宋体" w:cs="宋体"/>
                <w:b/>
                <w:bCs/>
                <w:spacing w:val="0"/>
                <w:sz w:val="24"/>
                <w:szCs w:val="24"/>
              </w:rPr>
              <w:t>支付。</w:t>
            </w: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(2)其他：</w:t>
            </w:r>
            <w:r>
              <w:rPr>
                <w:rFonts w:hint="eastAsia" w:ascii="宋体" w:hAnsi="宋体" w:eastAsia="宋体" w:cs="宋体"/>
                <w:b/>
                <w:bCs/>
                <w:spacing w:val="0"/>
                <w:sz w:val="24"/>
                <w:szCs w:val="24"/>
              </w:rPr>
              <w:t>(1)本项目代理服务费由中标（成交）人支付。 (2)其他：1、1.1网上报名：登录福建省政府采购网泉州分网（泉州市政府采购网）http://61.131.58.48/（自行下载供应商手册，按手册指引操作）。 1.2请投标人及时进行网上报名并提前办理CA。 2、招标代理服务费： 2.1本项目的招标代理服务费由中标人承担，应依据下列代理服务收费标准（差额定率累进法）计算：中标金额（万元）：100以下收取比例：1.5%，100-500：1.1%。 2.2 代理服务费以人民币支付。 2.3 代理服务费的交纳方式：银行转账、电汇或现金。 2.4 服务费缴交账户: 开户行：民生银行泉州鲤城支行 户名：福建恒丰招标有限公司 账号：154454100 3、联系电话：0595-22336918、E-mail: fjhfzb@163.com 4、所有资格证明文件应是最新、有效、清晰的。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5、质疑受理的其它要求：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d.投标人对本项目招标文件有任何疑议或不认同之处，需在法定时间内按规定提出质疑，否则视为投标人接受招标文件的规定。 6、我司将通过电子邮件方式向参与本项目的所有未中标供应商发送《未中标通知书》电子扫描件，告知其各自的得分及排名情况。投标人授权代表在中标结果公告发布之日起登录各自预留的电子邮箱账号查看。投标人递交投标文件时未填写正确有效的电子邮箱的或未按以上约定的时间和方式获取告知信息的，视为自动放弃获知结果并自行承担后果。7、解释权：采购人或采购代理机构拥有本项目招标文件的最终解释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7" w:hRule="atLeast"/>
        </w:trPr>
        <w:tc>
          <w:tcPr>
            <w:tcW w:w="503" w:type="dxa"/>
            <w:tcBorders>
              <w:top w:val="single" w:color="000000" w:sz="6" w:space="0"/>
              <w:left w:val="single" w:color="000000" w:sz="6"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724" w:type="dxa"/>
            <w:tcBorders>
              <w:top w:val="single" w:color="000000" w:sz="6" w:space="0"/>
              <w:left w:val="single" w:color="000000" w:sz="6"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pPr>
          </w:p>
        </w:tc>
        <w:tc>
          <w:tcPr>
            <w:tcW w:w="8171" w:type="dxa"/>
            <w:tcBorders>
              <w:top w:val="single" w:color="000000" w:sz="6" w:space="0"/>
              <w:left w:val="single" w:color="000000" w:sz="6"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left"/>
            </w:pPr>
            <w:r>
              <w:rPr>
                <w:rStyle w:val="6"/>
                <w:rFonts w:hint="eastAsia" w:ascii="宋体" w:hAnsi="宋体" w:eastAsia="宋体" w:cs="宋体"/>
                <w:b/>
                <w:bCs/>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6" w:hRule="atLeast"/>
        </w:trPr>
        <w:tc>
          <w:tcPr>
            <w:tcW w:w="5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817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rPr>
              <w:t>合同签订时限：自中标通知书发出之日起30个日历日内。</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Style w:val="4"/>
        <w:tblW w:w="94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0"/>
        <w:gridCol w:w="88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41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b/>
                <w:bCs/>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8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8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b/>
                <w:bCs/>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b/>
                <w:bCs/>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b/>
                <w:bCs/>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rPr>
              <w:t>⑾关于首次</w:t>
            </w:r>
            <w:r>
              <w:rPr>
                <w:rFonts w:hint="eastAsia" w:ascii="宋体" w:hAnsi="宋体" w:eastAsia="宋体" w:cs="宋体"/>
              </w:rPr>
              <w:t>响应文件递交截止时间</w:t>
            </w:r>
            <w:r>
              <w:rPr>
                <w:rFonts w:hint="eastAsia" w:ascii="宋体" w:hAnsi="宋体" w:eastAsia="宋体" w:cs="宋体"/>
                <w:spacing w:val="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b/>
                <w:bCs/>
                <w:spacing w:val="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b.有下列情形之一的，</w:t>
            </w:r>
            <w:r>
              <w:rPr>
                <w:rStyle w:val="6"/>
                <w:rFonts w:hint="eastAsia" w:ascii="宋体" w:hAnsi="宋体" w:eastAsia="宋体" w:cs="宋体"/>
                <w:b/>
                <w:bCs/>
                <w:spacing w:val="0"/>
              </w:rPr>
              <w:t>该响应文件无效，相应供应商的谈判将被否决,</w:t>
            </w:r>
            <w:r>
              <w:rPr>
                <w:rFonts w:hint="eastAsia" w:ascii="宋体" w:hAnsi="宋体" w:eastAsia="宋体" w:cs="宋体"/>
                <w:spacing w:val="0"/>
              </w:rPr>
              <w:t>其保证金不予退还</w:t>
            </w:r>
            <w:r>
              <w:rPr>
                <w:rStyle w:val="6"/>
                <w:rFonts w:hint="eastAsia" w:ascii="宋体" w:hAnsi="宋体" w:eastAsia="宋体" w:cs="宋体"/>
                <w:b/>
                <w:bCs/>
                <w:spacing w:val="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b2不同供应商的</w:t>
            </w:r>
            <w:r>
              <w:rPr>
                <w:rFonts w:hint="eastAsia" w:ascii="宋体" w:hAnsi="宋体" w:eastAsia="宋体" w:cs="宋体"/>
              </w:rPr>
              <w:t>报价保证金</w:t>
            </w:r>
            <w:r>
              <w:rPr>
                <w:rFonts w:hint="eastAsia" w:ascii="宋体" w:hAnsi="宋体" w:eastAsia="宋体" w:cs="宋体"/>
                <w:spacing w:val="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b/>
          <w:bCs/>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无 。</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b/>
          <w:bCs/>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b/>
          <w:bCs/>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b/>
          <w:bCs/>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b/>
          <w:bCs/>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b/>
          <w:bCs/>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b/>
          <w:bCs/>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b/>
          <w:bCs/>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6"/>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符合招标文件要求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符合招标文件要求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before="0" w:beforeAutospacing="0" w:after="150" w:afterAutospacing="0" w:line="465" w:lineRule="atLeast"/>
        <w:ind w:left="0" w:right="0"/>
      </w:pPr>
      <w:r>
        <w:rPr>
          <w:rFonts w:hint="eastAsia" w:ascii="宋体" w:hAnsi="宋体" w:eastAsia="宋体" w:cs="宋体"/>
          <w:sz w:val="24"/>
          <w:szCs w:val="24"/>
        </w:rPr>
        <w:t>本项目购置的高效液相色谱、荧光分光光度计和紫外可见分光光度计是中国药典中最常用到的光谱分析手段。纯水机、制冰机和切片机等是药物样品预处理必须使用到的基础配套设备，高速离心机、二氧化碳培养箱和定量荧光PCR是生物制药微生物培养过程中需要用到的样品处理设备。平行合成反应仪和光催化平行反应仪也是药物合成最新的反应技术设备，此次申购的专业设备仪器适用于制药工程专业的相关配套教学实验内容的开展。</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tbl>
      <w:tblPr>
        <w:tblStyle w:val="4"/>
        <w:tblW w:w="94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32"/>
        <w:gridCol w:w="654"/>
        <w:gridCol w:w="799"/>
        <w:gridCol w:w="5280"/>
        <w:gridCol w:w="720"/>
        <w:gridCol w:w="570"/>
        <w:gridCol w:w="10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合同包</w:t>
            </w:r>
          </w:p>
        </w:tc>
        <w:tc>
          <w:tcPr>
            <w:tcW w:w="6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品目号</w:t>
            </w:r>
          </w:p>
        </w:tc>
        <w:tc>
          <w:tcPr>
            <w:tcW w:w="79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商品名 称</w:t>
            </w:r>
          </w:p>
        </w:tc>
        <w:tc>
          <w:tcPr>
            <w:tcW w:w="52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参数及规格</w:t>
            </w:r>
          </w:p>
        </w:tc>
        <w:tc>
          <w:tcPr>
            <w:tcW w:w="7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计量单位</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数量</w:t>
            </w:r>
          </w:p>
        </w:tc>
        <w:tc>
          <w:tcPr>
            <w:tcW w:w="10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单价（元）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高效液相色谱仪</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1.输液泵：</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1.1泵类型：低脉动高精度串联式双柱塞高效液相色谱泵</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1.2混合溶剂数：</w:t>
            </w:r>
            <w:r>
              <w:rPr>
                <w:rFonts w:hint="eastAsia" w:ascii="宋体" w:hAnsi="宋体" w:eastAsia="宋体" w:cs="宋体"/>
                <w:color w:val="000000"/>
                <w:sz w:val="24"/>
                <w:szCs w:val="24"/>
              </w:rPr>
              <w:t>二元高压梯度混合</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1.3流量范围：0.0001～10.0000 mL/min，设置步长：0.0001mL/min</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1.4、流量准确度：≤±0.2%</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1.5、流量稳定 性：≤0.05%</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1.6、最高工作压力：90MPa</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1.7、压力脉动：≤0.07MPa</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1.8、压力显示误差：≤2%或±0.3MPa（取大值）</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1.9、梯度组成比例：0～100%（可设定范围），增量0.01%</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1.10、梯度混合精度：≤0.1%</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1.11、梯度混合准确度：±0.5%，不随反压变化</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1.12、通讯方式：网络通讯</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1.13、漏液报警：具有安全特性的漏液传感器，双漏液传感器；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1.14、限压报警：高压、低压限制，0～90MPa可设定</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1.15、柱塞清洗：不清洗、间歇清洗、持续清洗，可编程；清洗隔膜泵免维护；</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1.16、清洗功能：在线柱塞清洗（开机/可编程）</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1.17、柱塞密封：采用两级悬浮传动技术，采用驱动悬浮技术，结合优质泵头的悬浮术塞杆设   计，延长密封圈使用寿命。</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1.18、脉动阻尼：采用全新设 计的脉动阻尼器结合高压混合系统，实现稳定输液</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1.19、流量双校正功能：全范围流量压缩系数和流动相调整系数分段线性调节功能;</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1.20、混合设 计：多级微孔设 计和迷宫设   计，使得混合更均匀，可满足1:99的双流路混合应用</w:t>
            </w:r>
            <w:r>
              <w:rPr>
                <w:rStyle w:val="6"/>
                <w:rFonts w:hint="eastAsia" w:ascii="宋体" w:hAnsi="宋体" w:eastAsia="宋体" w:cs="宋体"/>
                <w:b/>
                <w:bCs/>
                <w:sz w:val="24"/>
                <w:szCs w:val="24"/>
              </w:rPr>
              <w:t>（需提供材料混合器设 计图及应用实验效果图佐证）</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2.自动进样器：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2.1、样范围：0～100uL</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2.2、进样方式：满环进样、无损进样、有损进样</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2.3、进样重复性：＜0.2%</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2.4、进样线性：R2＞0.999</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2.5、样品残留：＜0.002%</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2.6、样品瓶数量及规格：2mL样品瓶120位；兼容4.0mL样品瓶及96孔板</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2.7、最高耐压：90MPa</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2.8、进样速度：最快10s以下</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2.9、通讯方式：网络通讯</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2.10、进样针：采用侧开孔防堵塞设   计，具有穿刺功能</w:t>
            </w:r>
            <w:r>
              <w:rPr>
                <w:rStyle w:val="6"/>
                <w:rFonts w:hint="eastAsia" w:ascii="宋体" w:hAnsi="宋体" w:eastAsia="宋体" w:cs="宋体"/>
                <w:b/>
                <w:bCs/>
                <w:sz w:val="24"/>
                <w:szCs w:val="24"/>
              </w:rPr>
              <w:t>（需提供设 计图及实物图佐证）</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2.11、漏液报警：具有安全特性的漏液传感器，双漏液传感器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2.12、进样针清洗：进样前后任意设定；针外壁及内壁清洗功能</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2.13、进样触发功能：数字模式，模拟模式</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2.14、样品预处理功能：自动稀释、自动衍生功能可编程</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2.15、工作方式：XYZ定位，托盘与进样针同时运行，提高进样速度</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3.柱温箱：</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3.1、控温温度范围：室温+5～85℃</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3.2、加热方式：空气循环加热，减小温度梯度，使柱温箱腔体内部温度更均匀</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3.3、最高报警温度：90℃</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3.4、温度精度：≤0.1℃</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3.5、温度准确性：±0.1℃</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3.6、升温温度时间：＜30min</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3.7、温度冲程：＜1.0℃</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3.8、色谱柱容量：容纳3支300mm色谱柱；2个色谱柱切换阀</w:t>
            </w:r>
            <w:r>
              <w:rPr>
                <w:rStyle w:val="6"/>
                <w:rFonts w:hint="eastAsia" w:ascii="宋体" w:hAnsi="宋体" w:eastAsia="宋体" w:cs="宋体"/>
                <w:b/>
                <w:bCs/>
                <w:sz w:val="24"/>
                <w:szCs w:val="24"/>
              </w:rPr>
              <w:t>。</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3.9、漏液报警：具有安全特性的漏液传感器，双漏液传感器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3.10、温度报警：防止过热保护元件</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4、二极管阵列型检测器：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4.1、光源：氘灯</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4.2、波长范围：190～800nm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4.3、波长校验：开机自检波长校验功能，氘灯656.1nm特征谱线；多点标准物质波长校准，提高波长准确性</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4.4、阵列分辨率：1.2nm/0.6nm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4.5、光谱分辨率：2.4nm（狭缝100um）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4.6、波长准确度：±1nm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4.7、波长重复性：≤±0.1nm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4.8、漂移：≤2.0×10-4 AU/h</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4.9、噪音：≤±1.0×10-5 AU</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4.10、线性：≥2.0AU</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4.11、检测池：分析池（光程：10mm，池体积：11μL）</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半微量池（光程：5mm，池体积：2.5μL）</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4.12、检测池耐压：8Mpa（1160psi）</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4.13、最小检测浓度：≤7.0×10-9 g/mL</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4.14、采样频率：2～20Hz可调</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4.15、曝光时间：25～100ms可调</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4.16、参比波长：190～800nm灵活设置，拓宽用户使用需求</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4.17、滤波功能：全新滤波方式，增强低频采集频率信噪比，提高检测灵敏度</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4.18、波长通道：四通道</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4.19、光路设 计：特有的离轴非球面反射镜系统光路，减小像差，消除像散。</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4.20、检测池管路：1/32"连接管路,保证低死体积；</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4.21、光源更换：光源可前置更换；</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4.22、电源控制：全开关电源控制系统，可实现线性电源低纹波，低噪音；</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4.23、屏蔽设 计：采用星型接地系统，保证检测器的良好接地，弱信号完美采集；</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4.24、风道设 计：采用独立风道系统设   计，光电腔室、热源腔室隔离，以保证检测器低漂移；</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4.25、漏液报警：具有安全特性的漏液传感器，双漏液传感器；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5、软件操作系统：</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5.1、操作系统：中英文两种语言，支持Windows 7及更高版本</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5.2、完善的序列分析，双向实时反馈,完全满足国家GMP要求。</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5.3、安全性支持：系统管理功能可满足各种工作流程的安全性需求。提供了对数据库中存储的分析数据的多级访问管理和电子审批。</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5.4、数据存储：具有可升级的完备的数据库存储功能，安全性符合CFDA要求</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5.5、报告格式：可任意编制组合不同项目定制报告，也可选择报告模板</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5.6、用户管理：管理员、审核员、分析员等用户角色管理，对设置、新建、编辑、查看、控制等权限进行设置和管理。</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5.7、控制功能：可以同时控制4套仪器或者设备。</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5.8、密码安全：密码具有有效期设置、最小长度设置及警告天数设置功能。</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5.9、可选择放弃采集后生成色谱图。</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5.10、可设置登录对话框中禁用用户名列表。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5.11、可设置文件变更强制填写变更原因。</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5.12、可实时监控并采集压力、温度等辅助信号。</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5.13、消耗品管理：可查看消耗品使用数据，并管理消耗品更换记录。</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5.14、数据搜索：可在数据树形目录下根据时间区间和文件名模糊查询功能。</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5.15、SST结果表对选择参数计算平均值及RSD，系统自动判断结果是否在规定范围内，并显示判断结果。</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5.16、批处理功能：可选择谱图对方法、积分、打印、导出等进行批量变更处理。</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5.17、故障诊断：软件具有故障诊断与报错功能，可根据故障编号对应故障位置。</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5.18、完善的序列分析，双向实时反馈,完全满足国家GMP要</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6、桌面型通风柜：</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6.1、桌面型通风柜：全钢结构，带上下推拉窗</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7、实验台：</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7.1、实验台：尺寸5000*750*850mm，台面采用12.7mm实芯理化板，台面板依据“GB/T 17657-2013”检测方法，“密度”检测结果需≥1.54g/cm3，“板面握螺钉力”检测结果达到≥3400N</w:t>
            </w:r>
            <w:r>
              <w:rPr>
                <w:rStyle w:val="6"/>
                <w:rFonts w:hint="eastAsia" w:ascii="宋体" w:hAnsi="宋体" w:eastAsia="宋体" w:cs="宋体"/>
                <w:b/>
                <w:bCs/>
                <w:sz w:val="24"/>
                <w:szCs w:val="24"/>
              </w:rPr>
              <w:t>（需提供国家认可的检测机构出具的检测报告复印件）</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8、仪器专用台式电脑（含仪器软件操作系统）：</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8.1.处理器：intel i5</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8.2.内存：≥8GB</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8.3.硬盘空间：≥1T</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8.4.显示器：≥21.5寸</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9、配置：</w:t>
            </w:r>
          </w:p>
          <w:p>
            <w:pPr>
              <w:pStyle w:val="3"/>
              <w:keepNext w:val="0"/>
              <w:keepLines w:val="0"/>
              <w:widowControl/>
              <w:suppressLineNumbers w:val="0"/>
              <w:wordWrap w:val="0"/>
              <w:spacing w:before="0" w:beforeAutospacing="0" w:after="150" w:afterAutospacing="0"/>
              <w:ind w:left="0" w:right="0" w:firstLine="240"/>
            </w:pPr>
            <w:r>
              <w:rPr>
                <w:rFonts w:hint="eastAsia" w:ascii="宋体" w:hAnsi="宋体" w:eastAsia="宋体" w:cs="宋体"/>
                <w:sz w:val="24"/>
                <w:szCs w:val="24"/>
              </w:rPr>
              <w:t>输液泵1台；自动进样器1台；柱温箱1台；二极管阵列型检测器1台；软件操作系统1套；桌面型通风柜2个；实验台 1座，仪器专用台式电脑 1套；溶剂瓶托盘1个；C18色谱柱3根；系统工具包1个；无色溶剂瓶2个；抽滤系统1套；流动相瓶安全盖/废液安全盖套装1套</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超纯水机</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1、产水量（25℃）：≥20 L/H ，瞬间取水量1.5～2   L/min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2、RO纯水指标：电导率≤1μs/cm   @25℃；有机物去除率＞99%；微粒和细菌去除率＞99%；吸光度（254 nm，1cm光程）≤0.001；脱盐率：96%～99%；蒸发残渣（105±2℃）≤1.0 mg/L；可氧化物质（以O计）≤0.08 mg/L；可溶性硅（以SiO2计）≤0.02mg/L；UP超纯水指标：电阻率18.25 MΩ.cm@25℃；可溶性硅（Si02计）&lt;0.01mg/L；</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3、整机表面光洁、平整，内部各部件密封性能好，带电线路与非带电零件或外壳间的绝缘电阻≥100 MΩ；整机电路系统采用最先进电磁兼容技术，带电线路与非带电零件或外壳间的绝缘电阻≥100 MΩ；整机电路系统采用最先进电磁兼容技术，带电线路和外壳间承受50Hz、1250V，2min以上的耐压试验，抗干扰能力强，提供相关证明</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4、主机配有185nm和254nm的UV双波长紫外消解系统；终端囊式精制过滤；MG热原去除装置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5、整机全自动且智能化控制，微电脑PLC、DSP芯片CPU嵌入式设   计，三种操作系统可随意切换</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6、配置：主机1台，30升无菌纯水箱1个，远距离移动取水手臂1套；预处理滤芯1套；CFS模块1套；PFS模块1套；CRF模块1套；囊式终端过滤器1套</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紫外可见分光光度计</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r>
              <w:rPr>
                <w:rFonts w:hint="eastAsia" w:ascii="宋体" w:hAnsi="宋体" w:eastAsia="宋体" w:cs="宋体"/>
                <w:sz w:val="24"/>
                <w:szCs w:val="24"/>
                <w:shd w:val="clear" w:fill="FFFFFF"/>
              </w:rPr>
              <w:t>波长范围：190</w:t>
            </w:r>
            <w:r>
              <w:rPr>
                <w:rFonts w:hint="eastAsia" w:ascii="宋体" w:hAnsi="宋体" w:eastAsia="宋体" w:cs="宋体"/>
                <w:sz w:val="24"/>
                <w:szCs w:val="24"/>
              </w:rPr>
              <w:t>～</w:t>
            </w:r>
            <w:r>
              <w:rPr>
                <w:rFonts w:hint="eastAsia" w:ascii="宋体" w:hAnsi="宋体" w:eastAsia="宋体" w:cs="宋体"/>
                <w:sz w:val="24"/>
                <w:szCs w:val="24"/>
                <w:shd w:val="clear" w:fill="FFFFFF"/>
              </w:rPr>
              <w:t>1100nm </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w:t>
            </w:r>
            <w:r>
              <w:rPr>
                <w:rFonts w:hint="eastAsia" w:ascii="宋体" w:hAnsi="宋体" w:eastAsia="宋体" w:cs="宋体"/>
                <w:sz w:val="24"/>
                <w:szCs w:val="24"/>
              </w:rPr>
              <w:t>2、光谱带宽：2nm </w:t>
            </w:r>
            <w:r>
              <w:rPr>
                <w:rFonts w:hint="eastAsia" w:ascii="宋体" w:hAnsi="宋体" w:eastAsia="宋体" w:cs="宋体"/>
                <w:sz w:val="24"/>
                <w:szCs w:val="24"/>
              </w:rPr>
              <w:br w:type="textWrapping"/>
            </w:r>
            <w:r>
              <w:rPr>
                <w:rFonts w:hint="eastAsia" w:ascii="宋体" w:hAnsi="宋体" w:eastAsia="宋体" w:cs="宋体"/>
                <w:sz w:val="24"/>
                <w:szCs w:val="24"/>
              </w:rPr>
              <w:t>    3、波长准确度：±0.5nm </w:t>
            </w:r>
            <w:r>
              <w:rPr>
                <w:rFonts w:hint="eastAsia" w:ascii="宋体" w:hAnsi="宋体" w:eastAsia="宋体" w:cs="宋体"/>
                <w:sz w:val="24"/>
                <w:szCs w:val="24"/>
              </w:rPr>
              <w:br w:type="textWrapping"/>
            </w:r>
            <w:r>
              <w:rPr>
                <w:rFonts w:hint="eastAsia" w:ascii="宋体" w:hAnsi="宋体" w:eastAsia="宋体" w:cs="宋体"/>
                <w:sz w:val="24"/>
                <w:szCs w:val="24"/>
              </w:rPr>
              <w:t>    4、波长重复性：≤0.2nm </w:t>
            </w:r>
            <w:r>
              <w:rPr>
                <w:rFonts w:hint="eastAsia" w:ascii="宋体" w:hAnsi="宋体" w:eastAsia="宋体" w:cs="宋体"/>
                <w:sz w:val="24"/>
                <w:szCs w:val="24"/>
              </w:rPr>
              <w:br w:type="textWrapping"/>
            </w:r>
            <w:r>
              <w:rPr>
                <w:rFonts w:hint="eastAsia" w:ascii="宋体" w:hAnsi="宋体" w:eastAsia="宋体" w:cs="宋体"/>
                <w:sz w:val="24"/>
                <w:szCs w:val="24"/>
              </w:rPr>
              <w:t>    5、光度准确度：0.3%T (0～100%T)、±0.002A(0-0.5A)、±0.004A(0.5～1A) </w:t>
            </w:r>
            <w:r>
              <w:rPr>
                <w:rFonts w:hint="eastAsia" w:ascii="宋体" w:hAnsi="宋体" w:eastAsia="宋体" w:cs="宋体"/>
                <w:sz w:val="24"/>
                <w:szCs w:val="24"/>
              </w:rPr>
              <w:br w:type="textWrapping"/>
            </w:r>
            <w:r>
              <w:rPr>
                <w:rFonts w:hint="eastAsia" w:ascii="宋体" w:hAnsi="宋体" w:eastAsia="宋体" w:cs="宋体"/>
                <w:sz w:val="24"/>
                <w:szCs w:val="24"/>
              </w:rPr>
              <w:t>    6、光度重复性：≤0.15%T (0～100%T)、0.001A(0-0.5A)、0.002A(0.5～1A) </w:t>
            </w:r>
            <w:r>
              <w:rPr>
                <w:rFonts w:hint="eastAsia" w:ascii="宋体" w:hAnsi="宋体" w:eastAsia="宋体" w:cs="宋体"/>
                <w:sz w:val="24"/>
                <w:szCs w:val="24"/>
              </w:rPr>
              <w:br w:type="textWrapping"/>
            </w:r>
            <w:r>
              <w:rPr>
                <w:rFonts w:hint="eastAsia" w:ascii="宋体" w:hAnsi="宋体" w:eastAsia="宋体" w:cs="宋体"/>
                <w:sz w:val="24"/>
                <w:szCs w:val="24"/>
              </w:rPr>
              <w:t>    7、杂散光：≤0.05%T＠220nm ,     360nm </w:t>
            </w:r>
            <w:r>
              <w:rPr>
                <w:rFonts w:hint="eastAsia" w:ascii="宋体" w:hAnsi="宋体" w:eastAsia="宋体" w:cs="宋体"/>
                <w:sz w:val="24"/>
                <w:szCs w:val="24"/>
              </w:rPr>
              <w:br w:type="textWrapping"/>
            </w:r>
            <w:r>
              <w:rPr>
                <w:rFonts w:hint="eastAsia" w:ascii="宋体" w:hAnsi="宋体" w:eastAsia="宋体" w:cs="宋体"/>
                <w:sz w:val="24"/>
                <w:szCs w:val="24"/>
              </w:rPr>
              <w:t>    8、稳定 性：±0.001A/h ＠500nm </w:t>
            </w:r>
            <w:r>
              <w:rPr>
                <w:rFonts w:hint="eastAsia" w:ascii="宋体" w:hAnsi="宋体" w:eastAsia="宋体" w:cs="宋体"/>
                <w:sz w:val="24"/>
                <w:szCs w:val="24"/>
              </w:rPr>
              <w:br w:type="textWrapping"/>
            </w:r>
            <w:r>
              <w:rPr>
                <w:rFonts w:hint="eastAsia" w:ascii="宋体" w:hAnsi="宋体" w:eastAsia="宋体" w:cs="宋体"/>
                <w:sz w:val="24"/>
                <w:szCs w:val="24"/>
              </w:rPr>
              <w:t>    9、基线平直度：±0.0015A </w:t>
            </w:r>
            <w:r>
              <w:rPr>
                <w:rFonts w:hint="eastAsia" w:ascii="宋体" w:hAnsi="宋体" w:eastAsia="宋体" w:cs="宋体"/>
                <w:sz w:val="24"/>
                <w:szCs w:val="24"/>
              </w:rPr>
              <w:br w:type="textWrapping"/>
            </w:r>
            <w:r>
              <w:rPr>
                <w:rFonts w:hint="eastAsia" w:ascii="宋体" w:hAnsi="宋体" w:eastAsia="宋体" w:cs="宋体"/>
                <w:sz w:val="24"/>
                <w:szCs w:val="24"/>
              </w:rPr>
              <w:t>    10、噪声：±0.0005A </w:t>
            </w:r>
            <w:r>
              <w:rPr>
                <w:rFonts w:hint="eastAsia" w:ascii="宋体" w:hAnsi="宋体" w:eastAsia="宋体" w:cs="宋体"/>
                <w:sz w:val="24"/>
                <w:szCs w:val="24"/>
              </w:rPr>
              <w:br w:type="textWrapping"/>
            </w:r>
            <w:r>
              <w:rPr>
                <w:rFonts w:hint="eastAsia" w:ascii="宋体" w:hAnsi="宋体" w:eastAsia="宋体" w:cs="宋体"/>
                <w:sz w:val="24"/>
                <w:szCs w:val="24"/>
              </w:rPr>
              <w:t>    11、显示方式：320*240分辨率大屏幕液晶显示 </w:t>
            </w:r>
            <w:r>
              <w:rPr>
                <w:rFonts w:hint="eastAsia" w:ascii="宋体" w:hAnsi="宋体" w:eastAsia="宋体" w:cs="宋体"/>
                <w:sz w:val="24"/>
                <w:szCs w:val="24"/>
              </w:rPr>
              <w:br w:type="textWrapping"/>
            </w:r>
            <w:r>
              <w:rPr>
                <w:rFonts w:hint="eastAsia" w:ascii="宋体" w:hAnsi="宋体" w:eastAsia="宋体" w:cs="宋体"/>
                <w:sz w:val="24"/>
                <w:szCs w:val="24"/>
              </w:rPr>
              <w:t>    12、工作方式：T,A,C，E</w:t>
            </w:r>
            <w:r>
              <w:rPr>
                <w:rFonts w:hint="eastAsia" w:ascii="宋体" w:hAnsi="宋体" w:eastAsia="宋体" w:cs="宋体"/>
                <w:sz w:val="24"/>
                <w:szCs w:val="24"/>
              </w:rPr>
              <w:br w:type="textWrapping"/>
            </w:r>
            <w:r>
              <w:rPr>
                <w:rFonts w:hint="eastAsia" w:ascii="宋体" w:hAnsi="宋体" w:eastAsia="宋体" w:cs="宋体"/>
                <w:sz w:val="24"/>
                <w:szCs w:val="24"/>
              </w:rPr>
              <w:t>    13、扫描速度：高、中、低三档可选，最高3800nm/min</w:t>
            </w:r>
            <w:r>
              <w:rPr>
                <w:rFonts w:hint="eastAsia" w:ascii="宋体" w:hAnsi="宋体" w:eastAsia="宋体" w:cs="宋体"/>
                <w:sz w:val="24"/>
                <w:szCs w:val="24"/>
              </w:rPr>
              <w:br w:type="textWrapping"/>
            </w:r>
            <w:r>
              <w:rPr>
                <w:rFonts w:hint="eastAsia" w:ascii="宋体" w:hAnsi="宋体" w:eastAsia="宋体" w:cs="宋体"/>
                <w:sz w:val="24"/>
                <w:szCs w:val="24"/>
              </w:rPr>
              <w:t>    14、波长设置方式：自动</w:t>
            </w:r>
            <w:r>
              <w:rPr>
                <w:rFonts w:hint="eastAsia" w:ascii="宋体" w:hAnsi="宋体" w:eastAsia="宋体" w:cs="宋体"/>
                <w:sz w:val="24"/>
                <w:szCs w:val="24"/>
              </w:rPr>
              <w:br w:type="textWrapping"/>
            </w:r>
            <w:r>
              <w:rPr>
                <w:rFonts w:hint="eastAsia" w:ascii="宋体" w:hAnsi="宋体" w:eastAsia="宋体" w:cs="宋体"/>
                <w:sz w:val="24"/>
                <w:szCs w:val="24"/>
              </w:rPr>
              <w:t>    15、显示范围：0～200%T，-4.0～4A</w:t>
            </w:r>
            <w:r>
              <w:rPr>
                <w:rFonts w:hint="eastAsia" w:ascii="宋体" w:hAnsi="宋体" w:eastAsia="宋体" w:cs="宋体"/>
                <w:sz w:val="24"/>
                <w:szCs w:val="24"/>
              </w:rPr>
              <w:br w:type="textWrapping"/>
            </w:r>
            <w:r>
              <w:rPr>
                <w:rFonts w:hint="eastAsia" w:ascii="宋体" w:hAnsi="宋体" w:eastAsia="宋体" w:cs="宋体"/>
                <w:sz w:val="24"/>
                <w:szCs w:val="24"/>
              </w:rPr>
              <w:t>    16、检测器：优质硅光二级管</w:t>
            </w:r>
            <w:r>
              <w:rPr>
                <w:rFonts w:hint="eastAsia" w:ascii="宋体" w:hAnsi="宋体" w:eastAsia="宋体" w:cs="宋体"/>
                <w:sz w:val="24"/>
                <w:szCs w:val="24"/>
              </w:rPr>
              <w:br w:type="textWrapping"/>
            </w:r>
            <w:r>
              <w:rPr>
                <w:rFonts w:hint="eastAsia" w:ascii="宋体" w:hAnsi="宋体" w:eastAsia="宋体" w:cs="宋体"/>
                <w:sz w:val="24"/>
                <w:szCs w:val="24"/>
              </w:rPr>
              <w:t>    17、光源：优质长寿命钨灯、氘灯</w:t>
            </w:r>
            <w:r>
              <w:rPr>
                <w:rFonts w:hint="eastAsia" w:ascii="宋体" w:hAnsi="宋体" w:eastAsia="宋体" w:cs="宋体"/>
                <w:sz w:val="24"/>
                <w:szCs w:val="24"/>
              </w:rPr>
              <w:br w:type="textWrapping"/>
            </w:r>
            <w:r>
              <w:rPr>
                <w:rFonts w:hint="eastAsia" w:ascii="宋体" w:hAnsi="宋体" w:eastAsia="宋体" w:cs="宋体"/>
                <w:sz w:val="24"/>
                <w:szCs w:val="24"/>
              </w:rPr>
              <w:t>    18、键盘：薄膜数字式按键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19、仪器专用台式电脑（含仪器软件操作系统）：</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19.1.处理器：intel i5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19.2.内存：≥8GB</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19.3.硬盘空间：≥1T</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19.4.显示器：≥21.5寸  </w:t>
            </w:r>
          </w:p>
          <w:p>
            <w:pPr>
              <w:pStyle w:val="3"/>
              <w:keepNext w:val="0"/>
              <w:keepLines w:val="0"/>
              <w:widowControl/>
              <w:suppressLineNumbers w:val="0"/>
              <w:spacing w:before="0" w:beforeAutospacing="0" w:after="150" w:afterAutospacing="0" w:line="300" w:lineRule="atLeast"/>
              <w:ind w:left="0" w:right="0"/>
            </w:pPr>
            <w:r>
              <w:rPr>
                <w:rFonts w:hint="eastAsia" w:ascii="宋体" w:hAnsi="宋体" w:eastAsia="宋体" w:cs="宋体"/>
                <w:color w:val="000000"/>
                <w:sz w:val="24"/>
                <w:szCs w:val="24"/>
              </w:rPr>
              <w:t>20、配置要求：</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20.1、其中3台紫外可见分光光度计要求双光束配置，配套软件1套、石英比色皿4个、玻璃比色皿4个。</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20.2、其中3台紫外可见分光光度计要求单光束配置，配套软件1套、仪器专用台式电脑1套、打印输出系统1台、石英比色皿4个、玻璃比色皿4个。</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荧光显微镜(倒置)</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1、光学系统：CCIS无限远色差校正光学系统。</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2、红外感应：机身上的红外感应器可以感知是否有用户在显微镜前工作，如果用户离开显微镜 15 分钟，仪器的电源会自动关闭；而当用户返回时，感应器收到信号，将自动重新开启电源。为实验室使用提供了更加安全保障。</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3、观察筒：三目观察筒45度倾角可以360度旋转；双目镜筒瞳距 48-75 mm。</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4、目镜：标准配置的高眼点设   计以及超大视场10X/22目镜，视场直径为≥22mm。双目视度可调，使双目观察更加容易。目镜视度调节 +/- 5。</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5、物镜：标配物镜新一代平场消色差</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4x（N.A.≥0.10，W.D.≥12.6mm），10x（N.A.≥0.25，W.D.≥4.1mm）,</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20x（N.A.≥0.30，W.D.≥4.7mm）, 40x（N.A.≥0.50，W.D.≥3.0mm）。</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6、物镜自动记忆：编码 5 孔转换器增加了新的亮度记忆功能，当转换到相对应的物镜时，系统会存储最后一次亮度设置；不需要在转换物镜倍数时重新调节照明。</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7、载物台：载物台尺寸 (mm) ≥200 X 239。</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9、调焦机构：粗微调同轴，左、右两侧均有粗微调节手轮。行程≥10mm，微调最小格值0.002mm；松紧可调，工作台上限位置可调节，带定位装置。</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9、聚光镜：配有超长工作距离的N.A.0.30(72mm)聚光镜，精确限位设 计，确保更为准确的观察高度；采用燕尾导轨、齿轮齿条的结构控制升降。</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10、照明：采用6V/30W的柯拉照明系统，并且可通过外置式调节装置调节灯丝中心从而调整照明方向。显微镜机身设   计有亮度指示灯方便显示光照的强弱。</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11、光源互换设 计：30W卤素灯和 3W LED可互换。</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后置式的荧光装置主体设 计。</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13、可同时安装两个荧光滤色片组，配有视场光栏，可调中，预留一个32mm的滤色片插位，配有遮光板，100W汞灯电源荧光光源，自带寿命时间显示，带复位按键。荧光滤光片组：B激发滤光片组(MB-1)、G激发滤光片组(MG-1)。</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14、滤色片：标准配置？45 mm兰色滤色片。</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15、与主机统一的数码成像系统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15.1、传感器类型：SCMOS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15.2、靶面：2/3"</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15.3、感光对角线大小：11.1mm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15.4、像素数量：5.0MP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15.5、分辨率（像素）/帧率：2448 X 2048 @ 68.3fps ;1224 X 1024 @     175.8fps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15.6、像素大小：3.45μm x 3.45μm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15.7、快门类型：全局快门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15.8、数据接口：USB   3.1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15.9、曝光时间：7us～2sec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15.10、使用条件：从-10到+ 60摄氏度非冷凝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15.11、最大信噪比：0.1   mV @ 1/30   sec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15.12、灵敏度：1146   mV @ 1/30   sec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15.13、支持设备：TWAIN,   SDK and DirectShow   Driver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15.14、支持系统：Microsoft   Windows 7/8/10, MAC OSX10.9, Linux UBUNTU1604 or   higher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15.15、适配接口：CS-Mount       </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16、仪器专用台式电脑（含仪器软件操作系统）：</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16.1.处理器：intel   i5</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16.2.内存：≥8GB</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16.3.硬盘空间：≥1T</w:t>
            </w:r>
          </w:p>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16.4.显示器：≥21.5寸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17.配置：主机1套、仪器专用台式电脑1套</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165000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石蜡切片机</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1、切片厚度：0.5～100微米</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2、修片厚度：1～600微米</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3、样本夹头最大垂直行程：70±1毫米</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4、样本夹头最大水平行程：30±1毫米</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5、样本夹头回缩：5～100微米可调，可关闭</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6、夹头驱动方式：步进电机驱动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7、配重方式：铅块配重，非弹簧配重</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8、自动注油系统：包含</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9、休眠功能：机器15分钟内未操作，自动进入休眠状态</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10、修块模式：3种，其中必须含小手轮(非旋钮)辅助修块模式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11、小手轮：机器左侧的小手轮可换向：小手轮顺时针转动夹头前进/逆时针夹头后退，或者顺时针后退/逆时针前进</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12、安全锁定功能：大手轮可最高点锁定和任意位置锁定</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13、样品角度可调整范围：有零位显示，水平方向：±8°垂直方向：±8°</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14、标本钳：夹头和角度调节装置之间，有一个带燕尾滑块的快装装置，方便从侧面快速更换或拆卸夹头</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15、显示：液晶显示，非电子管显示</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16、搬运把手：机器后部有可折叠搬运把手，方便搬运。</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70000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1-6</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二氧化碳培养箱</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1、采用微电脑温度控制器，适用于细胞、组织、微生物等培养</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2、气套式加热系统，加热迅速，温度.湿度恢复速度快</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3、内部容积≥151L</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4、最低温度控制范围为室温+5℃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5、Pt1000温度传感器，温度控制精度（℃）：±0.1℃，带独立传感器的超温保护装置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6、标配环境温度传感器，环境温度监测功能，可根据外界温度调整门加热的功率</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7、90℃湿热灭菌系统，灭菌彻底，有效地清除细菌、霉菌、真菌孢子和支原体</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8、CO2浓度传感器具有自动启动功能，自动校准，保证CO2浓度的高精确性</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9、CO2进气口配备HEPA高效过滤器，对粒径≥0.3μm颗粒物过滤效率为99.998％</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10、内腔及附件不锈钢采用特殊电化学处理</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11、标配3扇小玻璃内门，减少对箱内环境的影响，关门后快速恢复培养环境</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12、倾斜式的底盘水库式设 计结构，非增湿盘,增加蒸发面积,相对湿度:≥95%，湿度恢复速度快</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13、具有独特循环风道设 计，非自然对流，保证温度、湿度、CO2浓度的均一性</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14、具有玻璃门加热或外门加热功能，有效避免玻璃门上产生冷凝水</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15、可配4个接口的钢瓶自动切换装置，同时接4个钢瓶，可自动切换</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16、标配虹吸泵，清洁方便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17、可堆叠摆放，节省实验室空间</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18、配置：主机1台，二氧化碳钢瓶（含气体）2个。</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1-7</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台式高速冷冻离心机</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1、5寸高灵敏度、高清触摸屏控制，操作简便，显示直观，直接输入设置参数数值，可快速设置参数，快捷、方便。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2、最多可选中五组程序，实现阶梯离心，使实验可以多元化、多步骤一次完成。</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3、可以设置100组程序，并可对每组程序进行简易命名，便于调取与区分不同实验，实现实验的可重复性。</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4、11档加速，12档减速档位，第10档可以自定义加速、降速时间，防止样品二次悬沉，使离心效果达到最佳。</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5、一键启动预冷程序，预冷参数可以根据转子不同进行自定义设置；并且可以实现预约预冷，节约时间。</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6、运行记录、故障记录自动保存，可以有效的查看仪器的运行情况与每批样品的分离情况。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7、交流变频电机，无碳粉污染，免维护，使用寿命长、转速控制精度准。</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8、最高转速：≥15000r/min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9、最大相对离心力：≥21532xg</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10、最大容量：12x5ml</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11、转速精度：±10r/min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12、定时范围：1s-99min59s、1in-99h59min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13、温度设置范围：-20℃～40℃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14、温控精度：±1℃</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15、整机噪声：≤65dB(A)</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16、配置：主机1台、0.2ml、1.5ml、5ml角转子各1套</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1-8</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全自动旋转式压片机</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1、冲模数：≥5；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2、最大压片压力：≥40KN；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3、最大充填深度：≥15mm；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4、最大压片厚度：≥6mm；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5、最大压片直径：≥13mm；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6、转盘转速：≥30 转/分；</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7、最大生产能力：≥9000片/时；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8、机器外形尺寸：≥480*650*1140mm；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9、机器净重：≥250kg；</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10、主电机功率：2.2KW，220V，50HZ。</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1-9</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荧光分光光度计</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sz w:val="24"/>
                <w:szCs w:val="24"/>
              </w:rPr>
              <w:t>1、环境条件：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1.1电源电压：220V，50Hz</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1.2温度：15～35℃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1.3相对湿度：45～80%</w:t>
            </w:r>
          </w:p>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sz w:val="24"/>
                <w:szCs w:val="24"/>
              </w:rPr>
              <w:t>2、主机功能：</w:t>
            </w:r>
            <w:r>
              <w:rPr>
                <w:rFonts w:hint="eastAsia" w:ascii="宋体" w:hAnsi="宋体" w:eastAsia="宋体" w:cs="宋体"/>
                <w:sz w:val="24"/>
                <w:szCs w:val="24"/>
              </w:rPr>
              <w:t>可测荧光、磷光、磷光寿命，化学/生物发光；三维扫描；波长扫描；三维时间扫描；时间扫描测量；定量分析；可连接积分球进行绝对量子产率测试；可升级进行单波长和双波长细胞内钙离子的测定。</w:t>
            </w:r>
          </w:p>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sz w:val="24"/>
                <w:szCs w:val="24"/>
              </w:rPr>
              <w:t>3、技术指标</w:t>
            </w:r>
          </w:p>
          <w:p>
            <w:pPr>
              <w:pStyle w:val="3"/>
              <w:keepNext w:val="0"/>
              <w:keepLines w:val="0"/>
              <w:widowControl/>
              <w:suppressLineNumbers w:val="0"/>
              <w:spacing w:before="0" w:beforeAutospacing="0" w:after="150" w:afterAutospacing="0"/>
              <w:ind w:left="480" w:right="0"/>
            </w:pPr>
            <w:r>
              <w:rPr>
                <w:rFonts w:hint="eastAsia" w:ascii="宋体" w:hAnsi="宋体" w:eastAsia="宋体" w:cs="宋体"/>
                <w:sz w:val="24"/>
                <w:szCs w:val="24"/>
              </w:rPr>
              <w:t>3.1灵敏度：S/N ≥1000（RMS）峰值噪声；S/N ≥15000（RMS），背景最低噪声；     S/N ≥300（P-P）；</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3.2标准荧光池最小样品量：≤0.6ml（使用标准10mm方形样品池）</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3.3狭缝方式：水平狭缝；以得到更高的可检测光通量，即使用10ml常规样品池也可进行样品量低至0.6ml的测试，不需要使用挡光垫片等附件。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3.4光源：≥150W 的连续氙灯光源，使用寿命≥1000h</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3.5测光方式为单色光检测器比值计算法而非光电倍增管电极反馈法。单色器：机刻凹面衍射光栅，激发侧闪耀波长：300nm，发射侧闪耀波长：400nm（提供官方彩页证明）</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3.6测量波长范围（EX/EM）：200到900nm，零级光</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3.7光谱通带：激发侧：1/2.5/5/10/20nm；发射侧：1/2.5/5/10/20nm；五级切换，满足宽范围的测试需求。</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3.8光谱分辨率：≤1.0nm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3.9波长准确性：≥1.5nm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3.10波长扫描速度：30/60/240/1200/2400/12000/30000/60000nm/min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3.11波长驱动速度：≥60000nm/min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3.12响应时间：从0～98%：0.002/0.004/0.01/0.05/0.1/0.5/2/4S</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3.13光度计的显示范围：-9999～9999</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3.14具有自动快门控制功能，可自动快门打开和关闭，可自动脉冲照射和同步检测。</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3.15自动预扫描功能，优化未知样品的测量条件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3.16具有6 数量级以上的动态范围，并具有自动增益功能，可以使用相同检测条件实现从低到高的荧光强度检测。</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3.17具有标准磷光检测功能。</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3.18     水浴恒温支架温度范围 5～60℃；使用外置的温控水浴系统，可保持10mm样品池恒温；</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3.19测量及数据处理：主机由FL Solution软件控制，在Windows环境工作。带有荧光标准化功能。发光强度、激发和发射波长、光谱带宽均可由monitor   实时显示。光谱或时间数据均实时显示并可自动存盘。有对储存数据的算术运算功能，包括四则运算，平滑功能，1－4阶导数，求面积，求峰值等，可进行单波长和双波长细胞内钙离子的计算。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3.20.可选配多变量分析软件处理大量的数据，通常荧光指纹谱包含混合组分。通过执行平行因子分析，三维荧光光谱的发光峰可以被区分成特定数量组分，这样非常容易进行平行因子分析，每个组分可以显示比例，代表每个样品的含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3.21工作系统：处理器：intel i5；内存：≥8GB；硬盘空间：≥1T；显示器：≥21.5寸</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4.配置：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4.1、荧光分光光度计主机一台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4.2、150W的连续氙灯光源一个</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4.3、液体样品支架一套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4.4、水浴恒温支架一套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4.5、比色皿一对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4.6、工作系统及软件一套</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198000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1-10</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平行合成反应仪</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1、反应位点：10组（第 11#为空白测温点）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2、反应器一：20ml（小管径、100%透光反应管）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3、适用体积：1～15mL（室温、加热、回流、准封管）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4、适用反应：搅拌反应、加热反应、回流反应、准封管反应、无水无氧反应、加气反应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高温参数：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1、加热单元：智能安全加热器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2、控温单元：精密智能探针</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3、控温技术：内部控温+平行控温+电子双重控温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4、独立温区：1 个控温区（加热模组为标配）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5、加热范围：RT～220℃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6、加热效率：8℃/min（10 个 5mL 乙醇、20～100℃）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7、控温精度：±0.5℃（高温模式）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8、平行精度：±0.5℃（高温模式）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9、封管实验：是（准封管、微回流下的准封管）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10、过夜实验：是（过夜温度≤120℃）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11、回流实验：是（回流效率≥98%、乙醇在 80℃ 加热回流   48h 损失率≤2%）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12、冷却降温： 是（需外接冷却循环水，面板式集成浮子水流计）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搅拌参数：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1、搅拌方式：同步环绕磁力搅拌</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2、搅拌速度：0-1500rpm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3、搅拌子一：是（橄榄型*L14mm*220℃）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物料添加参数：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1、适应物料及粘度：小粘度液体或分散型固体 2、无水无氧液体加料：是（注射器穿刺进样）</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3、无水无氧固体加料：是（氮气流保护下零损耗微量进样或氮气流保护投放称量皿））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4、可进手提箱加料： 是（反应管整体进手套箱）</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5、无水无氧样品采集：是（在线微创取样）</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6、穿刺密封塞：是（洁净密封塞可反复穿刺、可重复使用、环保节约）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7、二次密封功能：是（独有密封塞穿刺针眼密封、确保封管气密性）</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Schlenk     技术参数：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1、反应器密封方式：锥度硬密封(零耗材密封)</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2、反应管连接方式：华式快速连接器（全新设   计快速安装和双截止、任意操作）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3、Schlenk 操作面板：是（简单易用的模块化气体置换平台）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4、微正压 Schlenk 线：是（模拟手套箱正压系统、配备优质储气囊）</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5、反应气 Schlenk 线：是（惰性气体反应气体任意切换）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6、惰性气 Schlenk 线：是（惰性气体反应气体任意切换）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7、反应气源供给方式：钢瓶供气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8、惰性气源供给方式：钢瓶或通风橱供气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安全相关参数：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1、可视化防护罩：是（安全防护、抗环境干扰）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2、安全防爆功能：是（安全防护罩）</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3、充气压力： ≤1atm（通过减压 Schlenk 导入容器的压力）</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4、耐受压力： ≤4atm（溶剂自我产生压力后，在封管反应时玻璃容器能耐受的最高压力）</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5、最高真空度: 0.09mbar（单点可达，需自备高品质真空油泵）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6、过热保护：是（50～360℃ 任意设置，高于设定温度将自动断电）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7）快速悬停：是（快速脱离热源、紧急停止反应、垂直操作理念）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其它参数：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1、仪器外观：银色耐腐铝合金外壳（美观大气、耐腐蚀防护）</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2、定时功能：是（可在 0～99h 对控温和搅拌进行倒计时）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3、质量体积：22kg/D*W*H=45*35*65cm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4、防护级别：Ip42</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5、功率电源：650W，Ac220-240V，50/60HZ</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6、工作环境：环境温度: 0～35℃，相对湿度: 80%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7、噪音大小：70dB</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8、成套附件:是</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1-11</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实时荧光定量PCR</w:t>
            </w:r>
          </w:p>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1.样本容量:≥96孔；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2.适用耗材：0.2ml 96孔板、8联管，单管(乳白色管、透明管、磨砂管均可适用)；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3.检测通道:≥4；</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4.适用以下荧光素或相近波长荧光素：</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4.1.通道1：FAM、 SYBR Green   I、SYTO 9、EvaGreen、LC Green；</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4.2.通道2：HEX,   VIC, TET, JOE；</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4.3.通道3：ROX、Texas Red；</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4.4.通道4：Cy5；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5.反应体系：0～100μl；</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6.光源：高亮长寿命免维护LED光源；</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7.荧光检测方式：光电二极管（PD）作为检测器，顶部激发、顶部扫描，4个荧光通道同时逐孔扫描，无荧光边缘效应；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8.检测时长：7秒内完成4个荧光通道96个孔位的全部检测；</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9.模块控温范围：0～100℃；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10.控温技术：半导体制冷片加热制冷技术；</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11.温度均匀性：≤±0.1℃；</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12.温度速率：最大升温速度：≥6.1℃/s；最大降温速度：≥5.0℃/s；</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13.梯度温度：梯度宽度：1℃～40℃，梯度温度列数：≥12列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     操控方式：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14.1.单机运行：≥10英寸内嵌式全彩触摸屏，仪器可脱离电脑独立运行；</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14.2.PC直连：仪器通过点对点网络与PC连接后，利用电脑上的应用软件实现实验设置、运行监控、数据分析等操作；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14.3.局域网接入：通过对仪器的网络参数进行设置，可将仪器接入本地局域网内，从而实现局域网内的任何一台电脑对仪器的运行监控、数据同步及分析等操作；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15.自动样本仓：样本仓可由触摸屏控制自动弹出/关闭，弹出状态时轻触样本仓可自动关闭；</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16．软件分析功能：定性分析、绝对定量分析、相对定量分析、终点荧光分析、熔解曲线分析、SNP分析、高分辨率熔解曲线（HRM）等；</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17.LIS功能：可导出CSV、Excel、TXT等格式，开放数据端口，同步支持与LIS系统互联；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18.报告自定义功能：预存多种行业实验报告模板；全开放式万能报表功能，用户可自定义报告内容及形式；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19.实验数据在仪器内实时保存，且具备断电再来电时自动恢复实验功能，无需等待PC电脑及软件打开，即可独立运行继续进行未完成实验，以避免实验数据丢失及试剂损失；</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 仪器专用台式电脑（含仪器软件操作系统）：</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20.1.处理器：intel i5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20.2.内存：≥8GB</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20.3.硬盘空间：≥1T</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20.4.显示器：≥21.5寸</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21.配置：主机1台、仪器专用台式电脑1套。</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1-12</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光学显微镜（倒置）</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1、光学系统：CCIS无限远色差校正光学系统。</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2、观察筒：铰链式45°倾斜三目镜筒结构，瞳距可在48～75mm调节。</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3、智能感应模式：机身上的红外感应器可感知是否用户在显微镜前工作，即人靠近自动开灯源，走开后≥15分钟自动关灯源；重新照明时，能自动恢复到离开前照明的亮度。</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4、目镜：N-WF10×/20mm，大视场、高眼点、双视度可调，目镜锁定在镜筒上。</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5、转换器：侧向倾斜的物镜定位孔设   计，四孔物镜转换器。</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6、物镜：长工作距离无限远平场物镜Plan   Achromat 4x【 N.A.0.1, WD（≥12.6mm）】；长工作距离无限远平场相衬物镜 Plan Achromat10x   Ph1【 N.A.0.25, WD（≥4.1mm）】、LWD Plan Achromat 20x Ph2【 N.A.0.3, WD（≥4.7mm）】、LWD Plan Achromat 40x Ph2【 N.A.0.5, WD（≥3.0mm）】。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7、机械移动载物台：硬膜涂层表面，防腐、耐磨，钢化玻璃台板，面积不小于200*239mm。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8、调焦机构：粗微调同轴，粗调焦松紧可调，调焦行程是8mm，最小格值2μm。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9、聚光镜：ELWD N.A.0.3，工作距离≥72mm，移去聚光镜时距离≥184mm。</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10、照明系统：6V30W卤素灯，可调中。同时机身右侧通过LED指示灯强弱可显示光照强弱；可实现卤素灯和LED模块直接互换。</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11、配置要求：其中1套显微镜含有不低于像素500万的相机</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1-13</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pacing w:val="15"/>
                <w:sz w:val="24"/>
                <w:szCs w:val="24"/>
              </w:rPr>
              <w:t>光学显微镜（正置）</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1、光学系统：CCIS无限远色差校正光学系统，整机防霉设   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观察装置：铰链式双目观察头，30°倾斜，瞳距调节范围55</w:t>
            </w:r>
            <w:r>
              <w:rPr>
                <w:rFonts w:hint="eastAsia" w:ascii="宋体" w:hAnsi="宋体" w:eastAsia="宋体" w:cs="宋体"/>
                <w:sz w:val="24"/>
                <w:szCs w:val="24"/>
              </w:rPr>
              <w:t>～</w:t>
            </w:r>
            <w:r>
              <w:rPr>
                <w:rFonts w:hint="eastAsia" w:ascii="宋体" w:hAnsi="宋体" w:eastAsia="宋体" w:cs="宋体"/>
                <w:spacing w:val="15"/>
                <w:sz w:val="24"/>
                <w:szCs w:val="24"/>
              </w:rPr>
              <w:t>75mm，固定观察筒头部为螺钉。</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3、目镜：标准配置的高眼点设 计、带可折叠橡胶眼罩的N-WF10X/20目镜，目镜筒上的卡槽设   计，将目镜锁紧定位。双目视度可调，使双目观察更加容易。</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4、转换器：四孔定位内倾式转换器，更换切片时无需升、降载物台，避免了外倾式物镜转换器使用过程中容易损伤物镜的种种操作不便。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5、显微镜留有镂空开叉结构，便于提手方便移动。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6、载物台：三角导轨XY复合式机械移动载物台，防腐、耐磨。矩形，尺寸为≥140×135mm，行程≥76×50mm，最小读数值0.1 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7、物镜：宽带镀膜EF-N平场消色差物镜4X、10X、40X（弹簧）、100X（弹簧、油）。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8、调焦机构：粗微调共轴，并带有手轮松紧调节装置。在载物台操作手轮的两侧设有微调焦机构，用于精确调焦；两侧有粗微调焦旋钮，具有过载保护装置,调焦范围:≥25mm,微调格值最小格值:≥0.002mm。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9、聚光镜：N.A.1.25阿贝聚光镜，精确限位设 计，齿轮齿条结构，确保更为准确的观察高度。聚光镜为金属材料，不含塑料件。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10、照明：原装生产的3W LED冷光源照明，亮度可调，寿命可达数万小时以上。集光镜座不能轻易取下，防止经常取下造成光路中心的改变，而影响观察效果。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11、核心指标满足以下要求，</w:t>
            </w:r>
            <w:r>
              <w:rPr>
                <w:rStyle w:val="6"/>
                <w:rFonts w:hint="eastAsia" w:ascii="宋体" w:hAnsi="宋体" w:eastAsia="宋体" w:cs="宋体"/>
                <w:b/>
                <w:bCs/>
                <w:spacing w:val="15"/>
                <w:sz w:val="24"/>
                <w:szCs w:val="24"/>
              </w:rPr>
              <w:t>需提供【国家认可的检测机构出具的检测报告复印件佐证】：</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（1）转换器定位稳定   性≤0.005mm。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（2）载物台侧向受5N水平方向作用力的最大位移≤0.020；载物台侧向受5N水平方向作用力的不重复性≤0.002mm。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（3）10倍物镜景深范围内像面的偏摆：≤0.07mm；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（5）目镜放大率准确度不超过±1.88%；</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（6）倾斜式目镜筒作360度旋转时，目镜焦平面上像中心的位移≤0.06mm；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（7）左右两系统放大率差≤0.03%；</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（8）零视度时左右系统的目镜端面位置差≤0.08mm；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15"/>
                <w:sz w:val="24"/>
                <w:szCs w:val="24"/>
              </w:rPr>
              <w:t>12、配置要求：其中1套显微镜含有不低于500万像素的相机。</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1-14</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光催化反应器</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1、反应位点：10组（第11#为空白测温点）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2、反应容器：20mL（圆底、小管径、厚壁、玻璃反应管）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3、适用体积：1～5mL（封管、光照、1～10mL（室温、加热、光照）</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4、适用反应：搅拌反应、加热反应、封管反应、无水无氧反应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高温参数：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1、加热单元：智能安全加热器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2、控温单元：精密智能探针</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3、控温技术：内部控温+平行控温+电子双重控温</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4、独立温区：1个控温区（加热模组为标配）</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5、加热范围：RT～220℃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6、加热效率：5～8℃/min（10个5mL乙醇、20～100℃）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7、控温精度：±0.5℃（高温模式）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8、平行精度：±0.5℃（高温模式）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9、封管实验：是（真正封管、零回流封管）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10、过夜实验：是（过夜温度≤120℃）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11、冷却降温：是（需外接冷却循环，面板式集成浮子水流计）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光催化参数：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1、光反应器：20mL石英反应管（微量、小管径、厚壁、100%透光石英反应管）</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2、照射方式：零距离底部照射</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3、光源种类：单色LED发光晶片</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4、光源功率：1～10W/位点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5、光源降温：可外接循环降温</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6、光源切换：可手动更换波长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7、光源漏光：极少（全反射、零光污染、高利用率）</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8、光源寿命：5000小时（确保降温、防止过热）</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搅拌参数：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1、搅拌方式：同步环绕磁力搅拌（配置德国IKA搅拌模块）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2、搅拌速度：0～1500rpm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3、搅拌子一：是（橄榄型*L13.5mm*220℃）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物料添加参数：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1、适应物料及粘度：小粘度液体或分散型固体</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2、无水无氧液体加料：是（注射器穿刺进样）</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3、无水无氧固体加料：是（氮气流保护下零损耗微量进样或氮气流保护投放称量皿））</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4、可进手提箱加料：是（反应管整体进手套箱）</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5、无水无氧样品采集：是（在线微创取样）</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6、穿刺密封塞： 是（洁净密封塞可反复穿刺、可重复使用、环保节约）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7、二次密封功能： 是（独有密封塞穿刺针眼密封、确保封管气密性）</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Schlenk     技术参数：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1、反应器密封方式：O型圈螺纹软密封</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2、加长气线快速连接：是（全新设   计快速安装和双截止、任意操作）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3、Schlenk操作面板：是（简单易用的模块化气体置换平台）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4、微正压Schlenk线：是（模拟手套箱正压系统、配备优质储气囊）</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5、反应气体Schlenk线：是（惰性气体反应气体任意切换）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6、惰性气体Schlenk线：是（惰性气体反应气体任意切换）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7、反应气源供给方式：钢瓶供气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8、惰性气源供给方式：钢瓶或通风厨供气</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安全相关参数：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1、可视化防护罩：是（安全防护、抗环境干扰）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2、安全防爆功能：是（安全防护罩）</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3、耐受正压力：≤4atm（封管反应耐受最高压力）</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4、最高真空度：0.2mbar（单点可达到 0.15mmHg，需自备 2L/S 真空油泵）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5、过热保护：是（50～360℃ 任意设置，高于设定温度将自动断电）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其它参数：</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1、快速悬停功能：是（快速停止反应、提拉即停）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2、仪器耐候性：银色耐腐铝合金外壳（美观大气、耐腐蚀防护）</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3、定时功能：是（可在0～99h对控温和搅拌进行倒计时）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4、质量体积：22kg/D*W*H=45*35*65cm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5、防护级别：Ip42</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6、功率电源：650W，Ac220～240V，50/60HZ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7、工作环境：环境温度: 0～35℃，相对湿度: 80%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8、噪音大小：70dB</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9、成套合成附件：是</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1-15</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电转化仪</w:t>
            </w:r>
          </w:p>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1、脉冲形式：指数衰减</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2、高压输出电压：400～2500V</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3、低压输出电压：50～450V</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4、高压电容：1,5,6,25,30,31 UF</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5、低压电容：100UF,125UF,150UF...1675UF,以25UF步进</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6、并接电阻：50,100,150,1600,-∞共30档</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7、操作系统：微电脑控制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8、时间常数：带RC时间常数，可任意组合</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9、显示方式：液晶显示</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10、配置：主机1套，专用电转杯50个</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1-16</w:t>
            </w:r>
          </w:p>
        </w:tc>
        <w:tc>
          <w:tcPr>
            <w:tcW w:w="7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雪花制冰机</w:t>
            </w:r>
          </w:p>
        </w:tc>
        <w:tc>
          <w:tcPr>
            <w:tcW w:w="5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1、制冰量：≥150kg/24h</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2、储冰量：≥35kg</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3、冷凝方式：风冷</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4、耗水量：≤6.2L/H</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5、压缩机/制冷剂：优质无氟/R134a</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6、箱体外壳：304不锈钢</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7、输入功率：685W</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18000</w:t>
            </w:r>
          </w:p>
        </w:tc>
      </w:tr>
    </w:tbl>
    <w:p>
      <w:pPr>
        <w:pStyle w:val="3"/>
        <w:keepNext w:val="0"/>
        <w:keepLines w:val="0"/>
        <w:widowControl/>
        <w:suppressLineNumbers w:val="0"/>
        <w:spacing w:before="0" w:beforeAutospacing="0" w:after="150" w:afterAutospacing="0"/>
        <w:ind w:left="0" w:right="0"/>
      </w:pPr>
      <w:r>
        <w:t> </w:t>
      </w:r>
    </w:p>
    <w:p>
      <w:pPr>
        <w:keepNext w:val="0"/>
        <w:keepLines w:val="0"/>
        <w:widowControl/>
        <w:suppressLineNumbers w:val="0"/>
        <w:jc w:val="left"/>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1、交付地点：福建省泉州市丰泽区东海大街398号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2、交付时间：签订合同30天内完成安装及调试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3、交付条件：所有货物安装完毕，最终验收合格</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人在签订合同前需向采购人缴纳合同金额2%的履约保证金，该保证金在成交人供应的货物全部验收合格，合同约定事项全部履行完毕且无未了事项后，30日内一次性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（一）项目具备验收条件后，投标人应向采购人提出验收请求并提供完整的项目交接资料及交接报告。 （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 （三）投标人在接到采购人的修改意见后，应在10天内（当事人另行商定的时间除外）负责处理，否则，即视为默认采购人提出的异议和处理意见。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 （六）验收程序：货物验收分出厂检验、货到初步验收、安装调试验收三阶段。</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最终验收合格后，中标供应商方可从三方共管账户支取款项。投标人、收款单位、购货票证开票单位三者应一致，投标人收款帐号应为中国人民银行批准的基本帐户。</w:t>
            </w:r>
          </w:p>
        </w:tc>
      </w:tr>
    </w:tbl>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1、</w:t>
      </w:r>
      <w:r>
        <w:rPr>
          <w:rStyle w:val="6"/>
          <w:rFonts w:hint="eastAsia" w:ascii="宋体" w:hAnsi="宋体" w:eastAsia="宋体" w:cs="宋体"/>
          <w:b/>
          <w:bCs/>
          <w:color w:val="000000"/>
          <w:spacing w:val="0"/>
          <w:sz w:val="24"/>
          <w:szCs w:val="24"/>
        </w:rPr>
        <w:t>报价要求</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1.1 投标人应在招标文件所附的开标一览表、投标分项报价表上写明投标货物的分项单价和投标总价，所有报价不得超过预算总价及单价。</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1.2 投标人对每种货物只允许有一个报价，采购人不接受有任何选择的报价。</w:t>
      </w:r>
    </w:p>
    <w:p>
      <w:pPr>
        <w:pStyle w:val="3"/>
        <w:keepNext w:val="0"/>
        <w:keepLines w:val="0"/>
        <w:widowControl/>
        <w:suppressLineNumbers w:val="0"/>
        <w:spacing w:before="0" w:beforeAutospacing="0" w:after="150" w:afterAutospacing="0" w:line="465" w:lineRule="atLeast"/>
        <w:ind w:left="0" w:right="0" w:firstLine="405"/>
      </w:pPr>
      <w:r>
        <w:rPr>
          <w:rFonts w:hint="eastAsia" w:ascii="宋体" w:hAnsi="宋体" w:eastAsia="宋体" w:cs="宋体"/>
          <w:color w:val="000000"/>
          <w:sz w:val="24"/>
          <w:szCs w:val="24"/>
        </w:rPr>
        <w:t>13 本合同价款采用固定单价定价方式。本项目所发生的一切费用（含设备费、材料费、配件、运输、装卸、设备安装、调试、、技术服务、检验、验收、售后 服务、保险、税收及其他为完成本项目所需的相关费用等）均包含在投标报价中。投标报价如有遗漏，由投标人自行补充，一旦中标视为投标人认同遗漏部分并免费提供。上述价格在相关合同交货期内为不变价。</w:t>
      </w:r>
      <w:r>
        <w:rPr>
          <w:rStyle w:val="6"/>
          <w:rFonts w:hint="eastAsia" w:ascii="宋体" w:hAnsi="宋体" w:eastAsia="宋体" w:cs="宋体"/>
          <w:b/>
          <w:bCs/>
          <w:sz w:val="24"/>
          <w:szCs w:val="24"/>
        </w:rPr>
        <w:br w:type="textWrapping"/>
      </w:r>
      <w:r>
        <w:rPr>
          <w:rStyle w:val="6"/>
          <w:rFonts w:hint="eastAsia" w:ascii="宋体" w:hAnsi="宋体" w:eastAsia="宋体" w:cs="宋体"/>
          <w:b/>
          <w:bCs/>
          <w:sz w:val="24"/>
          <w:szCs w:val="24"/>
        </w:rPr>
        <w:t>2、商务及售后 服务要求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（一）投标人对提供的货物或服务，因产品及服务质量、或知识产权纠纷等问题，必须提供保修、包换、包退等服务。</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（二）货物安装调试合格后，制造商（或供应 商）负责对用户技术人员进行免费现场培训，培训内容包括系统的功能、原理、使用与维护等，培训日程视实际情况另定。</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三）质量期：乙方所供货物（设备、货物或服务）质保期自最终验收合格之日起开始计算，投标人需保证免费质保期至少为（12）个月。乙方在接到用户设备故障电话通知起，由于故障而无法工作超过3天，质保期自动延长相应天数（延长天数从故障电话通知之日开始计算）。</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四）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五）质量期结束后，乙方需提供终身提供应用咨询及技术帮助，及终身软件升级、维护；系统一旦出现故障，乙方需协助采购人对系统进行维修，远程不能解决的，乙方需派出技术人员2个工作日内到现场进行维修，只收取人员差旅费。</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（六）履行所承诺的其他服务条款。</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4"/>
          <w:szCs w:val="24"/>
        </w:rPr>
        <w:t>3、验收要求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（一）项目具备验收条件后，投标人应向采购人提出验收请求并提供完整的项目交接资料及交接报告。</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（三）投标人在接到采购人的修改意见后，应在10天内（当事人另行商定的时间除外）负责处理，否则，即视为默认采购人提出的异议和处理意见。</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（四）验收标准：招标文件和合同规定的技术要求、规格质量及其它要求，生产厂家的产品说明书、合格证书及技术资料等；国家现行规范；当地监督管理部门要求的安全规范以及采购文件的规定。</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（五）验收小组：需3人以上（含3人）单数。</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（六）验收程序：货物验收分出厂检验、货到初步验收、安装调试验收三阶段：</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（1）出厂检验：投标人将提供设备、安装材料、工具、软件包和文件的发货清单和计划，发货计划应经采购人认可后实施。投标人负责所提供产品的出厂检验，保证产品原 产地和技术指标的真实性、完整性、合法性；投标人发货前应将清单及发货流程发送给采购人，经采购人确认同意后发货；投标人需在采购人指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 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4"/>
          <w:szCs w:val="24"/>
        </w:rPr>
        <w:t>4、其他商务要求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（一）投标人不得虚报各项技术指标，中标产品若不能符合技术要求，采购人有权解除合同，并向政府采购管理部门通报，因此给采购人造成的一切损失，由投标人承担。</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（二）培训：投标人应结合本次采购的货物，有计划地对采购人派出管理、维护及使用人员进行安装现场的基本知识、使用、维护与保养技术的培训。</w:t>
      </w:r>
    </w:p>
    <w:p>
      <w:pPr>
        <w:pStyle w:val="3"/>
        <w:keepNext w:val="0"/>
        <w:keepLines w:val="0"/>
        <w:widowControl/>
        <w:suppressLineNumbers w:val="0"/>
        <w:spacing w:before="0" w:beforeAutospacing="0" w:after="150" w:afterAutospacing="0"/>
        <w:ind w:left="0" w:right="0" w:firstLine="555"/>
      </w:pPr>
      <w:r>
        <w:rPr>
          <w:rFonts w:hint="eastAsia" w:ascii="宋体" w:hAnsi="宋体" w:eastAsia="宋体" w:cs="宋体"/>
          <w:sz w:val="24"/>
          <w:szCs w:val="24"/>
        </w:rPr>
        <w:t>（三）采购人在确认成交结果前，可自行对投标人提供的符合性条款中涉及的证明资料（证书、报告等）原件进行复核，投标人无法提供原件复核的，按提供虚假材料谋取中标或成交的情形处理，该投标人提交的响应文件无效。</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（四）培训：投标人应结合本次采购的货物，有计划地对采购人派出管理、维护及使用人员进行安装现场的基本知识、使用、维护与保养技术的培训。</w:t>
      </w:r>
    </w:p>
    <w:p>
      <w:pPr>
        <w:pStyle w:val="3"/>
        <w:keepNext w:val="0"/>
        <w:keepLines w:val="0"/>
        <w:widowControl/>
        <w:suppressLineNumbers w:val="0"/>
        <w:spacing w:before="0" w:beforeAutospacing="0" w:after="240" w:afterAutospacing="0" w:line="465" w:lineRule="atLeast"/>
        <w:ind w:left="0" w:right="0" w:firstLine="405"/>
      </w:pP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before="60" w:beforeAutospacing="0" w:after="60" w:afterAutospacing="0"/>
        <w:ind w:left="0" w:right="0"/>
      </w:pPr>
      <w:r>
        <w:rPr>
          <w:rFonts w:hint="eastAsia" w:ascii="宋体" w:hAnsi="宋体" w:eastAsia="宋体" w:cs="宋体"/>
          <w:color w:val="000000"/>
          <w:sz w:val="24"/>
          <w:szCs w:val="24"/>
        </w:rPr>
        <w:t>1、除招标文件另有规定外，若出现有关法律、法规和规章有强制性规定但招标文件未列明的情形，则投标人应按照有关法律、法规和规章强制性规定执行。</w:t>
      </w:r>
    </w:p>
    <w:p>
      <w:pPr>
        <w:pStyle w:val="3"/>
        <w:keepNext w:val="0"/>
        <w:keepLines w:val="0"/>
        <w:widowControl/>
        <w:suppressLineNumbers w:val="0"/>
        <w:spacing w:before="60" w:beforeAutospacing="0" w:after="60" w:afterAutospacing="0"/>
        <w:ind w:left="0" w:right="0"/>
      </w:pPr>
      <w:r>
        <w:rPr>
          <w:rFonts w:hint="eastAsia" w:ascii="宋体" w:hAnsi="宋体" w:eastAsia="宋体" w:cs="宋体"/>
          <w:color w:val="000000"/>
          <w:sz w:val="24"/>
          <w:szCs w:val="24"/>
        </w:rPr>
        <w:t>2、其他：</w:t>
      </w:r>
    </w:p>
    <w:p>
      <w:pPr>
        <w:pStyle w:val="3"/>
        <w:keepNext w:val="0"/>
        <w:keepLines w:val="0"/>
        <w:widowControl/>
        <w:suppressLineNumbers w:val="0"/>
        <w:spacing w:before="60" w:beforeAutospacing="0" w:after="60" w:afterAutospacing="0"/>
        <w:ind w:left="0" w:right="0"/>
      </w:pPr>
      <w:r>
        <w:rPr>
          <w:rFonts w:hint="eastAsia" w:ascii="宋体" w:hAnsi="宋体" w:eastAsia="宋体" w:cs="宋体"/>
          <w:color w:val="000000"/>
          <w:sz w:val="24"/>
          <w:szCs w:val="24"/>
        </w:rPr>
        <w:t>2.1凡参与政府采购并依法取得政府采购合同的供 应商，均可使用政府采购合同向福建省政府采购网发布的政府采购合同融资业务信息的银行业金融机构申请融资，可在“政采贷”模块进行具体操作。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spacing w:before="150" w:beforeAutospacing="0" w:after="105" w:afterAutospacing="0"/>
        <w:ind w:left="0" w:right="0"/>
      </w:pPr>
      <w:r>
        <w:rPr>
          <w:rFonts w:hint="eastAsia" w:ascii="宋体" w:hAnsi="宋体" w:eastAsia="宋体" w:cs="宋体"/>
          <w:color w:val="000000"/>
          <w:sz w:val="24"/>
          <w:szCs w:val="24"/>
        </w:rPr>
        <w:t>2.2企业申请所需提交的材料可登录“福建省政府采购网”查询。</w:t>
      </w:r>
    </w:p>
    <w:p>
      <w:pPr>
        <w:pStyle w:val="3"/>
        <w:keepNext w:val="0"/>
        <w:keepLines w:val="0"/>
        <w:widowControl/>
        <w:suppressLineNumbers w:val="0"/>
        <w:spacing w:before="150" w:beforeAutospacing="0" w:after="105" w:afterAutospacing="0"/>
        <w:ind w:left="0" w:right="0"/>
      </w:pPr>
      <w:r>
        <w:rPr>
          <w:rFonts w:hint="eastAsia" w:ascii="宋体" w:hAnsi="宋体" w:eastAsia="宋体" w:cs="宋体"/>
          <w:color w:val="000000"/>
          <w:sz w:val="24"/>
          <w:szCs w:val="24"/>
        </w:rPr>
        <w:t>2.3融资主要条件：①担保条件：除法定代表人或实际控制人担保外，如融资金额未超过政府采购合同金额的，银行不要求企业供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④上述事宜详见http://cz.fjzfcg.gov.cn/。</w:t>
      </w:r>
    </w:p>
    <w:p>
      <w:pPr>
        <w:pStyle w:val="3"/>
        <w:keepNext w:val="0"/>
        <w:keepLines w:val="0"/>
        <w:widowControl/>
        <w:suppressLineNumbers w:val="0"/>
        <w:spacing w:before="150" w:beforeAutospacing="0" w:after="105" w:afterAutospacing="0"/>
        <w:ind w:left="0" w:right="0"/>
      </w:pPr>
      <w:r>
        <w:rPr>
          <w:rFonts w:hint="eastAsia" w:ascii="宋体" w:hAnsi="宋体" w:eastAsia="宋体" w:cs="宋体"/>
          <w:color w:val="000000"/>
          <w:sz w:val="24"/>
          <w:szCs w:val="24"/>
        </w:rPr>
        <w:t>2.4投标人需提供中小企业声明函，明确属大、中、小微四个企业类型。</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3"/>
        <w:keepNext w:val="0"/>
        <w:keepLines w:val="0"/>
        <w:widowControl/>
        <w:suppressLineNumbers w:val="0"/>
        <w:spacing w:before="75" w:beforeAutospacing="0" w:after="75" w:afterAutospacing="0" w:line="465" w:lineRule="atLeast"/>
        <w:ind w:left="0" w:right="0" w:firstLine="0"/>
      </w:pPr>
      <w:bookmarkStart w:id="0" w:name="_GoBack"/>
      <w:bookmarkEnd w:id="0"/>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b/>
          <w:bCs/>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[350500]HH[TP]2022003</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泉州师范学院化工与材料学院高效液相色谱仪等实验教学仪器设备货物类采购项目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甲方：泉州师范学院乙方：</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住所：泉州市丰泽区东海大街398号住所：</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单位负责人：单位负责人：</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委托代理人：15060982707委托代理人：</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联系方法：15060982707联系方法：</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开户银行：开户银行：</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账号：账号：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b/>
          <w:bCs/>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xml:space="preserve">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b/>
          <w:bCs/>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Style w:val="4"/>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b/>
          <w:bCs/>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《中华人民共和国政府采购法》第二十二条对供应商的要求</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谈判文件对合格供应商的一般规定</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b/>
          <w:bCs/>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4"/>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45" w:hRule="atLeast"/>
        </w:trPr>
        <w:tc>
          <w:tcPr>
            <w:tcW w:w="85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b/>
          <w:bCs/>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b/>
          <w:bCs/>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b/>
          <w:bCs/>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b/>
          <w:bCs/>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b/>
          <w:bCs/>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b/>
          <w:bCs/>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b/>
          <w:bCs/>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b/>
          <w:bCs/>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6"/>
          <w:rFonts w:hint="eastAsia" w:ascii="宋体" w:hAnsi="宋体" w:eastAsia="宋体" w:cs="宋体"/>
          <w:b/>
          <w:bCs/>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b/>
          <w:bCs/>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b/>
          <w:bCs/>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b/>
          <w:bCs/>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b/>
          <w:bCs/>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b/>
          <w:bCs/>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b/>
          <w:bCs/>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b/>
          <w:bCs/>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b/>
          <w:bCs/>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4"/>
        <w:tblW w:w="77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single" w:color="auto" w:sz="4"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single" w:color="auto" w:sz="4"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single" w:color="auto" w:sz="4"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b/>
          <w:bCs/>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4"/>
        <w:tblW w:w="76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b/>
          <w:bCs/>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20" w:lineRule="atLeast"/>
        <w:ind w:left="0" w:right="0" w:firstLine="48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b/>
          <w:bCs/>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b/>
          <w:bCs/>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b/>
          <w:bCs/>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b/>
          <w:bCs/>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ZTc1MjViZmE3YmI2MjMyMjY3Y2I2Y2I5OWE4MGEifQ=="/>
  </w:docVars>
  <w:rsids>
    <w:rsidRoot w:val="00000000"/>
    <w:rsid w:val="4C1059BE"/>
    <w:rsid w:val="51FD277F"/>
    <w:rsid w:val="54A63942"/>
    <w:rsid w:val="6494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2022-12-01T02:22:23Z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5CF37E6B0EC84DF7BA4C68185E369F85</vt:lpwstr>
  </property>
</Properties>
</file>