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75" w:beforeAutospacing="0" w:after="75" w:afterAutospacing="0"/>
        <w:ind w:left="0" w:right="0" w:firstLine="0"/>
        <w:jc w:val="center"/>
        <w:rPr>
          <w:rFonts w:ascii="微软雅黑" w:hAnsi="微软雅黑" w:eastAsia="微软雅黑" w:cs="微软雅黑"/>
          <w:i w:val="0"/>
          <w:iCs w:val="0"/>
          <w:caps w:val="0"/>
          <w:color w:val="000000"/>
          <w:spacing w:val="0"/>
          <w:sz w:val="27"/>
          <w:szCs w:val="27"/>
        </w:rPr>
      </w:pPr>
      <w:r>
        <w:rPr>
          <w:rStyle w:val="6"/>
          <w:rFonts w:ascii="宋体" w:hAnsi="宋体" w:eastAsia="宋体" w:cs="宋体"/>
          <w:i w:val="0"/>
          <w:iCs w:val="0"/>
          <w:caps w:val="0"/>
          <w:color w:val="000000"/>
          <w:spacing w:val="0"/>
          <w:sz w:val="72"/>
          <w:szCs w:val="72"/>
        </w:rPr>
        <w:t>福建省政府采购项目</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72"/>
          <w:szCs w:val="72"/>
        </w:rPr>
        <w:t>竞争性谈判文件</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rPr>
        <w:t> 项目名称：</w:t>
      </w:r>
      <w:r>
        <w:rPr>
          <w:rFonts w:hint="eastAsia" w:ascii="宋体" w:hAnsi="宋体" w:eastAsia="宋体" w:cs="宋体"/>
          <w:i w:val="0"/>
          <w:iCs w:val="0"/>
          <w:caps w:val="0"/>
          <w:color w:val="000000"/>
          <w:spacing w:val="0"/>
          <w:sz w:val="30"/>
          <w:szCs w:val="30"/>
        </w:rPr>
        <w:t>泉州师范学院纺织与服装学院鞋服产品工艺实训室货物类采购项目</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rPr>
        <w:t> 备案编号：</w:t>
      </w:r>
      <w:r>
        <w:rPr>
          <w:rFonts w:hint="eastAsia" w:ascii="宋体" w:hAnsi="宋体" w:eastAsia="宋体" w:cs="宋体"/>
          <w:i w:val="0"/>
          <w:iCs w:val="0"/>
          <w:caps w:val="0"/>
          <w:color w:val="000000"/>
          <w:spacing w:val="0"/>
          <w:sz w:val="30"/>
          <w:szCs w:val="30"/>
        </w:rPr>
        <w:t>C-SY-JT-202212-B0255-IDN</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rPr>
        <w:t> 项目编号：</w:t>
      </w:r>
      <w:r>
        <w:rPr>
          <w:rFonts w:hint="eastAsia" w:ascii="宋体" w:hAnsi="宋体" w:eastAsia="宋体" w:cs="宋体"/>
          <w:i w:val="0"/>
          <w:iCs w:val="0"/>
          <w:caps w:val="0"/>
          <w:color w:val="000000"/>
          <w:spacing w:val="0"/>
          <w:sz w:val="30"/>
          <w:szCs w:val="30"/>
        </w:rPr>
        <w:t>[350500]QZBJ[TP]2022003</w:t>
      </w:r>
    </w:p>
    <w:p>
      <w:pPr>
        <w:pStyle w:val="3"/>
        <w:keepNext w:val="0"/>
        <w:keepLines w:val="0"/>
        <w:widowControl/>
        <w:suppressLineNumbers w:val="0"/>
        <w:spacing w:before="75" w:beforeAutospacing="0" w:after="75" w:afterAutospacing="0"/>
        <w:ind w:left="0" w:right="0" w:firstLine="105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24"/>
          <w:szCs w:val="24"/>
        </w:rPr>
        <w:t> </w:t>
      </w:r>
    </w:p>
    <w:p>
      <w:pPr>
        <w:keepNext w:val="0"/>
        <w:keepLines w:val="0"/>
        <w:widowControl/>
        <w:suppressLineNumbers w:val="0"/>
        <w:jc w:val="left"/>
      </w:pPr>
      <w:r>
        <w:rPr>
          <w:rStyle w:val="6"/>
          <w:rFonts w:hint="eastAsia" w:ascii="微软雅黑" w:hAnsi="微软雅黑" w:eastAsia="微软雅黑" w:cs="微软雅黑"/>
          <w:i w:val="0"/>
          <w:iCs w:val="0"/>
          <w:caps w:val="0"/>
          <w:color w:val="000000"/>
          <w:spacing w:val="0"/>
          <w:kern w:val="0"/>
          <w:sz w:val="27"/>
          <w:szCs w:val="27"/>
          <w:lang w:val="en-US" w:eastAsia="zh-CN" w:bidi="ar"/>
        </w:rPr>
        <w:t> </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rPr>
        <w:t>泉州市博捷勘察设计咨询服务有限公司</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rPr>
        <w:t> </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rPr>
        <w:t>2022年12月</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rPr>
        <w:t> </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rPr>
        <w:t> </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rPr>
        <w:t> </w:t>
      </w:r>
    </w:p>
    <w:p>
      <w:pPr>
        <w:keepNext w:val="0"/>
        <w:keepLines w:val="0"/>
        <w:widowControl/>
        <w:suppressLineNumbers w:val="0"/>
        <w:jc w:val="left"/>
      </w:pPr>
      <w:r>
        <w:rPr>
          <w:rStyle w:val="6"/>
          <w:rFonts w:hint="eastAsia" w:ascii="宋体" w:hAnsi="宋体" w:eastAsia="宋体" w:cs="宋体"/>
          <w:i w:val="0"/>
          <w:iCs w:val="0"/>
          <w:caps w:val="0"/>
          <w:color w:val="000000"/>
          <w:spacing w:val="0"/>
          <w:kern w:val="0"/>
          <w:sz w:val="30"/>
          <w:szCs w:val="30"/>
          <w:lang w:val="en-US" w:eastAsia="zh-CN" w:bidi="ar"/>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spacing w:val="0"/>
          <w:sz w:val="43"/>
          <w:szCs w:val="43"/>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spacing w:val="0"/>
          <w:sz w:val="43"/>
          <w:szCs w:val="43"/>
        </w:rPr>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第一章   采购公告/采购邀请书</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竞争性谈判采购公告</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纺织与服装学院鞋服产品工艺实训室货物类采购项目项目（以下简称：“本项目”）的政府采购活动，现欢迎国内合格的供应商前来参加。本项目由采购人委托泉州市博捷勘察设计咨询服务有限公司开展竞争性谈判活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1.项目名称：泉州师范学院纺织与服装学院鞋服产品工艺实训室货物类采购项目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2.备案编号：C-SY-JT-202212-B0255-IDN</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3.项目编号：[350500]QZBJ[TP]2022003</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3"/>
        <w:keepNext w:val="0"/>
        <w:keepLines w:val="0"/>
        <w:widowControl/>
        <w:suppressLineNumbers w:val="0"/>
        <w:jc w:val="right"/>
      </w:pPr>
      <w:r>
        <w:rPr>
          <w:rFonts w:hint="eastAsia" w:ascii="宋体" w:hAnsi="宋体" w:eastAsia="宋体" w:cs="宋体"/>
        </w:rPr>
        <w:t>金额单位：人民币元</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78"/>
        <w:gridCol w:w="539"/>
        <w:gridCol w:w="2158"/>
        <w:gridCol w:w="1079"/>
        <w:gridCol w:w="1079"/>
        <w:gridCol w:w="539"/>
        <w:gridCol w:w="1079"/>
        <w:gridCol w:w="1079"/>
        <w:gridCol w:w="1079"/>
        <w:gridCol w:w="10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中小企业划分标准所属行业</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6"/>
              <w:gridCol w:w="2147"/>
              <w:gridCol w:w="1074"/>
              <w:gridCol w:w="1074"/>
              <w:gridCol w:w="537"/>
              <w:gridCol w:w="1074"/>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缝纫机</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103500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335臂式缝纫机</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工业缝纫机（柱车）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73500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单针小嘴缝纫机（皮革厚料机）</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皮革削边机</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18600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单针大嘴缝纫机</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73000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1-7</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单针平板缝纫机（皮革厚料机）</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82000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418600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418600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6"/>
              <w:gridCol w:w="2147"/>
              <w:gridCol w:w="1074"/>
              <w:gridCol w:w="1074"/>
              <w:gridCol w:w="537"/>
              <w:gridCol w:w="1074"/>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平缝机</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260000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2-2</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包缝机</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21000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281000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281000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进口产品，适用于（ / ）。节能产品，适用于（包1包2），按照《关于印发节能产品政府采购品目清单的通知》财库〔2019〕19号执行。环境标志产品，适用于（包1包2），按照《关于印发环境标志产品政府采购品目清单的通知》财库〔2019〕18号执行。信息安全产品，适用于（ 包1包2）。小型、微型企业，适用于（包1包2）。监狱企业，适用于（包1包2）。促进残疾人就业 ，适用于（包1包2）。信用记录，适用于（包1包2），按照下列规定执行：（1）供应商应在（投标截止时间前）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或者提供“未被列入失信被执行人、重大税收违法案件当事人名单、政府采购严重违法失信行为记录名单”的声明函(格式自拟)，若文件中有其他要求与此处矛盾的，以此处要求为准。（2）查询结果的审查：①由谈判小组通过上述网站查询并打印供应商信用记录（以下简称：“谈判小组的查询结果”）。②供应商提供的查询结果与谈判小组的查询结果不一致的，以谈判小组的查询结果为准。③因上述网站原因导致谈判小组无法查询供应商信用记录的（谈判小组应将通过上述网站查询供应商信用记录时的原始页面打印后随采购文件一并存档），以供应商提供的查询结果为准。④查询结果存在供应商应被拒绝参与政府采购活动相关信息的，其资格审查不合格。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3"/>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w:t>
      </w:r>
      <w:r>
        <w:rPr>
          <w:rStyle w:val="6"/>
          <w:rFonts w:hint="eastAsia" w:ascii="宋体" w:hAnsi="宋体" w:eastAsia="宋体" w:cs="宋体"/>
          <w:spacing w:val="0"/>
          <w:sz w:val="24"/>
          <w:szCs w:val="24"/>
          <w:shd w:val="clear" w:fill="FFFFFF"/>
        </w:rPr>
        <w:t>包：1</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787"/>
        <w:gridCol w:w="80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29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370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29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370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29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370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29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落实政府采购政策的证明材料（专门面向中小企业采购）</w:t>
            </w:r>
          </w:p>
        </w:tc>
        <w:tc>
          <w:tcPr>
            <w:tcW w:w="370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政府采购促进中小企业发展管理办法》（财库〔2020〕46号）,本项目为专门面向中小微企业采购项目，投标人须按本采购文件第五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采购标的对应的中小企业划分标准所属行业为“工业”。④监狱企业视同小型、微型企业，投标人为监狱企业的，可不提供中小企业声明函，但须提供由省级以上监狱管理局、戒毒管理局（含新疆生产建设兵团）出具的属于监狱企业的证明文件。⑤残疾人福利性单位视同小型、微型企业，投标人为残疾人福利性单位的，可不提供中小企业声明函，但须提供《残疾人福利性单位声明函》。 （如属于专门面向中小企业采购的项目,供应商应为中小微企业、监狱企业、残疾人福利性单位)</w:t>
            </w:r>
          </w:p>
        </w:tc>
      </w:tr>
    </w:tbl>
    <w:p>
      <w:pPr>
        <w:keepNext w:val="0"/>
        <w:keepLines w:val="0"/>
        <w:widowControl/>
        <w:suppressLineNumbers w:val="0"/>
        <w:jc w:val="left"/>
      </w:pPr>
      <w:r>
        <w:rPr>
          <w:rStyle w:val="6"/>
          <w:rFonts w:ascii="宋体" w:hAnsi="宋体" w:eastAsia="宋体" w:cs="宋体"/>
          <w:kern w:val="0"/>
          <w:sz w:val="24"/>
          <w:szCs w:val="24"/>
          <w:lang w:val="en-US" w:eastAsia="zh-CN" w:bidi="ar"/>
        </w:rPr>
        <w:t>包：2</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787"/>
        <w:gridCol w:w="80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29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370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29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370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29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370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29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落实政府采购政策的证明材料（专门面向中小企业采购）</w:t>
            </w:r>
          </w:p>
        </w:tc>
        <w:tc>
          <w:tcPr>
            <w:tcW w:w="370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政府采购促进中小企业发展管理办法》（财库〔2020〕46号）,本项目为专门面向中小微企业采购项目，投标人须按本采购文件第五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采购标的对应的中小企业划分标准所属行业为“工业”。④监狱企业视同小型、微型企业，投标人为监狱企业的，可不提供中小企业声明函，但须提供由省级以上监狱管理局、戒毒管理局（含新疆生产建设兵团）出具的属于监狱企业的证明文件。⑤残疾人福利性单位视同小型、微型企业，投标人为残疾人福利性单位的，可不提供中小企业声明函，但须提供《残疾人福利性单位声明函》。 （如属于专门面向中小企业采购的项目,供应商应为中小微企业、监狱企业、残疾人福利性单位)</w:t>
            </w:r>
          </w:p>
        </w:tc>
      </w:tr>
    </w:tbl>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w:t>
      </w:r>
      <w:r>
        <w:rPr>
          <w:rStyle w:val="6"/>
          <w:rFonts w:hint="eastAsia" w:ascii="宋体" w:hAnsi="宋体" w:eastAsia="宋体" w:cs="宋体"/>
          <w:spacing w:val="0"/>
          <w:sz w:val="24"/>
          <w:szCs w:val="24"/>
          <w:shd w:val="clear" w:fill="FFFFFF"/>
        </w:rPr>
        <w:t>根据上述资格要求，供应商响应文件中应提交的“资格证明文件”相关规定和资料要求，详见竞争性谈判须知前附表和谈判文件第五章。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联系人：苏颖聪</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联系方法：059522919532</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代理机构：泉州市博捷勘察设计咨询服务有限公司</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址：泉州市丰泽区东湖街凤山南段金贸大厦510号</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联系人：郭海婷</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联系方法：15860593314</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W w:w="10882"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0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10822"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10822" w:type="dxa"/>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开户名称：泉州市博捷勘察设计咨询服务有限公司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10822" w:type="dxa"/>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10822" w:type="dxa"/>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822"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822" w:type="dxa"/>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spacing w:val="0"/>
          <w:sz w:val="43"/>
          <w:szCs w:val="43"/>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spacing w:val="0"/>
          <w:sz w:val="43"/>
          <w:szCs w:val="43"/>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spacing w:val="0"/>
          <w:sz w:val="43"/>
          <w:szCs w:val="43"/>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spacing w:val="0"/>
          <w:sz w:val="43"/>
          <w:szCs w:val="43"/>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spacing w:val="0"/>
          <w:sz w:val="43"/>
          <w:szCs w:val="43"/>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spacing w:val="0"/>
          <w:sz w:val="43"/>
          <w:szCs w:val="43"/>
        </w:rPr>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第二章  竞争性谈判须知</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31"/>
          <w:szCs w:val="31"/>
        </w:rPr>
        <w:t>第1节  竞争性谈判须知前附表</w:t>
      </w:r>
    </w:p>
    <w:p>
      <w:pPr>
        <w:pStyle w:val="3"/>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W w:w="1105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845"/>
        <w:gridCol w:w="1077"/>
        <w:gridCol w:w="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01" w:hRule="atLeast"/>
          <w:tblCellSpacing w:w="15" w:type="dxa"/>
        </w:trPr>
        <w:tc>
          <w:tcPr>
            <w:tcW w:w="800" w:type="dxa"/>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项号</w:t>
            </w:r>
          </w:p>
        </w:tc>
        <w:tc>
          <w:tcPr>
            <w:tcW w:w="1047" w:type="dxa"/>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条款号</w:t>
            </w:r>
          </w:p>
        </w:tc>
        <w:tc>
          <w:tcPr>
            <w:tcW w:w="9091" w:type="dxa"/>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615" w:hRule="atLeast"/>
          <w:tblCellSpacing w:w="15" w:type="dxa"/>
        </w:trPr>
        <w:tc>
          <w:tcPr>
            <w:tcW w:w="800"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1047"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9091"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W w:w="4999"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049"/>
              <w:gridCol w:w="5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明细</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shd w:val="clear" w:fill="FFFFFF"/>
              </w:rPr>
              <w:t>包：1</w:t>
            </w:r>
          </w:p>
          <w:tbl>
            <w:tblPr>
              <w:tblW w:w="4999"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049"/>
              <w:gridCol w:w="5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明细</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落实政府采购政策的证明材料（专门面向中小企业采购）</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政府采购促进中小企业发展管理办法》（财库〔2020〕46号）,本项目为专门面向中小微企业采购项目，投标人须按本采购文件第五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采购标的对应的中小企业划分标准所属行业为“工业”。④监狱企业视同小型、微型企业，投标人为监狱企业的，可不提供中小企业声明函，但须提供由省级以上监狱管理局、戒毒管理局（含新疆生产建设兵团）出具的属于监狱企业的证明文件。⑤残疾人福利性单位视同小型、微型企业，投标人为残疾人福利性单位的，可不提供中小企业声明函，但须提供《残疾人福利性单位声明函》。 （如属于专门面向中小企业采购的项目,供应商应为中小微企业、监狱企业、残疾人福利性单位)</w:t>
                  </w:r>
                </w:p>
              </w:tc>
            </w:tr>
          </w:tbl>
          <w:p>
            <w:pPr>
              <w:keepNext w:val="0"/>
              <w:keepLines w:val="0"/>
              <w:widowControl/>
              <w:suppressLineNumbers w:val="0"/>
              <w:jc w:val="left"/>
            </w:pPr>
            <w:r>
              <w:rPr>
                <w:rStyle w:val="6"/>
                <w:rFonts w:ascii="宋体" w:hAnsi="宋体" w:eastAsia="宋体" w:cs="宋体"/>
                <w:kern w:val="0"/>
                <w:sz w:val="24"/>
                <w:szCs w:val="24"/>
                <w:bdr w:val="none" w:color="auto" w:sz="0" w:space="0"/>
                <w:lang w:val="en-US" w:eastAsia="zh-CN" w:bidi="ar"/>
              </w:rPr>
              <w:t>包：2</w:t>
            </w:r>
          </w:p>
          <w:tbl>
            <w:tblPr>
              <w:tblW w:w="4999"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049"/>
              <w:gridCol w:w="5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明细</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172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落实政府采购政策的证明材料（专门面向中小企业采购）</w:t>
                  </w:r>
                </w:p>
              </w:tc>
              <w:tc>
                <w:tcPr>
                  <w:tcW w:w="327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政府采购促进中小企业发展管理办法》（财库〔2020〕46号）,本项目为专门面向中小微企业采购项目，投标人须按本采购文件第五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采购标的对应的中小企业划分标准所属行业为“工业”。④监狱企业视同小型、微型企业，投标人为监狱企业的，可不提供中小企业声明函，但须提供由省级以上监狱管理局、戒毒管理局（含新疆生产建设兵团）出具的属于监狱企业的证明文件。⑤残疾人福利性单位视同小型、微型企业，投标人为残疾人福利性单位的，可不提供中小企业声明函，但须提供《残疾人福利性单位声明函》。 （如属于专门面向中小企业采购的项目,供应商应为中小微企业、监狱企业、残疾人福利性单位)</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95" w:hRule="atLeast"/>
          <w:tblCellSpacing w:w="15" w:type="dxa"/>
        </w:trPr>
        <w:tc>
          <w:tcPr>
            <w:tcW w:w="800"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1047"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9091"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99" w:hRule="atLeast"/>
          <w:tblCellSpacing w:w="15" w:type="dxa"/>
        </w:trPr>
        <w:tc>
          <w:tcPr>
            <w:tcW w:w="800"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1047" w:type="dxa"/>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9091" w:type="dxa"/>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ind w:left="0" w:right="0"/>
            </w:pPr>
            <w:r>
              <w:rPr>
                <w:rStyle w:val="6"/>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798" w:hRule="atLeast"/>
          <w:tblCellSpacing w:w="15" w:type="dxa"/>
        </w:trPr>
        <w:tc>
          <w:tcPr>
            <w:tcW w:w="800" w:type="dxa"/>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1047" w:type="dxa"/>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9091" w:type="dxa"/>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提交谈判保证金：</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 </w:t>
            </w:r>
            <w:r>
              <w:rPr>
                <w:rFonts w:hint="eastAsia" w:ascii="宋体" w:hAnsi="宋体" w:eastAsia="宋体" w:cs="宋体"/>
                <w:spacing w:val="0"/>
                <w:sz w:val="24"/>
                <w:szCs w:val="24"/>
              </w:rPr>
              <w:t>，须于提交响应文件截止时间前到达指定账户为准，是否到达以 </w:t>
            </w:r>
            <w:r>
              <w:rPr>
                <w:spacing w:val="0"/>
                <w:sz w:val="24"/>
                <w:szCs w:val="24"/>
              </w:rPr>
              <w:t>/ </w:t>
            </w:r>
            <w:r>
              <w:rPr>
                <w:rFonts w:hint="eastAsia" w:ascii="宋体" w:hAnsi="宋体" w:eastAsia="宋体" w:cs="宋体"/>
                <w:spacing w:val="0"/>
                <w:sz w:val="24"/>
                <w:szCs w:val="24"/>
              </w:rPr>
              <w:t>为准；</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0" w:hRule="atLeast"/>
          <w:tblCellSpacing w:w="15" w:type="dxa"/>
        </w:trPr>
        <w:tc>
          <w:tcPr>
            <w:tcW w:w="800"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1047" w:type="dxa"/>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9091"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谈判保证金退还的其它要求：</w:t>
            </w:r>
            <w:r>
              <w:rPr>
                <w:spacing w:val="0"/>
                <w:sz w:val="24"/>
                <w:szCs w:val="24"/>
              </w:rPr>
              <w:t>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2667" w:hRule="atLeast"/>
          <w:tblCellSpacing w:w="15" w:type="dxa"/>
        </w:trPr>
        <w:tc>
          <w:tcPr>
            <w:tcW w:w="800"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1047" w:type="dxa"/>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9091" w:type="dxa"/>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响应文件的份数</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0 </w:t>
            </w:r>
            <w:r>
              <w:rPr>
                <w:rFonts w:hint="eastAsia" w:ascii="宋体" w:hAnsi="宋体" w:eastAsia="宋体" w:cs="宋体"/>
                <w:spacing w:val="0"/>
                <w:sz w:val="24"/>
                <w:szCs w:val="24"/>
              </w:rPr>
              <w:t>份、副本</w:t>
            </w:r>
            <w:r>
              <w:rPr>
                <w:spacing w:val="0"/>
                <w:sz w:val="24"/>
                <w:szCs w:val="24"/>
              </w:rPr>
              <w:t>0</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38" w:hRule="atLeast"/>
          <w:tblCellSpacing w:w="15" w:type="dxa"/>
        </w:trPr>
        <w:tc>
          <w:tcPr>
            <w:tcW w:w="800"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1047" w:type="dxa"/>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9091" w:type="dxa"/>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谈判过程中可能发生实质性变动的内容：</w:t>
            </w:r>
            <w:r>
              <w:rPr>
                <w:spacing w:val="0"/>
                <w:sz w:val="24"/>
                <w:szCs w:val="24"/>
              </w:rPr>
              <w:t>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798" w:hRule="atLeast"/>
          <w:tblCellSpacing w:w="15" w:type="dxa"/>
        </w:trPr>
        <w:tc>
          <w:tcPr>
            <w:tcW w:w="800"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1047" w:type="dxa"/>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9091" w:type="dxa"/>
            <w:shd w:val="clear"/>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信息公告指定媒体（以下简称：“指定媒体”）：</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※上述指定媒体的有关信息若不一致，应以中国政府采购网福建分网（福建省政府采购网）发布的为准。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21" w:hRule="atLeast"/>
          <w:tblCellSpacing w:w="15" w:type="dxa"/>
        </w:trPr>
        <w:tc>
          <w:tcPr>
            <w:tcW w:w="800"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1047" w:type="dxa"/>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9091"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6"/>
                <w:rFonts w:hint="eastAsia" w:ascii="宋体" w:hAnsi="宋体" w:eastAsia="宋体" w:cs="宋体"/>
                <w:spacing w:val="0"/>
                <w:sz w:val="24"/>
                <w:szCs w:val="24"/>
              </w:rPr>
              <w:t>本项目监督管理部门：</w:t>
            </w:r>
            <w:r>
              <w:rPr>
                <w:rFonts w:hint="eastAsia" w:ascii="宋体" w:hAnsi="宋体" w:eastAsia="宋体" w:cs="宋体"/>
                <w:spacing w:val="0"/>
                <w:sz w:val="24"/>
                <w:szCs w:val="24"/>
              </w:rPr>
              <w:t>泉州市财政局。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678" w:hRule="atLeast"/>
          <w:tblCellSpacing w:w="15" w:type="dxa"/>
        </w:trPr>
        <w:tc>
          <w:tcPr>
            <w:tcW w:w="800"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1047" w:type="dxa"/>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9091"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履约保证金：</w:t>
            </w:r>
          </w:p>
          <w:tbl>
            <w:tblPr>
              <w:tblW w:w="4988"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1"/>
              <w:gridCol w:w="2250"/>
              <w:gridCol w:w="57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471"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包号</w:t>
                  </w:r>
                </w:p>
              </w:tc>
              <w:tc>
                <w:tcPr>
                  <w:tcW w:w="127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履约保证金比例</w:t>
                  </w:r>
                </w:p>
              </w:tc>
              <w:tc>
                <w:tcPr>
                  <w:tcW w:w="3251"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471"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27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3251"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标供应商在签订合同前需向采购人缴纳合同金额2%的履约保证金，该保证金在中标供应商供应的货物全部验收合格，合同约定事项全部履行完毕且无未了事项后，30日内一次性无息退还。履约保证金以支票、汇票、本票或者金融机构、担保机构出具的保函等非现金形式向采购人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471"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127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3251"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标供应商在签订合同前需向采购人缴纳合同金额2%的履约保证金，该保证金在中标供应商供应的货物全部验收合格，合同约定事项全部履行完毕且无未了事项后，30日内一次性无息退还。履约保证金以支票、汇票、本票或者金融机构、担保机构出具的保函等非现金形式向采购人缴交。</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3101" w:hRule="atLeast"/>
          <w:tblCellSpacing w:w="15" w:type="dxa"/>
        </w:trPr>
        <w:tc>
          <w:tcPr>
            <w:tcW w:w="800"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1047" w:type="dxa"/>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9091" w:type="dxa"/>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根据采购项目特点或政策需要补充的其他新增内容：</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成交供应商</w:t>
            </w:r>
            <w:r>
              <w:rPr>
                <w:rStyle w:val="6"/>
                <w:rFonts w:hint="eastAsia" w:ascii="宋体" w:hAnsi="宋体" w:eastAsia="宋体" w:cs="宋体"/>
                <w:spacing w:val="0"/>
                <w:sz w:val="24"/>
                <w:szCs w:val="24"/>
              </w:rPr>
              <w:t>支付。</w:t>
            </w: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(2)其他：</w:t>
            </w:r>
            <w:r>
              <w:rPr>
                <w:rFonts w:hint="eastAsia" w:ascii="宋体" w:hAnsi="宋体" w:eastAsia="宋体" w:cs="宋体"/>
                <w:spacing w:val="0"/>
                <w:sz w:val="24"/>
                <w:szCs w:val="24"/>
              </w:rPr>
              <w:t>①按差额定率累进法计算：100万元以下 1.5% ；由成交供应商支付，成交供应商应在中标公告发布后三个工作日内，向采购代 理机构缴交。缴纳招标服务费账户： 开户单位: 泉州市博捷勘察设计咨询服务有限公司 开户银行：中国农业银行泉州津淮支行 账 号：13510801040005641 ②项目采购完成后，采购人及代 理机构根据采购资料归档需求，中标必须配合补充提交相关纸质资料。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02" w:hRule="atLeast"/>
          <w:tblCellSpacing w:w="15" w:type="dxa"/>
        </w:trPr>
        <w:tc>
          <w:tcPr>
            <w:tcW w:w="800" w:type="dxa"/>
            <w:shd w:val="cle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12</w:t>
            </w:r>
          </w:p>
        </w:tc>
        <w:tc>
          <w:tcPr>
            <w:tcW w:w="1047" w:type="dxa"/>
            <w:shd w:val="clear"/>
            <w:vAlign w:val="center"/>
          </w:tcPr>
          <w:p>
            <w:pPr>
              <w:keepNext w:val="0"/>
              <w:keepLines w:val="0"/>
              <w:widowControl/>
              <w:suppressLineNumbers w:val="0"/>
              <w:jc w:val="center"/>
            </w:pPr>
          </w:p>
        </w:tc>
        <w:tc>
          <w:tcPr>
            <w:tcW w:w="9091" w:type="dxa"/>
            <w:shd w:val="clear"/>
            <w:vAlign w:val="center"/>
          </w:tcPr>
          <w:p>
            <w:pPr>
              <w:keepNext w:val="0"/>
              <w:keepLines w:val="0"/>
              <w:widowControl/>
              <w:suppressLineNumbers w:val="0"/>
              <w:jc w:val="left"/>
            </w:pPr>
            <w:r>
              <w:rPr>
                <w:rStyle w:val="6"/>
                <w:rFonts w:hint="eastAsia" w:ascii="宋体" w:hAnsi="宋体" w:eastAsia="宋体" w:cs="宋体"/>
                <w:spacing w:val="0"/>
                <w:kern w:val="0"/>
                <w:sz w:val="24"/>
                <w:szCs w:val="24"/>
                <w:lang w:val="en-US" w:eastAsia="zh-CN" w:bidi="ar"/>
              </w:rPr>
              <w:t>是否组织现场考察或召开开标前答疑会：否</w:t>
            </w:r>
            <w:r>
              <w:rPr>
                <w:rFonts w:hint="eastAsia" w:ascii="宋体" w:hAnsi="宋体" w:eastAsia="宋体" w:cs="宋体"/>
                <w:spacing w:val="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tblCellSpacing w:w="15" w:type="dxa"/>
        </w:trPr>
        <w:tc>
          <w:tcPr>
            <w:tcW w:w="800" w:type="dxa"/>
            <w:shd w:val="cle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13</w:t>
            </w:r>
          </w:p>
        </w:tc>
        <w:tc>
          <w:tcPr>
            <w:tcW w:w="1047" w:type="dxa"/>
            <w:shd w:val="cle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18.1</w:t>
            </w:r>
          </w:p>
        </w:tc>
        <w:tc>
          <w:tcPr>
            <w:tcW w:w="9091" w:type="dxa"/>
            <w:shd w:val="clear"/>
            <w:vAlign w:val="center"/>
          </w:tcPr>
          <w:p>
            <w:pPr>
              <w:pStyle w:val="3"/>
              <w:keepNext w:val="0"/>
              <w:keepLines w:val="0"/>
              <w:widowControl/>
              <w:suppressLineNumbers w:val="0"/>
            </w:pPr>
            <w:r>
              <w:rPr>
                <w:rStyle w:val="6"/>
                <w:rFonts w:hint="eastAsia" w:ascii="宋体" w:hAnsi="宋体" w:eastAsia="宋体" w:cs="宋体"/>
              </w:rPr>
              <w:t>合同签订时限：自中标通知书发出之日起30个日历日内。</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W w:w="1105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857"/>
        <w:gridCol w:w="10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10999" w:type="dxa"/>
            <w:gridSpan w:val="2"/>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宋体" w:hAnsi="宋体" w:eastAsia="宋体" w:cs="宋体"/>
                <w:spacing w:val="0"/>
                <w:sz w:val="24"/>
                <w:szCs w:val="24"/>
              </w:rPr>
              <w:t>关于电子竞争性谈判活动的专门规定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12"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10157"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12" w:type="dxa"/>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0157" w:type="dxa"/>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6"/>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6"/>
                <w:rFonts w:hint="eastAsia" w:ascii="宋体" w:hAnsi="宋体" w:eastAsia="宋体" w:cs="宋体"/>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6"/>
                <w:rFonts w:hint="eastAsia" w:ascii="宋体" w:hAnsi="宋体" w:eastAsia="宋体" w:cs="宋体"/>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6"/>
                <w:rFonts w:hint="eastAsia" w:ascii="宋体" w:hAnsi="宋体" w:eastAsia="宋体" w:cs="宋体"/>
                <w:spacing w:val="0"/>
                <w:sz w:val="24"/>
                <w:szCs w:val="24"/>
              </w:rPr>
              <w:t>谈判小组将按照不利于供应商的内容进行认定</w:t>
            </w:r>
            <w:r>
              <w:rPr>
                <w:rFonts w:hint="eastAsia" w:ascii="宋体" w:hAnsi="宋体" w:eastAsia="宋体" w:cs="宋体"/>
                <w:spacing w:val="0"/>
                <w:sz w:val="24"/>
                <w:szCs w:val="24"/>
              </w:rPr>
              <w:t>。</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6"/>
                <w:rFonts w:hint="eastAsia" w:ascii="宋体" w:hAnsi="宋体" w:eastAsia="宋体" w:cs="宋体"/>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6"/>
                <w:rFonts w:hint="eastAsia" w:ascii="宋体" w:hAnsi="宋体" w:eastAsia="宋体" w:cs="宋体"/>
                <w:spacing w:val="0"/>
                <w:sz w:val="24"/>
                <w:szCs w:val="24"/>
              </w:rPr>
              <w:t>（谈判小组将核对纸质响应文件正本，未提供原件的证明材料或资料将被视为无效）。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6"/>
                <w:rFonts w:hint="eastAsia" w:ascii="宋体" w:hAnsi="宋体" w:eastAsia="宋体" w:cs="宋体"/>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6"/>
                <w:rFonts w:hint="eastAsia" w:ascii="宋体" w:hAnsi="宋体" w:eastAsia="宋体" w:cs="宋体"/>
                <w:spacing w:val="0"/>
                <w:sz w:val="24"/>
                <w:szCs w:val="24"/>
              </w:rPr>
              <w:t>该响应文件无效，相应供应商的谈判将被否决。</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6"/>
                <w:rFonts w:hint="eastAsia" w:ascii="宋体" w:hAnsi="宋体" w:eastAsia="宋体" w:cs="宋体"/>
                <w:spacing w:val="0"/>
                <w:sz w:val="24"/>
                <w:szCs w:val="24"/>
              </w:rPr>
              <w:t>不视为该响应文件无效。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6"/>
                <w:rFonts w:hint="eastAsia" w:ascii="宋体" w:hAnsi="宋体" w:eastAsia="宋体" w:cs="宋体"/>
                <w:spacing w:val="0"/>
                <w:sz w:val="24"/>
                <w:szCs w:val="24"/>
              </w:rPr>
              <w:t>参加谈判活动的供应商代表务必携带供应商的CA证书</w:t>
            </w:r>
            <w:r>
              <w:rPr>
                <w:rFonts w:hint="eastAsia" w:ascii="宋体" w:hAnsi="宋体" w:eastAsia="宋体" w:cs="宋体"/>
                <w:spacing w:val="0"/>
                <w:sz w:val="24"/>
                <w:szCs w:val="24"/>
              </w:rPr>
              <w:t>。</w:t>
            </w:r>
            <w:r>
              <w:rPr>
                <w:rStyle w:val="6"/>
                <w:rFonts w:hint="eastAsia" w:ascii="宋体" w:hAnsi="宋体" w:eastAsia="宋体" w:cs="宋体"/>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pPr>
            <w:r>
              <w:rPr>
                <w:rFonts w:hint="eastAsia" w:ascii="宋体" w:hAnsi="宋体" w:eastAsia="宋体" w:cs="宋体"/>
                <w:spacing w:val="0"/>
                <w:bdr w:val="none" w:color="auto" w:sz="0" w:space="0"/>
              </w:rPr>
              <w:t>⑾关于首次</w:t>
            </w:r>
            <w:r>
              <w:rPr>
                <w:rFonts w:hint="eastAsia" w:ascii="宋体" w:hAnsi="宋体" w:eastAsia="宋体" w:cs="宋体"/>
                <w:bdr w:val="none" w:color="auto" w:sz="0" w:space="0"/>
              </w:rPr>
              <w:t>响应文件递交截止时间</w:t>
            </w:r>
            <w:r>
              <w:rPr>
                <w:rFonts w:hint="eastAsia" w:ascii="宋体" w:hAnsi="宋体" w:eastAsia="宋体" w:cs="宋体"/>
                <w:spacing w:val="0"/>
                <w:bdr w:val="none" w:color="auto" w:sz="0" w:space="0"/>
              </w:rPr>
              <w:t>过后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a.被福建省政府采购网上公开信息系统判定为报价保证金未提交（即未于首次响应文件递交截止时间前到谈判文件载明的报价保证金账户）的供应商，</w:t>
            </w:r>
            <w:r>
              <w:rPr>
                <w:rStyle w:val="6"/>
                <w:rFonts w:hint="eastAsia" w:ascii="宋体" w:hAnsi="宋体" w:eastAsia="宋体" w:cs="宋体"/>
                <w:spacing w:val="0"/>
                <w:bdr w:val="none" w:color="auto" w:sz="0" w:space="0"/>
              </w:rPr>
              <w:t>该响应文件无效，相应供应商的谈判将被否决。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b.有下列情形之一的，</w:t>
            </w:r>
            <w:r>
              <w:rPr>
                <w:rStyle w:val="6"/>
                <w:rFonts w:hint="eastAsia" w:ascii="宋体" w:hAnsi="宋体" w:eastAsia="宋体" w:cs="宋体"/>
                <w:spacing w:val="0"/>
                <w:bdr w:val="none" w:color="auto" w:sz="0" w:space="0"/>
              </w:rPr>
              <w:t>该响应文件无效，相应供应商的谈判将被否决,</w:t>
            </w:r>
            <w:r>
              <w:rPr>
                <w:rFonts w:hint="eastAsia" w:ascii="宋体" w:hAnsi="宋体" w:eastAsia="宋体" w:cs="宋体"/>
                <w:spacing w:val="0"/>
                <w:bdr w:val="none" w:color="auto" w:sz="0" w:space="0"/>
              </w:rPr>
              <w:t>其保证金不予退还</w:t>
            </w:r>
            <w:r>
              <w:rPr>
                <w:rStyle w:val="6"/>
                <w:rFonts w:hint="eastAsia" w:ascii="宋体" w:hAnsi="宋体" w:eastAsia="宋体" w:cs="宋体"/>
                <w:spacing w:val="0"/>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报价保证金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b3供应商的报价保证金被福建省政府采购网上公开信息系统判定为同一合同项下有其他供应商提交的报价保证金。</w:t>
            </w:r>
          </w:p>
          <w:p>
            <w:pPr>
              <w:pStyle w:val="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rPr>
          <w:rStyle w:val="6"/>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专项附件：       评定成交的标准和方法</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一、谈判小组</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3"/>
        <w:keepNext w:val="0"/>
        <w:keepLines w:val="0"/>
        <w:widowControl/>
        <w:suppressLineNumbers w:val="0"/>
        <w:spacing w:before="75" w:beforeAutospacing="0" w:after="75" w:afterAutospacing="0" w:line="405" w:lineRule="atLeast"/>
        <w:ind w:left="0" w:right="0" w:firstLine="480"/>
      </w:pPr>
      <w:r>
        <w:rPr>
          <w:rStyle w:val="6"/>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6"/>
          <w:rFonts w:hint="eastAsia" w:ascii="宋体" w:hAnsi="宋体" w:eastAsia="宋体" w:cs="宋体"/>
          <w:spacing w:val="0"/>
          <w:sz w:val="24"/>
          <w:szCs w:val="24"/>
        </w:rPr>
        <w:t>谈判程序</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三、最低评审价法和成交候选人推荐</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3"/>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包1:</w:t>
      </w:r>
    </w:p>
    <w:p>
      <w:pPr>
        <w:pStyle w:val="3"/>
        <w:keepNext w:val="0"/>
        <w:keepLines w:val="0"/>
        <w:widowControl/>
        <w:suppressLineNumbers w:val="0"/>
        <w:spacing w:line="405" w:lineRule="atLeast"/>
        <w:ind w:left="0" w:right="0" w:firstLine="480"/>
      </w:pPr>
      <w:r>
        <w:rPr>
          <w:rFonts w:hint="eastAsia" w:ascii="宋体" w:hAnsi="宋体" w:eastAsia="宋体" w:cs="宋体"/>
          <w:sz w:val="24"/>
          <w:szCs w:val="24"/>
        </w:rPr>
        <w:t>（1）小型、微型企业产品： 无 。</w:t>
      </w:r>
    </w:p>
    <w:p>
      <w:pPr>
        <w:pStyle w:val="3"/>
        <w:keepNext w:val="0"/>
        <w:keepLines w:val="0"/>
        <w:widowControl/>
        <w:suppressLineNumbers w:val="0"/>
        <w:spacing w:line="405" w:lineRule="atLeast"/>
        <w:ind w:left="0" w:right="0" w:firstLine="480"/>
      </w:pPr>
      <w:r>
        <w:rPr>
          <w:rFonts w:hint="eastAsia" w:ascii="宋体" w:hAnsi="宋体" w:eastAsia="宋体" w:cs="宋体"/>
          <w:sz w:val="24"/>
          <w:szCs w:val="24"/>
        </w:rPr>
        <w:t>（2）优先类节能产品、环境标志产品： 无 。</w:t>
      </w:r>
    </w:p>
    <w:p>
      <w:pPr>
        <w:keepNext w:val="0"/>
        <w:keepLines w:val="0"/>
        <w:widowControl/>
        <w:suppressLineNumbers w:val="0"/>
        <w:jc w:val="left"/>
      </w:pPr>
      <w:r>
        <w:rPr>
          <w:rFonts w:ascii="宋体" w:hAnsi="宋体" w:eastAsia="宋体" w:cs="宋体"/>
          <w:kern w:val="0"/>
          <w:sz w:val="24"/>
          <w:szCs w:val="24"/>
          <w:lang w:val="en-US" w:eastAsia="zh-CN" w:bidi="ar"/>
        </w:rPr>
        <w:t>包2:</w:t>
      </w:r>
    </w:p>
    <w:p>
      <w:pPr>
        <w:pStyle w:val="3"/>
        <w:keepNext w:val="0"/>
        <w:keepLines w:val="0"/>
        <w:widowControl/>
        <w:suppressLineNumbers w:val="0"/>
        <w:spacing w:line="405" w:lineRule="atLeast"/>
        <w:ind w:left="0" w:right="0" w:firstLine="480"/>
      </w:pPr>
      <w:r>
        <w:rPr>
          <w:rFonts w:hint="eastAsia" w:ascii="宋体" w:hAnsi="宋体" w:eastAsia="宋体" w:cs="宋体"/>
          <w:sz w:val="24"/>
          <w:szCs w:val="24"/>
        </w:rPr>
        <w:t>（1）小型、微型企业产品： 无 。</w:t>
      </w:r>
    </w:p>
    <w:p>
      <w:pPr>
        <w:pStyle w:val="3"/>
        <w:keepNext w:val="0"/>
        <w:keepLines w:val="0"/>
        <w:widowControl/>
        <w:suppressLineNumbers w:val="0"/>
        <w:spacing w:line="405" w:lineRule="atLeast"/>
        <w:ind w:left="0" w:right="0" w:firstLine="480"/>
      </w:pPr>
      <w:r>
        <w:rPr>
          <w:rFonts w:hint="eastAsia" w:ascii="宋体" w:hAnsi="宋体" w:eastAsia="宋体" w:cs="宋体"/>
          <w:sz w:val="24"/>
          <w:szCs w:val="24"/>
        </w:rPr>
        <w:t>（2）优先类节能产品、环境标志产品： 无 。</w:t>
      </w: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四、评审报告</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五、其他规定</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第2节  竞争性谈判须知</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一、总则</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1.适用范围：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2.定义及要求：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3.合格的供应商：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供应商有责任检查自身情况，在响应文件中对是否违反以上一般规定做出如实声明，否则其响应文件将被否决。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4.参与竞争性谈判费用：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二、竞争性谈判文件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5.竞争性谈判文件的组成：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6.竞争性谈判文件的澄清、补充或修改：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3"/>
        <w:keepNext w:val="0"/>
        <w:keepLines w:val="0"/>
        <w:widowControl/>
        <w:suppressLineNumbers w:val="0"/>
        <w:spacing w:before="75" w:beforeAutospacing="0" w:after="75" w:afterAutospacing="0" w:line="435" w:lineRule="atLeast"/>
        <w:ind w:left="0" w:right="0" w:firstLine="480"/>
        <w:rPr>
          <w:rStyle w:val="6"/>
          <w:rFonts w:hint="eastAsia" w:ascii="宋体" w:hAnsi="宋体" w:eastAsia="宋体" w:cs="宋体"/>
          <w:spacing w:val="0"/>
          <w:sz w:val="24"/>
          <w:szCs w:val="24"/>
        </w:rPr>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三、响应文件编制</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7.应标要求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6"/>
          <w:rFonts w:hint="eastAsia" w:ascii="宋体" w:hAnsi="宋体" w:eastAsia="宋体" w:cs="宋体"/>
          <w:spacing w:val="0"/>
          <w:sz w:val="24"/>
          <w:szCs w:val="24"/>
        </w:rPr>
        <w:t>否则其相应合同包的响应文件将被否决。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8.首次响应文件的组成：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9.响应文件有效期：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10.谈判保证金：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6"/>
          <w:rFonts w:hint="eastAsia" w:ascii="宋体" w:hAnsi="宋体" w:eastAsia="宋体" w:cs="宋体"/>
          <w:spacing w:val="0"/>
          <w:sz w:val="24"/>
          <w:szCs w:val="24"/>
        </w:rPr>
        <w:t>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11.纸质响应文件基本编制要求：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四、竞争性谈判</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13.评审和谈判基本准则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14.谈判程序以及评定成交标准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6"/>
          <w:sz w:val="24"/>
          <w:szCs w:val="24"/>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8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不符合谈判文件中规定的其他实质性要求和条款的，将视为无效投标</w:t>
            </w:r>
          </w:p>
        </w:tc>
      </w:tr>
    </w:tbl>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t>商务符合性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8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不符合谈判文件中规定的其他实质性要求和条款的，将视为无效投标</w:t>
            </w:r>
          </w:p>
        </w:tc>
      </w:tr>
    </w:tbl>
    <w:p>
      <w:pPr>
        <w:keepNext w:val="0"/>
        <w:keepLines w:val="0"/>
        <w:widowControl/>
        <w:suppressLineNumbers w:val="0"/>
        <w:jc w:val="left"/>
      </w:pP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 包：2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包一般情形</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8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不符合谈判文件中规定的其他实质性要求和条款的，将视为无效投标</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8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不符合谈判文件中规定的其他实质性要求和条款的，将视为无效投标</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五、合同授予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15.授予合同的准则：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16.确定成交供应商：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17.成交通知: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18.签订合同：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六、询问、质疑与投诉</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19.询问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20.质疑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21.投诉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七、有关信息公告和监督部门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22.政府采购信息公告媒体</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23.监督管理部门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八、根据采购项目特点或政策需要补充的其他内容</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24.履约保证金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25.其他新增内容：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3"/>
        <w:keepNext w:val="0"/>
        <w:keepLines w:val="0"/>
        <w:widowControl/>
        <w:suppressLineNumbers w:val="0"/>
        <w:spacing w:before="75" w:beforeAutospacing="0" w:after="75" w:afterAutospacing="0" w:line="435" w:lineRule="atLeast"/>
        <w:ind w:left="0" w:right="0" w:firstLine="0"/>
        <w:rPr>
          <w:rFonts w:hint="eastAsia" w:ascii="微软雅黑" w:hAnsi="微软雅黑" w:eastAsia="微软雅黑" w:cs="微软雅黑"/>
          <w:i w:val="0"/>
          <w:iCs w:val="0"/>
          <w:caps w:val="0"/>
          <w:color w:val="000000"/>
          <w:spacing w:val="0"/>
          <w:sz w:val="27"/>
          <w:szCs w:val="27"/>
        </w:rPr>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0"/>
      </w:pPr>
      <w:r>
        <w:rPr>
          <w:rFonts w:hint="eastAsia" w:ascii="宋体" w:hAnsi="宋体" w:eastAsia="宋体" w:cs="宋体"/>
          <w:spacing w:val="0"/>
          <w:sz w:val="24"/>
          <w:szCs w:val="24"/>
        </w:rPr>
        <w:t>一、（根据本项目实际情况，填写“采购标的”或“项目概况”）</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70" w:firstLineChars="200"/>
      </w:pPr>
      <w:r>
        <w:rPr>
          <w:rFonts w:hint="eastAsia" w:ascii="宋体" w:hAnsi="宋体" w:eastAsia="宋体" w:cs="宋体"/>
          <w:sz w:val="28"/>
          <w:szCs w:val="28"/>
        </w:rPr>
        <w:t>本项目包1采购360°旋转工业缝纫机（柱车）1台、335臂式缝纫机1台、工业缝纫机（柱车）1台、单针小嘴缝纫机（皮革厚料机）1台、单针平板缝纫机（皮革厚料机）1台、皮革削边机1台、单针大嘴缝纫机1台；包2采购平缝机40台、包缝机3台；满足泉州师范学院相关专业的建设与改革而招标采购的皮革制品加工机械。</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0"/>
      </w:pPr>
      <w:r>
        <w:rPr>
          <w:rFonts w:hint="eastAsia" w:ascii="宋体" w:hAnsi="宋体" w:eastAsia="宋体" w:cs="宋体"/>
          <w:spacing w:val="0"/>
          <w:sz w:val="24"/>
          <w:szCs w:val="24"/>
        </w:rPr>
        <w:t>二、技术和服务要求</w:t>
      </w:r>
    </w:p>
    <w:tbl>
      <w:tblPr>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18"/>
        <w:gridCol w:w="1065"/>
        <w:gridCol w:w="1318"/>
        <w:gridCol w:w="5994"/>
        <w:gridCol w:w="856"/>
        <w:gridCol w:w="7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gridSpan w:val="6"/>
            <w:tcBorders>
              <w:top w:val="single" w:color="000000" w:sz="6" w:space="0"/>
              <w:left w:val="single" w:color="000000" w:sz="6" w:space="0"/>
              <w:bottom w:val="single" w:color="auto" w:sz="6" w:space="0"/>
              <w:right w:val="single" w:color="auto" w:sz="6" w:space="0"/>
            </w:tcBorders>
            <w:shd w:val="cle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pPr>
            <w:r>
              <w:rPr>
                <w:rFonts w:ascii="黑体" w:hAnsi="宋体" w:eastAsia="黑体" w:cs="黑体"/>
              </w:rPr>
              <w:t>                        </w:t>
            </w:r>
            <w:r>
              <w:rPr>
                <w:rFonts w:hint="eastAsia" w:ascii="黑体" w:hAnsi="宋体" w:eastAsia="黑体" w:cs="黑体"/>
              </w:rPr>
              <w:t>项目名 称：泉州师范学院纺织与服装学院鞋服产品工艺实训室采购项目（包1）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94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jc w:val="center"/>
            </w:pPr>
            <w:r>
              <w:rPr>
                <w:rFonts w:hint="eastAsia" w:ascii="黑体" w:hAnsi="宋体" w:eastAsia="黑体" w:cs="黑体"/>
                <w:sz w:val="24"/>
                <w:szCs w:val="24"/>
                <w:bdr w:val="none" w:color="auto" w:sz="0" w:space="0"/>
              </w:rPr>
              <w:t>合同包</w:t>
            </w:r>
          </w:p>
        </w:tc>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黑体" w:hAnsi="宋体" w:eastAsia="黑体" w:cs="黑体"/>
                <w:sz w:val="24"/>
                <w:szCs w:val="24"/>
                <w:bdr w:val="none" w:color="auto" w:sz="0" w:space="0"/>
              </w:rPr>
              <w:t>品目号</w:t>
            </w:r>
          </w:p>
        </w:tc>
        <w:tc>
          <w:tcPr>
            <w:tcW w:w="135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pPr>
            <w:r>
              <w:rPr>
                <w:rFonts w:hint="eastAsia" w:ascii="黑体" w:hAnsi="宋体" w:eastAsia="黑体" w:cs="黑体"/>
                <w:sz w:val="24"/>
                <w:szCs w:val="24"/>
                <w:bdr w:val="none" w:color="auto" w:sz="0" w:space="0"/>
              </w:rPr>
              <w:t>商品名 称</w:t>
            </w:r>
          </w:p>
        </w:tc>
        <w:tc>
          <w:tcPr>
            <w:tcW w:w="68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黑体" w:hAnsi="宋体" w:eastAsia="黑体" w:cs="黑体"/>
                <w:sz w:val="24"/>
                <w:szCs w:val="24"/>
                <w:bdr w:val="none" w:color="auto" w:sz="0" w:space="0"/>
              </w:rPr>
              <w:t>参数及规格</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黑体" w:hAnsi="宋体" w:eastAsia="黑体" w:cs="黑体"/>
                <w:sz w:val="24"/>
                <w:szCs w:val="24"/>
                <w:bdr w:val="none" w:color="auto" w:sz="0" w:space="0"/>
              </w:rPr>
              <w:t>计量单位</w:t>
            </w:r>
          </w:p>
        </w:tc>
        <w:tc>
          <w:tcPr>
            <w:tcW w:w="72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黑体" w:hAnsi="宋体" w:eastAsia="黑体" w:cs="黑体"/>
                <w:sz w:val="24"/>
                <w:szCs w:val="24"/>
                <w:bdr w:val="none" w:color="auto" w:sz="0" w:space="0"/>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0" w:hRule="atLeast"/>
          <w:tblCellSpacing w:w="15" w:type="dxa"/>
        </w:trPr>
        <w:tc>
          <w:tcPr>
            <w:tcW w:w="94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包</w:t>
            </w:r>
            <w:r>
              <w:rPr>
                <w:rFonts w:hint="default" w:ascii="Times New Roman" w:hAnsi="Times New Roman" w:cs="Times New Roman"/>
                <w:sz w:val="24"/>
                <w:szCs w:val="24"/>
                <w:bdr w:val="none" w:color="auto" w:sz="0" w:space="0"/>
              </w:rPr>
              <w:t>1</w:t>
            </w:r>
          </w:p>
        </w:tc>
        <w:tc>
          <w:tcPr>
            <w:tcW w:w="112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default" w:ascii="Times New Roman" w:hAnsi="Times New Roman" w:cs="Times New Roman"/>
                <w:sz w:val="24"/>
                <w:szCs w:val="24"/>
                <w:bdr w:val="none" w:color="auto" w:sz="0" w:space="0"/>
              </w:rPr>
              <w:t>1-1</w:t>
            </w:r>
          </w:p>
        </w:tc>
        <w:tc>
          <w:tcPr>
            <w:tcW w:w="135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360°旋转工业缝纫机（柱车）</w:t>
            </w:r>
          </w:p>
        </w:tc>
        <w:tc>
          <w:tcPr>
            <w:tcW w:w="682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 360度旋转臂</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2. 670W±5W伺服马达电控系统</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3. 国产机架（坐式）和台板(可选择)</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4. （直型尺寸:1198*538*39.5MM)(±5MM)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5. 自动倒缝</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6. 自动气动抬压脚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7. 气动松线调节器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8. 辅助爬坡功能</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9. 配置LED灯</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10. 大型垂直26旋梭、安全离合器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11. 内置打线机，可调交替压脚冲程为0MM~9MM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12. 缝速可达：0~2500转/分钟，压脚抬升高度为0MM~20MM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13. 最大缝线规格：Nm10-3</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14. 针码长度为：0MM~12MM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15. 机针规格：Nm100-160#</w:t>
            </w:r>
          </w:p>
        </w:tc>
        <w:tc>
          <w:tcPr>
            <w:tcW w:w="88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台</w:t>
            </w:r>
          </w:p>
        </w:tc>
        <w:tc>
          <w:tcPr>
            <w:tcW w:w="72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485" w:hRule="atLeast"/>
          <w:tblCellSpacing w:w="15" w:type="dxa"/>
        </w:trPr>
        <w:tc>
          <w:tcPr>
            <w:tcW w:w="94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p>
        </w:tc>
        <w:tc>
          <w:tcPr>
            <w:tcW w:w="112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default" w:ascii="Times New Roman" w:hAnsi="Times New Roman" w:cs="Times New Roman"/>
                <w:sz w:val="24"/>
                <w:szCs w:val="24"/>
                <w:bdr w:val="none" w:color="auto" w:sz="0" w:space="0"/>
              </w:rPr>
              <w:t>1-</w:t>
            </w:r>
            <w:r>
              <w:rPr>
                <w:rFonts w:hint="default" w:ascii="Times New Roman" w:hAnsi="Times New Roman" w:eastAsia="宋体" w:cs="Times New Roman"/>
                <w:sz w:val="24"/>
                <w:szCs w:val="24"/>
                <w:bdr w:val="none" w:color="auto" w:sz="0" w:space="0"/>
              </w:rPr>
              <w:t>2</w:t>
            </w:r>
          </w:p>
        </w:tc>
        <w:tc>
          <w:tcPr>
            <w:tcW w:w="135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335臂式缝纫机</w:t>
            </w:r>
          </w:p>
        </w:tc>
        <w:tc>
          <w:tcPr>
            <w:tcW w:w="682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 670W±5W伺服马达电控系统</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2. 国产机架（坐式）和台板（尺寸：848*551*42MM）(±5MM)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3. 自动倒缝</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4. 自动气动抬压脚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5. 气动松线调节器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6. 辅助爬坡功能</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7. 带导边器定位</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8. 配置LED灯</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9. 大型水平26旋梭、安全离合器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10. 内置打线机，可调交替压脚冲程0MM~9MM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11. 缝速可达：0~3000转/分，压脚抬升高度为0MM~20MM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12. 最大缝线规格：Nm15-3,针码长度为：0MM~12MM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13. 机针规格：Nm100-160#</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1"/>
                <w:szCs w:val="21"/>
              </w:rPr>
              <w:t>14. 适用于小件皮革缝料的装配和包边操作以及装饰明缝</w:t>
            </w:r>
          </w:p>
        </w:tc>
        <w:tc>
          <w:tcPr>
            <w:tcW w:w="88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台</w:t>
            </w:r>
          </w:p>
        </w:tc>
        <w:tc>
          <w:tcPr>
            <w:tcW w:w="72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095" w:hRule="atLeast"/>
          <w:tblCellSpacing w:w="15" w:type="dxa"/>
        </w:trPr>
        <w:tc>
          <w:tcPr>
            <w:tcW w:w="94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p>
        </w:tc>
        <w:tc>
          <w:tcPr>
            <w:tcW w:w="112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default" w:ascii="Times New Roman" w:hAnsi="Times New Roman" w:cs="Times New Roman"/>
                <w:sz w:val="24"/>
                <w:szCs w:val="24"/>
                <w:bdr w:val="none" w:color="auto" w:sz="0" w:space="0"/>
              </w:rPr>
              <w:t>1-</w:t>
            </w:r>
            <w:r>
              <w:rPr>
                <w:rFonts w:hint="default" w:ascii="Times New Roman" w:hAnsi="Times New Roman" w:eastAsia="宋体" w:cs="Times New Roman"/>
                <w:sz w:val="24"/>
                <w:szCs w:val="24"/>
                <w:bdr w:val="none" w:color="auto" w:sz="0" w:space="0"/>
              </w:rPr>
              <w:t>3</w:t>
            </w:r>
          </w:p>
        </w:tc>
        <w:tc>
          <w:tcPr>
            <w:tcW w:w="135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工业缝纫机（柱车）</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 </w:t>
            </w:r>
          </w:p>
        </w:tc>
        <w:tc>
          <w:tcPr>
            <w:tcW w:w="682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firstLine="0"/>
              <w:jc w:val="left"/>
              <w:textAlignment w:val="center"/>
            </w:pPr>
            <w:r>
              <w:rPr>
                <w:rFonts w:hint="default" w:ascii="Times New Roman" w:hAnsi="Times New Roman" w:cs="Times New Roman"/>
                <w:sz w:val="21"/>
                <w:szCs w:val="21"/>
              </w:rPr>
              <w:t>1. </w:t>
            </w:r>
            <w:r>
              <w:rPr>
                <w:rFonts w:hint="eastAsia" w:ascii="宋体" w:hAnsi="宋体" w:eastAsia="宋体" w:cs="宋体"/>
                <w:sz w:val="21"/>
                <w:szCs w:val="21"/>
              </w:rPr>
              <w:t>气动抬压脚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firstLine="0"/>
              <w:jc w:val="left"/>
              <w:textAlignment w:val="center"/>
            </w:pPr>
            <w:r>
              <w:rPr>
                <w:rFonts w:hint="eastAsia" w:ascii="宋体" w:hAnsi="宋体" w:eastAsia="宋体" w:cs="宋体"/>
                <w:sz w:val="21"/>
                <w:szCs w:val="21"/>
              </w:rPr>
              <w:t>2. 辅助爬坡功能</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firstLine="0"/>
              <w:jc w:val="left"/>
              <w:textAlignment w:val="center"/>
            </w:pPr>
            <w:r>
              <w:rPr>
                <w:rFonts w:hint="default" w:ascii="Times New Roman" w:hAnsi="Times New Roman" w:cs="Times New Roman"/>
                <w:sz w:val="21"/>
                <w:szCs w:val="21"/>
              </w:rPr>
              <w:t>3. </w:t>
            </w:r>
            <w:r>
              <w:rPr>
                <w:rFonts w:hint="eastAsia" w:ascii="宋体" w:hAnsi="宋体" w:eastAsia="宋体" w:cs="宋体"/>
                <w:sz w:val="21"/>
                <w:szCs w:val="21"/>
              </w:rPr>
              <w:t>气动倒缝回针；电动气动双驱动形式</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firstLine="0"/>
              <w:jc w:val="left"/>
              <w:textAlignment w:val="center"/>
            </w:pPr>
            <w:r>
              <w:rPr>
                <w:rFonts w:hint="default" w:ascii="Times New Roman" w:hAnsi="Times New Roman" w:cs="Times New Roman"/>
                <w:sz w:val="21"/>
                <w:szCs w:val="21"/>
              </w:rPr>
              <w:t>4. </w:t>
            </w:r>
            <w:r>
              <w:rPr>
                <w:rFonts w:hint="eastAsia" w:ascii="宋体" w:hAnsi="宋体" w:eastAsia="宋体" w:cs="宋体"/>
                <w:sz w:val="21"/>
                <w:szCs w:val="21"/>
              </w:rPr>
              <w:t>单针双线塔结构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firstLine="0"/>
              <w:jc w:val="left"/>
              <w:textAlignment w:val="center"/>
            </w:pPr>
            <w:r>
              <w:rPr>
                <w:rFonts w:hint="default" w:ascii="Times New Roman" w:hAnsi="Times New Roman" w:cs="Times New Roman"/>
                <w:sz w:val="21"/>
                <w:szCs w:val="21"/>
              </w:rPr>
              <w:t>5. </w:t>
            </w:r>
            <w:r>
              <w:rPr>
                <w:rFonts w:hint="eastAsia" w:ascii="宋体" w:hAnsi="宋体" w:eastAsia="宋体" w:cs="宋体"/>
                <w:sz w:val="21"/>
                <w:szCs w:val="21"/>
              </w:rPr>
              <w:t>采用单头机头</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firstLine="0"/>
              <w:jc w:val="left"/>
              <w:textAlignment w:val="center"/>
            </w:pPr>
            <w:r>
              <w:rPr>
                <w:rFonts w:hint="default" w:ascii="Times New Roman" w:hAnsi="Times New Roman" w:cs="Times New Roman"/>
                <w:sz w:val="21"/>
                <w:szCs w:val="21"/>
              </w:rPr>
              <w:t>6. </w:t>
            </w:r>
            <w:r>
              <w:rPr>
                <w:rFonts w:hint="eastAsia" w:ascii="宋体" w:hAnsi="宋体" w:eastAsia="宋体" w:cs="宋体"/>
                <w:sz w:val="21"/>
                <w:szCs w:val="21"/>
              </w:rPr>
              <w:t>气动二次夹线</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firstLine="0"/>
              <w:jc w:val="left"/>
              <w:textAlignment w:val="center"/>
            </w:pPr>
            <w:r>
              <w:rPr>
                <w:rFonts w:hint="default" w:ascii="Times New Roman" w:hAnsi="Times New Roman" w:cs="Times New Roman"/>
                <w:sz w:val="21"/>
                <w:szCs w:val="21"/>
              </w:rPr>
              <w:t>7. </w:t>
            </w:r>
            <w:r>
              <w:rPr>
                <w:rFonts w:hint="eastAsia" w:ascii="宋体" w:hAnsi="宋体" w:eastAsia="宋体" w:cs="宋体"/>
                <w:sz w:val="21"/>
                <w:szCs w:val="21"/>
              </w:rPr>
              <w:t>针码长度为0MM~</w:t>
            </w:r>
            <w:r>
              <w:rPr>
                <w:rFonts w:hint="default" w:ascii="Times New Roman" w:hAnsi="Times New Roman" w:eastAsia="宋体" w:cs="Times New Roman"/>
                <w:sz w:val="21"/>
                <w:szCs w:val="21"/>
              </w:rPr>
              <w:t>9MM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firstLine="0"/>
              <w:jc w:val="left"/>
              <w:textAlignment w:val="center"/>
            </w:pPr>
            <w:r>
              <w:rPr>
                <w:rFonts w:hint="default" w:ascii="Times New Roman" w:hAnsi="Times New Roman" w:cs="Times New Roman"/>
                <w:sz w:val="21"/>
                <w:szCs w:val="21"/>
              </w:rPr>
              <w:t>8. </w:t>
            </w:r>
            <w:r>
              <w:rPr>
                <w:rFonts w:hint="eastAsia" w:ascii="宋体" w:hAnsi="宋体" w:eastAsia="宋体" w:cs="宋体"/>
                <w:sz w:val="21"/>
                <w:szCs w:val="21"/>
              </w:rPr>
              <w:t>缝速为0MM~</w:t>
            </w:r>
            <w:r>
              <w:rPr>
                <w:rFonts w:hint="default" w:ascii="Times New Roman" w:hAnsi="Times New Roman" w:eastAsia="宋体" w:cs="Times New Roman"/>
                <w:sz w:val="21"/>
                <w:szCs w:val="21"/>
              </w:rPr>
              <w:t>2000</w:t>
            </w:r>
            <w:r>
              <w:rPr>
                <w:rFonts w:hint="eastAsia" w:ascii="宋体" w:hAnsi="宋体" w:eastAsia="宋体" w:cs="宋体"/>
                <w:sz w:val="21"/>
                <w:szCs w:val="21"/>
              </w:rPr>
              <w:t>针</w:t>
            </w:r>
            <w:r>
              <w:rPr>
                <w:rFonts w:hint="default" w:ascii="Times New Roman" w:hAnsi="Times New Roman" w:eastAsia="宋体" w:cs="Times New Roman"/>
                <w:sz w:val="21"/>
                <w:szCs w:val="21"/>
              </w:rPr>
              <w:t>/</w:t>
            </w:r>
            <w:r>
              <w:rPr>
                <w:rFonts w:hint="eastAsia" w:ascii="宋体" w:hAnsi="宋体" w:eastAsia="宋体" w:cs="宋体"/>
                <w:sz w:val="21"/>
                <w:szCs w:val="21"/>
              </w:rPr>
              <w:t>分钟</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firstLine="0"/>
              <w:jc w:val="left"/>
              <w:textAlignment w:val="center"/>
            </w:pPr>
            <w:r>
              <w:rPr>
                <w:rFonts w:hint="default" w:ascii="Times New Roman" w:hAnsi="Times New Roman" w:cs="Times New Roman"/>
                <w:sz w:val="21"/>
                <w:szCs w:val="21"/>
              </w:rPr>
              <w:t>9. </w:t>
            </w:r>
            <w:r>
              <w:rPr>
                <w:rFonts w:hint="eastAsia" w:ascii="宋体" w:hAnsi="宋体" w:eastAsia="宋体" w:cs="宋体"/>
                <w:sz w:val="21"/>
                <w:szCs w:val="21"/>
              </w:rPr>
              <w:t>交替压脚冲程为0MM~</w:t>
            </w:r>
            <w:r>
              <w:rPr>
                <w:rFonts w:hint="default" w:ascii="Times New Roman" w:hAnsi="Times New Roman" w:eastAsia="宋体" w:cs="Times New Roman"/>
                <w:sz w:val="21"/>
                <w:szCs w:val="21"/>
              </w:rPr>
              <w:t>9MM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firstLine="0"/>
              <w:jc w:val="left"/>
              <w:textAlignment w:val="center"/>
            </w:pPr>
            <w:r>
              <w:rPr>
                <w:rFonts w:hint="default" w:ascii="Times New Roman" w:hAnsi="Times New Roman" w:cs="Times New Roman"/>
                <w:sz w:val="21"/>
                <w:szCs w:val="21"/>
              </w:rPr>
              <w:t>10. </w:t>
            </w:r>
            <w:r>
              <w:rPr>
                <w:rFonts w:hint="eastAsia" w:ascii="宋体" w:hAnsi="宋体" w:eastAsia="宋体" w:cs="宋体"/>
                <w:sz w:val="21"/>
                <w:szCs w:val="21"/>
              </w:rPr>
              <w:t>压脚抬升高度为0MM~</w:t>
            </w:r>
            <w:r>
              <w:rPr>
                <w:rFonts w:hint="default" w:ascii="Times New Roman" w:hAnsi="Times New Roman" w:eastAsia="宋体" w:cs="Times New Roman"/>
                <w:sz w:val="21"/>
                <w:szCs w:val="21"/>
              </w:rPr>
              <w:t>20MM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firstLine="0"/>
              <w:jc w:val="left"/>
              <w:textAlignment w:val="center"/>
            </w:pPr>
            <w:r>
              <w:rPr>
                <w:rFonts w:hint="default" w:ascii="Times New Roman" w:hAnsi="Times New Roman" w:cs="Times New Roman"/>
                <w:sz w:val="21"/>
                <w:szCs w:val="21"/>
              </w:rPr>
              <w:t>11. </w:t>
            </w:r>
            <w:r>
              <w:rPr>
                <w:rFonts w:hint="eastAsia" w:ascii="宋体" w:hAnsi="宋体" w:eastAsia="宋体" w:cs="宋体"/>
                <w:sz w:val="21"/>
                <w:szCs w:val="21"/>
              </w:rPr>
              <w:t>缝纫柱高度＞</w:t>
            </w:r>
            <w:r>
              <w:rPr>
                <w:rFonts w:hint="default" w:ascii="Times New Roman" w:hAnsi="Times New Roman" w:eastAsia="宋体" w:cs="Times New Roman"/>
                <w:sz w:val="21"/>
                <w:szCs w:val="21"/>
              </w:rPr>
              <w:t>40CM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firstLine="0"/>
              <w:jc w:val="left"/>
              <w:textAlignment w:val="center"/>
            </w:pPr>
            <w:r>
              <w:rPr>
                <w:rFonts w:hint="default" w:ascii="Times New Roman" w:hAnsi="Times New Roman" w:cs="Times New Roman"/>
                <w:sz w:val="21"/>
                <w:szCs w:val="21"/>
              </w:rPr>
              <w:t>12. </w:t>
            </w:r>
            <w:r>
              <w:rPr>
                <w:rFonts w:hint="eastAsia" w:ascii="宋体" w:hAnsi="宋体" w:eastAsia="宋体" w:cs="宋体"/>
                <w:sz w:val="21"/>
                <w:szCs w:val="21"/>
              </w:rPr>
              <w:t>适用小件皮革缝料的装配和包边操作以及装饰明缝</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firstLine="0"/>
              <w:jc w:val="left"/>
            </w:pPr>
            <w:r>
              <w:rPr>
                <w:rFonts w:hint="default" w:ascii="Times New Roman" w:hAnsi="Times New Roman" w:cs="Times New Roman"/>
                <w:sz w:val="21"/>
                <w:szCs w:val="21"/>
              </w:rPr>
              <w:t>13. </w:t>
            </w:r>
            <w:r>
              <w:rPr>
                <w:rFonts w:hint="eastAsia" w:ascii="宋体" w:hAnsi="宋体" w:eastAsia="宋体" w:cs="宋体"/>
                <w:sz w:val="21"/>
                <w:szCs w:val="21"/>
              </w:rPr>
              <w:t>电压：</w:t>
            </w:r>
            <w:r>
              <w:rPr>
                <w:rFonts w:hint="default" w:ascii="Times New Roman" w:hAnsi="Times New Roman" w:eastAsia="宋体" w:cs="Times New Roman"/>
                <w:sz w:val="21"/>
                <w:szCs w:val="21"/>
              </w:rPr>
              <w:t>220V</w:t>
            </w:r>
            <w:r>
              <w:rPr>
                <w:rFonts w:hint="eastAsia" w:ascii="宋体" w:hAnsi="宋体" w:eastAsia="宋体" w:cs="宋体"/>
                <w:sz w:val="21"/>
                <w:szCs w:val="21"/>
              </w:rPr>
              <w:t>(±0.5V)</w:t>
            </w:r>
          </w:p>
        </w:tc>
        <w:tc>
          <w:tcPr>
            <w:tcW w:w="88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台</w:t>
            </w:r>
          </w:p>
        </w:tc>
        <w:tc>
          <w:tcPr>
            <w:tcW w:w="72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395" w:hRule="atLeast"/>
          <w:tblCellSpacing w:w="15" w:type="dxa"/>
        </w:trPr>
        <w:tc>
          <w:tcPr>
            <w:tcW w:w="94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p>
        </w:tc>
        <w:tc>
          <w:tcPr>
            <w:tcW w:w="112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default" w:ascii="Times New Roman" w:hAnsi="Times New Roman" w:cs="Times New Roman"/>
                <w:sz w:val="24"/>
                <w:szCs w:val="24"/>
                <w:bdr w:val="none" w:color="auto" w:sz="0" w:space="0"/>
              </w:rPr>
              <w:t>1-</w:t>
            </w:r>
            <w:r>
              <w:rPr>
                <w:rFonts w:hint="default" w:ascii="Times New Roman" w:hAnsi="Times New Roman" w:eastAsia="宋体" w:cs="Times New Roman"/>
                <w:sz w:val="24"/>
                <w:szCs w:val="24"/>
                <w:bdr w:val="none" w:color="auto" w:sz="0" w:space="0"/>
              </w:rPr>
              <w:t>4</w:t>
            </w:r>
          </w:p>
        </w:tc>
        <w:tc>
          <w:tcPr>
            <w:tcW w:w="135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单针小嘴缝纫机（皮革厚料机）</w:t>
            </w:r>
          </w:p>
        </w:tc>
        <w:tc>
          <w:tcPr>
            <w:tcW w:w="682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jc w:val="left"/>
              <w:textAlignment w:val="center"/>
            </w:pPr>
            <w:r>
              <w:rPr>
                <w:rFonts w:hint="eastAsia" w:ascii="宋体" w:hAnsi="宋体" w:eastAsia="宋体" w:cs="宋体"/>
                <w:sz w:val="21"/>
                <w:szCs w:val="21"/>
              </w:rPr>
              <w:t>1. 670W±5W伺服马达电控系统</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jc w:val="left"/>
              <w:textAlignment w:val="center"/>
            </w:pPr>
            <w:r>
              <w:rPr>
                <w:rFonts w:hint="eastAsia" w:ascii="宋体" w:hAnsi="宋体" w:eastAsia="宋体" w:cs="宋体"/>
                <w:sz w:val="21"/>
                <w:szCs w:val="21"/>
              </w:rPr>
              <w:t>2. 国产机架（坐式）和台板（尺寸：850*550*40MM）(±5MM)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jc w:val="left"/>
              <w:textAlignment w:val="center"/>
            </w:pPr>
            <w:r>
              <w:rPr>
                <w:rFonts w:hint="eastAsia" w:ascii="宋体" w:hAnsi="宋体" w:eastAsia="宋体" w:cs="宋体"/>
                <w:sz w:val="21"/>
                <w:szCs w:val="21"/>
              </w:rPr>
              <w:t>3. 自动倒缝</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jc w:val="left"/>
              <w:textAlignment w:val="center"/>
            </w:pPr>
            <w:r>
              <w:rPr>
                <w:rFonts w:hint="eastAsia" w:ascii="宋体" w:hAnsi="宋体" w:eastAsia="宋体" w:cs="宋体"/>
                <w:sz w:val="21"/>
                <w:szCs w:val="21"/>
              </w:rPr>
              <w:t>4. 自动气动抬压脚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jc w:val="left"/>
              <w:textAlignment w:val="center"/>
            </w:pPr>
            <w:r>
              <w:rPr>
                <w:rFonts w:hint="eastAsia" w:ascii="宋体" w:hAnsi="宋体" w:eastAsia="宋体" w:cs="宋体"/>
                <w:sz w:val="21"/>
                <w:szCs w:val="21"/>
              </w:rPr>
              <w:t>5. 气动松线调节器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jc w:val="left"/>
              <w:textAlignment w:val="center"/>
            </w:pPr>
            <w:r>
              <w:rPr>
                <w:rFonts w:hint="eastAsia" w:ascii="宋体" w:hAnsi="宋体" w:eastAsia="宋体" w:cs="宋体"/>
                <w:sz w:val="21"/>
                <w:szCs w:val="21"/>
              </w:rPr>
              <w:t>6. 辅助爬坡功能</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jc w:val="left"/>
              <w:textAlignment w:val="center"/>
            </w:pPr>
            <w:r>
              <w:rPr>
                <w:rFonts w:hint="eastAsia" w:ascii="宋体" w:hAnsi="宋体" w:eastAsia="宋体" w:cs="宋体"/>
                <w:sz w:val="21"/>
                <w:szCs w:val="21"/>
              </w:rPr>
              <w:t>7. 带导边器定位</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jc w:val="left"/>
              <w:textAlignment w:val="center"/>
            </w:pPr>
            <w:r>
              <w:rPr>
                <w:rFonts w:hint="eastAsia" w:ascii="宋体" w:hAnsi="宋体" w:eastAsia="宋体" w:cs="宋体"/>
                <w:sz w:val="21"/>
                <w:szCs w:val="21"/>
              </w:rPr>
              <w:t>8. 配置LED灯</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jc w:val="left"/>
              <w:textAlignment w:val="center"/>
            </w:pPr>
            <w:r>
              <w:rPr>
                <w:rFonts w:hint="eastAsia" w:ascii="宋体" w:hAnsi="宋体" w:eastAsia="宋体" w:cs="宋体"/>
                <w:sz w:val="21"/>
                <w:szCs w:val="21"/>
              </w:rPr>
              <w:t>9. 大型垂直26旋梭、安全离合器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jc w:val="left"/>
              <w:textAlignment w:val="center"/>
            </w:pPr>
            <w:r>
              <w:rPr>
                <w:rFonts w:hint="eastAsia" w:ascii="宋体" w:hAnsi="宋体" w:eastAsia="宋体" w:cs="宋体"/>
                <w:sz w:val="21"/>
                <w:szCs w:val="21"/>
              </w:rPr>
              <w:t>10. 内置打线机，可调交替压脚冲程为0MM~9mm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jc w:val="left"/>
              <w:textAlignment w:val="center"/>
            </w:pPr>
            <w:r>
              <w:rPr>
                <w:rFonts w:hint="eastAsia" w:ascii="宋体" w:hAnsi="宋体" w:eastAsia="宋体" w:cs="宋体"/>
                <w:sz w:val="21"/>
                <w:szCs w:val="21"/>
              </w:rPr>
              <w:t>11. 缝速可达：0~2800转/分钟，压脚抬升高度为0MM~20MM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jc w:val="left"/>
              <w:textAlignment w:val="center"/>
            </w:pPr>
            <w:r>
              <w:rPr>
                <w:rFonts w:hint="eastAsia" w:ascii="宋体" w:hAnsi="宋体" w:eastAsia="宋体" w:cs="宋体"/>
                <w:sz w:val="21"/>
                <w:szCs w:val="21"/>
              </w:rPr>
              <w:t>12. 最大缝线规格：Nm15-3,针码长度为：0MM~12MM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jc w:val="left"/>
            </w:pPr>
            <w:r>
              <w:rPr>
                <w:rFonts w:hint="eastAsia" w:ascii="宋体" w:hAnsi="宋体" w:eastAsia="宋体" w:cs="宋体"/>
                <w:sz w:val="21"/>
                <w:szCs w:val="21"/>
              </w:rPr>
              <w:t>13. 机针规格：Nm100-160#</w:t>
            </w:r>
          </w:p>
        </w:tc>
        <w:tc>
          <w:tcPr>
            <w:tcW w:w="88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台</w:t>
            </w:r>
          </w:p>
        </w:tc>
        <w:tc>
          <w:tcPr>
            <w:tcW w:w="72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30" w:hRule="atLeast"/>
          <w:tblCellSpacing w:w="15" w:type="dxa"/>
        </w:trPr>
        <w:tc>
          <w:tcPr>
            <w:tcW w:w="94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p>
        </w:tc>
        <w:tc>
          <w:tcPr>
            <w:tcW w:w="112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default" w:ascii="Times New Roman" w:hAnsi="Times New Roman" w:cs="Times New Roman"/>
                <w:sz w:val="24"/>
                <w:szCs w:val="24"/>
                <w:bdr w:val="none" w:color="auto" w:sz="0" w:space="0"/>
              </w:rPr>
              <w:t>1-</w:t>
            </w:r>
            <w:r>
              <w:rPr>
                <w:rFonts w:hint="default" w:ascii="Times New Roman" w:hAnsi="Times New Roman" w:eastAsia="宋体" w:cs="Times New Roman"/>
                <w:sz w:val="24"/>
                <w:szCs w:val="24"/>
                <w:bdr w:val="none" w:color="auto" w:sz="0" w:space="0"/>
              </w:rPr>
              <w:t>5</w:t>
            </w:r>
          </w:p>
        </w:tc>
        <w:tc>
          <w:tcPr>
            <w:tcW w:w="135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单针平板缝纫机（皮革厚料机）</w:t>
            </w:r>
          </w:p>
        </w:tc>
        <w:tc>
          <w:tcPr>
            <w:tcW w:w="682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1. </w:t>
            </w:r>
            <w:r>
              <w:rPr>
                <w:rFonts w:hint="eastAsia" w:ascii="宋体" w:hAnsi="宋体" w:eastAsia="宋体" w:cs="宋体"/>
                <w:sz w:val="21"/>
                <w:szCs w:val="21"/>
              </w:rPr>
              <w:t>气动抬压脚；</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2. </w:t>
            </w:r>
            <w:r>
              <w:rPr>
                <w:rFonts w:hint="eastAsia" w:ascii="宋体" w:hAnsi="宋体" w:eastAsia="宋体" w:cs="宋体"/>
                <w:sz w:val="21"/>
                <w:szCs w:val="21"/>
              </w:rPr>
              <w:t>电动气动双驱动形式；</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3. </w:t>
            </w:r>
            <w:r>
              <w:rPr>
                <w:rFonts w:hint="eastAsia" w:ascii="宋体" w:hAnsi="宋体" w:eastAsia="宋体" w:cs="宋体"/>
                <w:sz w:val="21"/>
                <w:szCs w:val="21"/>
              </w:rPr>
              <w:t>单针双线塔结构；</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4. </w:t>
            </w:r>
            <w:r>
              <w:rPr>
                <w:rFonts w:hint="eastAsia" w:ascii="宋体" w:hAnsi="宋体" w:eastAsia="宋体" w:cs="宋体"/>
                <w:sz w:val="21"/>
                <w:szCs w:val="21"/>
              </w:rPr>
              <w:t>采用单头机头；</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eastAsia" w:ascii="宋体" w:hAnsi="宋体" w:eastAsia="宋体" w:cs="宋体"/>
                <w:sz w:val="21"/>
                <w:szCs w:val="21"/>
              </w:rPr>
              <w:t>5. 辅助爬坡功能</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6. </w:t>
            </w:r>
            <w:r>
              <w:rPr>
                <w:rFonts w:hint="eastAsia" w:ascii="宋体" w:hAnsi="宋体" w:eastAsia="宋体" w:cs="宋体"/>
                <w:sz w:val="21"/>
                <w:szCs w:val="21"/>
              </w:rPr>
              <w:t>气动倒缝回针；</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7. </w:t>
            </w:r>
            <w:r>
              <w:rPr>
                <w:rFonts w:hint="eastAsia" w:ascii="宋体" w:hAnsi="宋体" w:eastAsia="宋体" w:cs="宋体"/>
                <w:sz w:val="21"/>
                <w:szCs w:val="21"/>
              </w:rPr>
              <w:t>气动二次夹线；</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8. </w:t>
            </w:r>
            <w:r>
              <w:rPr>
                <w:rFonts w:hint="eastAsia" w:ascii="宋体" w:hAnsi="宋体" w:eastAsia="宋体" w:cs="宋体"/>
                <w:sz w:val="21"/>
                <w:szCs w:val="21"/>
              </w:rPr>
              <w:t>针码长度为0MM~</w:t>
            </w:r>
            <w:r>
              <w:rPr>
                <w:rFonts w:hint="default" w:ascii="Times New Roman" w:hAnsi="Times New Roman" w:eastAsia="宋体" w:cs="Times New Roman"/>
                <w:sz w:val="21"/>
                <w:szCs w:val="21"/>
              </w:rPr>
              <w:t>12</w:t>
            </w:r>
            <w:r>
              <w:rPr>
                <w:rFonts w:hint="eastAsia" w:ascii="宋体" w:hAnsi="宋体" w:eastAsia="宋体" w:cs="宋体"/>
                <w:sz w:val="21"/>
                <w:szCs w:val="21"/>
              </w:rPr>
              <w:t>MM；</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9. </w:t>
            </w:r>
            <w:r>
              <w:rPr>
                <w:rFonts w:hint="eastAsia" w:ascii="宋体" w:hAnsi="宋体" w:eastAsia="宋体" w:cs="宋体"/>
                <w:sz w:val="21"/>
                <w:szCs w:val="21"/>
              </w:rPr>
              <w:t>缝速为0MM~</w:t>
            </w:r>
            <w:r>
              <w:rPr>
                <w:rFonts w:hint="default" w:ascii="Times New Roman" w:hAnsi="Times New Roman" w:eastAsia="宋体" w:cs="Times New Roman"/>
                <w:sz w:val="21"/>
                <w:szCs w:val="21"/>
              </w:rPr>
              <w:t>3400</w:t>
            </w:r>
            <w:r>
              <w:rPr>
                <w:rFonts w:hint="eastAsia" w:ascii="宋体" w:hAnsi="宋体" w:eastAsia="宋体" w:cs="宋体"/>
                <w:sz w:val="21"/>
                <w:szCs w:val="21"/>
              </w:rPr>
              <w:t>针</w:t>
            </w:r>
            <w:r>
              <w:rPr>
                <w:rFonts w:hint="default" w:ascii="Times New Roman" w:hAnsi="Times New Roman" w:eastAsia="宋体" w:cs="Times New Roman"/>
                <w:sz w:val="21"/>
                <w:szCs w:val="21"/>
              </w:rPr>
              <w:t>/</w:t>
            </w:r>
            <w:r>
              <w:rPr>
                <w:rFonts w:hint="eastAsia" w:ascii="宋体" w:hAnsi="宋体" w:eastAsia="宋体" w:cs="宋体"/>
                <w:sz w:val="21"/>
                <w:szCs w:val="21"/>
              </w:rPr>
              <w:t>分钟；</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10. </w:t>
            </w:r>
            <w:r>
              <w:rPr>
                <w:rFonts w:hint="eastAsia" w:ascii="宋体" w:hAnsi="宋体" w:eastAsia="宋体" w:cs="宋体"/>
                <w:sz w:val="21"/>
                <w:szCs w:val="21"/>
              </w:rPr>
              <w:t>满足中厚料加工领域的通用缝纫操作适用；</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11. </w:t>
            </w:r>
            <w:r>
              <w:rPr>
                <w:rFonts w:hint="eastAsia" w:ascii="宋体" w:hAnsi="宋体" w:eastAsia="宋体" w:cs="宋体"/>
                <w:sz w:val="21"/>
                <w:szCs w:val="21"/>
              </w:rPr>
              <w:t>电压：</w:t>
            </w:r>
            <w:r>
              <w:rPr>
                <w:rFonts w:hint="default" w:ascii="Times New Roman" w:hAnsi="Times New Roman" w:eastAsia="宋体" w:cs="Times New Roman"/>
                <w:sz w:val="21"/>
                <w:szCs w:val="21"/>
              </w:rPr>
              <w:t>220V</w:t>
            </w:r>
            <w:r>
              <w:rPr>
                <w:rFonts w:hint="eastAsia" w:ascii="宋体" w:hAnsi="宋体" w:eastAsia="宋体" w:cs="宋体"/>
                <w:sz w:val="21"/>
                <w:szCs w:val="21"/>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12. </w:t>
            </w:r>
            <w:r>
              <w:rPr>
                <w:rFonts w:hint="eastAsia" w:ascii="宋体" w:hAnsi="宋体" w:eastAsia="宋体" w:cs="宋体"/>
                <w:sz w:val="21"/>
                <w:szCs w:val="21"/>
              </w:rPr>
              <w:t>整机保修一年；</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13. </w:t>
            </w:r>
            <w:r>
              <w:rPr>
                <w:rFonts w:hint="eastAsia" w:ascii="宋体" w:hAnsi="宋体" w:eastAsia="宋体" w:cs="宋体"/>
                <w:sz w:val="21"/>
                <w:szCs w:val="21"/>
              </w:rPr>
              <w:t>采用强劲且高效的三同步送料系统，包括下送料、针送料和交替压脚上送料</w:t>
            </w:r>
            <w:r>
              <w:rPr>
                <w:rFonts w:hint="default" w:ascii="Times New Roman" w:hAnsi="Times New Roman" w:eastAsia="宋体" w:cs="Times New Roman"/>
                <w:sz w:val="21"/>
                <w:szCs w:val="21"/>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14. </w:t>
            </w:r>
            <w:r>
              <w:rPr>
                <w:rFonts w:hint="eastAsia" w:ascii="宋体" w:hAnsi="宋体" w:eastAsia="宋体" w:cs="宋体"/>
                <w:sz w:val="21"/>
                <w:szCs w:val="21"/>
              </w:rPr>
              <w:t>压脚抬升高度可达0MM~</w:t>
            </w:r>
            <w:r>
              <w:rPr>
                <w:rFonts w:hint="default" w:ascii="Times New Roman" w:hAnsi="Times New Roman" w:eastAsia="宋体" w:cs="Times New Roman"/>
                <w:sz w:val="21"/>
                <w:szCs w:val="21"/>
              </w:rPr>
              <w:t>20mm</w:t>
            </w:r>
            <w:r>
              <w:rPr>
                <w:rFonts w:hint="eastAsia" w:ascii="宋体" w:hAnsi="宋体" w:eastAsia="宋体" w:cs="宋体"/>
                <w:sz w:val="21"/>
                <w:szCs w:val="21"/>
              </w:rPr>
              <w:t>，便于处理大面积缝料</w:t>
            </w:r>
            <w:r>
              <w:rPr>
                <w:rFonts w:hint="default" w:ascii="Times New Roman" w:hAnsi="Times New Roman" w:eastAsia="宋体" w:cs="Times New Roman"/>
                <w:sz w:val="21"/>
                <w:szCs w:val="21"/>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15. </w:t>
            </w:r>
            <w:r>
              <w:rPr>
                <w:rFonts w:hint="eastAsia" w:ascii="宋体" w:hAnsi="宋体" w:eastAsia="宋体" w:cs="宋体"/>
                <w:sz w:val="21"/>
                <w:szCs w:val="21"/>
              </w:rPr>
              <w:t>压脚冲程大可达0MM~</w:t>
            </w:r>
            <w:r>
              <w:rPr>
                <w:rFonts w:hint="default" w:ascii="Times New Roman" w:hAnsi="Times New Roman" w:eastAsia="宋体" w:cs="Times New Roman"/>
                <w:sz w:val="21"/>
                <w:szCs w:val="21"/>
              </w:rPr>
              <w:t>9mm</w:t>
            </w:r>
            <w:r>
              <w:rPr>
                <w:rFonts w:hint="eastAsia" w:ascii="宋体" w:hAnsi="宋体" w:eastAsia="宋体" w:cs="宋体"/>
                <w:sz w:val="21"/>
                <w:szCs w:val="21"/>
              </w:rPr>
              <w:t>，允许安全爬越不现缝料的厚度；</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16. </w:t>
            </w:r>
            <w:r>
              <w:rPr>
                <w:rFonts w:hint="eastAsia" w:ascii="宋体" w:hAnsi="宋体" w:eastAsia="宋体" w:cs="宋体"/>
                <w:sz w:val="21"/>
                <w:szCs w:val="21"/>
              </w:rPr>
              <w:t>配置</w:t>
            </w:r>
            <w:r>
              <w:rPr>
                <w:rFonts w:hint="default" w:ascii="Times New Roman" w:hAnsi="Times New Roman" w:eastAsia="宋体" w:cs="Times New Roman"/>
                <w:sz w:val="21"/>
                <w:szCs w:val="21"/>
              </w:rPr>
              <w:t>26mm </w:t>
            </w:r>
            <w:r>
              <w:rPr>
                <w:rFonts w:hint="eastAsia" w:ascii="宋体" w:hAnsi="宋体" w:eastAsia="宋体" w:cs="宋体"/>
                <w:sz w:val="21"/>
                <w:szCs w:val="21"/>
              </w:rPr>
              <w:t>垂直大旋梭</w:t>
            </w:r>
            <w:r>
              <w:rPr>
                <w:rFonts w:hint="default" w:ascii="Times New Roman" w:hAnsi="Times New Roman" w:eastAsia="宋体" w:cs="Times New Roman"/>
                <w:sz w:val="21"/>
                <w:szCs w:val="21"/>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17. </w:t>
            </w:r>
            <w:r>
              <w:rPr>
                <w:rFonts w:hint="eastAsia" w:ascii="宋体" w:hAnsi="宋体" w:eastAsia="宋体" w:cs="宋体"/>
                <w:sz w:val="21"/>
                <w:szCs w:val="21"/>
              </w:rPr>
              <w:t>功能：自动抬压脚，自动倒缝，自动剪线，自动夹线器</w:t>
            </w:r>
            <w:r>
              <w:rPr>
                <w:rFonts w:hint="default" w:ascii="Times New Roman" w:hAnsi="Times New Roman" w:eastAsia="宋体" w:cs="Times New Roman"/>
                <w:sz w:val="21"/>
                <w:szCs w:val="21"/>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0"/>
            </w:pPr>
            <w:r>
              <w:rPr>
                <w:rFonts w:hint="default" w:ascii="Times New Roman" w:hAnsi="Times New Roman" w:cs="Times New Roman"/>
                <w:sz w:val="21"/>
                <w:szCs w:val="21"/>
              </w:rPr>
              <w:t>18. </w:t>
            </w:r>
            <w:r>
              <w:rPr>
                <w:rFonts w:hint="eastAsia" w:ascii="宋体" w:hAnsi="宋体" w:eastAsia="宋体" w:cs="宋体"/>
                <w:sz w:val="21"/>
                <w:szCs w:val="21"/>
              </w:rPr>
              <w:t>机头的臂下空间增大</w:t>
            </w:r>
            <w:r>
              <w:rPr>
                <w:rFonts w:hint="default" w:ascii="Times New Roman" w:hAnsi="Times New Roman" w:eastAsia="宋体" w:cs="Times New Roman"/>
                <w:sz w:val="21"/>
                <w:szCs w:val="21"/>
              </w:rPr>
              <w:t>0mm~90mm</w:t>
            </w:r>
            <w:r>
              <w:rPr>
                <w:rFonts w:hint="eastAsia" w:ascii="宋体" w:hAnsi="宋体" w:eastAsia="宋体" w:cs="宋体"/>
                <w:sz w:val="21"/>
                <w:szCs w:val="21"/>
              </w:rPr>
              <w:t>，使得缝纫区域视野更佳</w:t>
            </w:r>
            <w:r>
              <w:rPr>
                <w:rFonts w:hint="default" w:ascii="Times New Roman" w:hAnsi="Times New Roman" w:eastAsia="宋体" w:cs="Times New Roman"/>
                <w:sz w:val="21"/>
                <w:szCs w:val="21"/>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default" w:ascii="Times New Roman" w:hAnsi="Times New Roman" w:eastAsia="宋体" w:cs="Times New Roman"/>
                <w:sz w:val="21"/>
                <w:szCs w:val="21"/>
                <w:bdr w:val="none" w:color="auto" w:sz="0" w:space="0"/>
              </w:rPr>
              <w:t>19</w:t>
            </w:r>
            <w:r>
              <w:rPr>
                <w:rFonts w:hint="eastAsia" w:ascii="宋体" w:hAnsi="宋体" w:eastAsia="宋体" w:cs="宋体"/>
                <w:sz w:val="21"/>
                <w:szCs w:val="21"/>
                <w:bdr w:val="none" w:color="auto" w:sz="0" w:space="0"/>
              </w:rPr>
              <w:t>、台板尺寸：约</w:t>
            </w:r>
            <w:r>
              <w:rPr>
                <w:rFonts w:hint="default" w:ascii="Times New Roman" w:hAnsi="Times New Roman" w:eastAsia="宋体" w:cs="Times New Roman"/>
                <w:sz w:val="21"/>
                <w:szCs w:val="21"/>
                <w:bdr w:val="none" w:color="auto" w:sz="0" w:space="0"/>
              </w:rPr>
              <w:t>1200</w:t>
            </w:r>
            <w:r>
              <w:rPr>
                <w:rFonts w:hint="eastAsia" w:ascii="宋体" w:hAnsi="宋体" w:eastAsia="宋体" w:cs="宋体"/>
                <w:sz w:val="21"/>
                <w:szCs w:val="21"/>
                <w:bdr w:val="none" w:color="auto" w:sz="0" w:space="0"/>
              </w:rPr>
              <w:t>×</w:t>
            </w:r>
            <w:r>
              <w:rPr>
                <w:rFonts w:hint="default" w:ascii="Times New Roman" w:hAnsi="Times New Roman" w:eastAsia="宋体" w:cs="Times New Roman"/>
                <w:sz w:val="21"/>
                <w:szCs w:val="21"/>
                <w:bdr w:val="none" w:color="auto" w:sz="0" w:space="0"/>
              </w:rPr>
              <w:t>550</w:t>
            </w:r>
            <w:r>
              <w:rPr>
                <w:rFonts w:hint="eastAsia" w:ascii="宋体" w:hAnsi="宋体" w:eastAsia="宋体" w:cs="宋体"/>
                <w:sz w:val="21"/>
                <w:szCs w:val="21"/>
                <w:bdr w:val="none" w:color="auto" w:sz="0" w:space="0"/>
              </w:rPr>
              <w:t>×</w:t>
            </w:r>
            <w:r>
              <w:rPr>
                <w:rFonts w:hint="default" w:ascii="Times New Roman" w:hAnsi="Times New Roman" w:eastAsia="宋体" w:cs="Times New Roman"/>
                <w:sz w:val="21"/>
                <w:szCs w:val="21"/>
                <w:bdr w:val="none" w:color="auto" w:sz="0" w:space="0"/>
              </w:rPr>
              <w:t>800mm</w:t>
            </w:r>
            <w:r>
              <w:rPr>
                <w:rFonts w:hint="eastAsia" w:ascii="宋体" w:hAnsi="宋体" w:eastAsia="宋体" w:cs="宋体"/>
                <w:sz w:val="21"/>
                <w:szCs w:val="21"/>
                <w:bdr w:val="none" w:color="auto" w:sz="0" w:space="0"/>
              </w:rPr>
              <w:t>；(±5MM)</w:t>
            </w:r>
          </w:p>
        </w:tc>
        <w:tc>
          <w:tcPr>
            <w:tcW w:w="88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台</w:t>
            </w:r>
          </w:p>
        </w:tc>
        <w:tc>
          <w:tcPr>
            <w:tcW w:w="72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48" w:hRule="atLeast"/>
          <w:tblCellSpacing w:w="15" w:type="dxa"/>
        </w:trPr>
        <w:tc>
          <w:tcPr>
            <w:tcW w:w="94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p>
        </w:tc>
        <w:tc>
          <w:tcPr>
            <w:tcW w:w="112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default" w:ascii="Times New Roman" w:hAnsi="Times New Roman" w:cs="Times New Roman"/>
                <w:sz w:val="24"/>
                <w:szCs w:val="24"/>
                <w:bdr w:val="none" w:color="auto" w:sz="0" w:space="0"/>
              </w:rPr>
              <w:t>1-</w:t>
            </w:r>
            <w:r>
              <w:rPr>
                <w:rFonts w:hint="default" w:ascii="Times New Roman" w:hAnsi="Times New Roman" w:eastAsia="宋体" w:cs="Times New Roman"/>
                <w:sz w:val="24"/>
                <w:szCs w:val="24"/>
                <w:bdr w:val="none" w:color="auto" w:sz="0" w:space="0"/>
              </w:rPr>
              <w:t>6</w:t>
            </w:r>
          </w:p>
        </w:tc>
        <w:tc>
          <w:tcPr>
            <w:tcW w:w="135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皮革削边机</w:t>
            </w:r>
          </w:p>
        </w:tc>
        <w:tc>
          <w:tcPr>
            <w:tcW w:w="682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1"/>
                <w:szCs w:val="21"/>
                <w:bdr w:val="none" w:color="auto" w:sz="0" w:space="0"/>
              </w:rPr>
              <w:t>1. 转速</w:t>
            </w:r>
            <w:r>
              <w:rPr>
                <w:rFonts w:hint="default" w:ascii="Times New Roman" w:hAnsi="Times New Roman" w:eastAsia="宋体" w:cs="Times New Roman"/>
                <w:sz w:val="21"/>
                <w:szCs w:val="21"/>
                <w:bdr w:val="none" w:color="auto" w:sz="0" w:space="0"/>
              </w:rPr>
              <w:t>:0~2800</w:t>
            </w:r>
            <w:r>
              <w:rPr>
                <w:rFonts w:hint="eastAsia" w:ascii="宋体" w:hAnsi="宋体" w:eastAsia="宋体" w:cs="宋体"/>
                <w:sz w:val="21"/>
                <w:szCs w:val="21"/>
                <w:bdr w:val="none" w:color="auto" w:sz="0" w:space="0"/>
              </w:rPr>
              <w:t>转</w:t>
            </w:r>
            <w:r>
              <w:rPr>
                <w:rFonts w:hint="default" w:ascii="Times New Roman" w:hAnsi="Times New Roman" w:eastAsia="宋体" w:cs="Times New Roman"/>
                <w:sz w:val="21"/>
                <w:szCs w:val="21"/>
                <w:bdr w:val="none" w:color="auto" w:sz="0" w:space="0"/>
              </w:rPr>
              <w:t>/</w:t>
            </w:r>
            <w:r>
              <w:rPr>
                <w:rFonts w:hint="eastAsia" w:ascii="宋体" w:hAnsi="宋体" w:eastAsia="宋体" w:cs="宋体"/>
                <w:sz w:val="21"/>
                <w:szCs w:val="21"/>
                <w:bdr w:val="none" w:color="auto" w:sz="0" w:space="0"/>
              </w:rPr>
              <w:t>分钟</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1"/>
                <w:szCs w:val="21"/>
                <w:bdr w:val="none" w:color="auto" w:sz="0" w:space="0"/>
              </w:rPr>
              <w:t>2. 电压</w:t>
            </w:r>
            <w:r>
              <w:rPr>
                <w:rFonts w:hint="default" w:ascii="Times New Roman" w:hAnsi="Times New Roman" w:eastAsia="宋体" w:cs="Times New Roman"/>
                <w:sz w:val="21"/>
                <w:szCs w:val="21"/>
                <w:bdr w:val="none" w:color="auto" w:sz="0" w:space="0"/>
              </w:rPr>
              <w:t>:110/220V</w:t>
            </w:r>
            <w:r>
              <w:rPr>
                <w:rFonts w:hint="eastAsia" w:ascii="宋体" w:hAnsi="宋体" w:eastAsia="宋体" w:cs="宋体"/>
                <w:sz w:val="21"/>
                <w:szCs w:val="21"/>
                <w:bdr w:val="none" w:color="auto" w:sz="0" w:space="0"/>
              </w:rPr>
              <w:t>(±0.5V)</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1"/>
                <w:szCs w:val="21"/>
                <w:bdr w:val="none" w:color="auto" w:sz="0" w:space="0"/>
              </w:rPr>
              <w:t>3. 功率：</w:t>
            </w:r>
            <w:r>
              <w:rPr>
                <w:rFonts w:hint="default" w:ascii="Times New Roman" w:hAnsi="Times New Roman" w:eastAsia="宋体" w:cs="Times New Roman"/>
                <w:sz w:val="21"/>
                <w:szCs w:val="21"/>
                <w:bdr w:val="none" w:color="auto" w:sz="0" w:space="0"/>
              </w:rPr>
              <w:t>0.55kw</w:t>
            </w:r>
            <w:r>
              <w:rPr>
                <w:rFonts w:hint="eastAsia" w:ascii="宋体" w:hAnsi="宋体" w:eastAsia="宋体" w:cs="宋体"/>
                <w:sz w:val="21"/>
                <w:szCs w:val="21"/>
                <w:bdr w:val="none" w:color="auto" w:sz="0" w:space="0"/>
              </w:rPr>
              <w:t>(±5W)</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1"/>
                <w:szCs w:val="21"/>
                <w:bdr w:val="none" w:color="auto" w:sz="0" w:space="0"/>
              </w:rPr>
              <w:t>4. 净重：</w:t>
            </w:r>
            <w:r>
              <w:rPr>
                <w:rFonts w:hint="default" w:ascii="Times New Roman" w:hAnsi="Times New Roman" w:eastAsia="宋体" w:cs="Times New Roman"/>
                <w:sz w:val="21"/>
                <w:szCs w:val="21"/>
                <w:bdr w:val="none" w:color="auto" w:sz="0" w:space="0"/>
              </w:rPr>
              <w:t>50KG</w:t>
            </w:r>
            <w:r>
              <w:rPr>
                <w:rFonts w:hint="eastAsia" w:ascii="宋体" w:hAnsi="宋体" w:eastAsia="宋体" w:cs="宋体"/>
                <w:sz w:val="21"/>
                <w:szCs w:val="21"/>
                <w:bdr w:val="none" w:color="auto" w:sz="0" w:space="0"/>
              </w:rPr>
              <w:t>(±1KG)</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1"/>
                <w:szCs w:val="21"/>
                <w:bdr w:val="none" w:color="auto" w:sz="0" w:space="0"/>
              </w:rPr>
              <w:t>5. 毛重</w:t>
            </w:r>
            <w:r>
              <w:rPr>
                <w:rFonts w:hint="default" w:ascii="Times New Roman" w:hAnsi="Times New Roman" w:eastAsia="宋体" w:cs="Times New Roman"/>
                <w:sz w:val="21"/>
                <w:szCs w:val="21"/>
                <w:bdr w:val="none" w:color="auto" w:sz="0" w:space="0"/>
              </w:rPr>
              <w:t>55kg</w:t>
            </w:r>
            <w:r>
              <w:rPr>
                <w:rFonts w:hint="eastAsia" w:ascii="宋体" w:hAnsi="宋体" w:eastAsia="宋体" w:cs="宋体"/>
                <w:sz w:val="21"/>
                <w:szCs w:val="21"/>
                <w:bdr w:val="none" w:color="auto" w:sz="0" w:space="0"/>
              </w:rPr>
              <w:t>(±1KG)</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1"/>
                <w:szCs w:val="21"/>
                <w:bdr w:val="none" w:color="auto" w:sz="0" w:space="0"/>
              </w:rPr>
              <w:t>6. 设备尺寸：</w:t>
            </w:r>
            <w:r>
              <w:rPr>
                <w:rFonts w:hint="default" w:ascii="Times New Roman" w:hAnsi="Times New Roman" w:eastAsia="宋体" w:cs="Times New Roman"/>
                <w:sz w:val="21"/>
                <w:szCs w:val="21"/>
                <w:bdr w:val="none" w:color="auto" w:sz="0" w:space="0"/>
              </w:rPr>
              <w:t>615MM*415MM*450MM</w:t>
            </w:r>
            <w:r>
              <w:rPr>
                <w:rFonts w:hint="eastAsia" w:ascii="宋体" w:hAnsi="宋体" w:eastAsia="宋体" w:cs="宋体"/>
                <w:sz w:val="21"/>
                <w:szCs w:val="21"/>
                <w:bdr w:val="none" w:color="auto" w:sz="0" w:space="0"/>
              </w:rPr>
              <w:t>(±5MM)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1"/>
                <w:szCs w:val="21"/>
                <w:bdr w:val="none" w:color="auto" w:sz="0" w:space="0"/>
              </w:rPr>
              <w:t>7. 适用于各种高端手袋，箱包，皮鞋等边缘及表面削薄加工，加工范围：</w:t>
            </w:r>
            <w:r>
              <w:rPr>
                <w:rFonts w:hint="default" w:ascii="Times New Roman" w:hAnsi="Times New Roman" w:eastAsia="宋体" w:cs="Times New Roman"/>
                <w:sz w:val="21"/>
                <w:szCs w:val="21"/>
                <w:bdr w:val="none" w:color="auto" w:sz="0" w:space="0"/>
              </w:rPr>
              <w:t>3mm~0.1mm(</w:t>
            </w:r>
            <w:r>
              <w:rPr>
                <w:rFonts w:hint="eastAsia" w:ascii="宋体" w:hAnsi="宋体" w:eastAsia="宋体" w:cs="宋体"/>
                <w:sz w:val="21"/>
                <w:szCs w:val="21"/>
                <w:bdr w:val="none" w:color="auto" w:sz="0" w:space="0"/>
              </w:rPr>
              <w:t>±</w:t>
            </w:r>
            <w:r>
              <w:rPr>
                <w:rFonts w:hint="default" w:ascii="Times New Roman" w:hAnsi="Times New Roman" w:eastAsia="宋体" w:cs="Times New Roman"/>
                <w:sz w:val="21"/>
                <w:szCs w:val="21"/>
                <w:bdr w:val="none" w:color="auto" w:sz="0" w:space="0"/>
              </w:rPr>
              <w:t>0.5mm</w:t>
            </w:r>
            <w:r>
              <w:rPr>
                <w:rFonts w:hint="eastAsia" w:ascii="宋体" w:hAnsi="宋体" w:eastAsia="宋体" w:cs="宋体"/>
                <w:sz w:val="21"/>
                <w:szCs w:val="21"/>
                <w:bdr w:val="none" w:color="auto" w:sz="0" w:space="0"/>
              </w:rPr>
              <w:t>），搭配</w:t>
            </w:r>
            <w:r>
              <w:rPr>
                <w:rFonts w:hint="default" w:ascii="Times New Roman" w:hAnsi="Times New Roman" w:eastAsia="宋体" w:cs="Times New Roman"/>
                <w:sz w:val="21"/>
                <w:szCs w:val="21"/>
                <w:bdr w:val="none" w:color="auto" w:sz="0" w:space="0"/>
              </w:rPr>
              <w:t>0.75kw</w:t>
            </w:r>
            <w:r>
              <w:rPr>
                <w:rFonts w:hint="eastAsia" w:ascii="宋体" w:hAnsi="宋体" w:eastAsia="宋体" w:cs="宋体"/>
                <w:sz w:val="21"/>
                <w:szCs w:val="21"/>
                <w:bdr w:val="none" w:color="auto" w:sz="0" w:space="0"/>
              </w:rPr>
              <w:t>吸尘器、</w:t>
            </w:r>
            <w:r>
              <w:rPr>
                <w:rFonts w:hint="default" w:ascii="Times New Roman" w:hAnsi="Times New Roman" w:eastAsia="宋体" w:cs="Times New Roman"/>
                <w:sz w:val="21"/>
                <w:szCs w:val="21"/>
                <w:bdr w:val="none" w:color="auto" w:sz="0" w:space="0"/>
              </w:rPr>
              <w:t>500W</w:t>
            </w:r>
            <w:r>
              <w:rPr>
                <w:rFonts w:hint="eastAsia" w:ascii="宋体" w:hAnsi="宋体" w:eastAsia="宋体" w:cs="宋体"/>
                <w:sz w:val="21"/>
                <w:szCs w:val="21"/>
                <w:bdr w:val="none" w:color="auto" w:sz="0" w:space="0"/>
              </w:rPr>
              <w:t>±5W伺服马达</w:t>
            </w:r>
          </w:p>
        </w:tc>
        <w:tc>
          <w:tcPr>
            <w:tcW w:w="88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台</w:t>
            </w:r>
          </w:p>
        </w:tc>
        <w:tc>
          <w:tcPr>
            <w:tcW w:w="72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25" w:hRule="atLeast"/>
          <w:tblCellSpacing w:w="15" w:type="dxa"/>
        </w:trPr>
        <w:tc>
          <w:tcPr>
            <w:tcW w:w="94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p>
        </w:tc>
        <w:tc>
          <w:tcPr>
            <w:tcW w:w="112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default" w:ascii="Times New Roman" w:hAnsi="Times New Roman" w:cs="Times New Roman"/>
                <w:sz w:val="24"/>
                <w:szCs w:val="24"/>
                <w:bdr w:val="none" w:color="auto" w:sz="0" w:space="0"/>
              </w:rPr>
              <w:t>1-</w:t>
            </w:r>
            <w:r>
              <w:rPr>
                <w:rFonts w:hint="default" w:ascii="Times New Roman" w:hAnsi="Times New Roman" w:eastAsia="宋体" w:cs="Times New Roman"/>
                <w:sz w:val="24"/>
                <w:szCs w:val="24"/>
                <w:bdr w:val="none" w:color="auto" w:sz="0" w:space="0"/>
              </w:rPr>
              <w:t>7</w:t>
            </w:r>
          </w:p>
        </w:tc>
        <w:tc>
          <w:tcPr>
            <w:tcW w:w="135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单针大嘴缝纫机</w:t>
            </w:r>
          </w:p>
        </w:tc>
        <w:tc>
          <w:tcPr>
            <w:tcW w:w="682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 670W±5W伺服马达电控系统</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2. 机架（坐式）和台板（尺寸：850*550*40MM）(±5MM)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3. 自动倒缝</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4. 自动气动抬压脚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5. 气动松线调节器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6. 辅助爬坡功能</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7. 带导边器定位</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8. 配置LED灯</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9. 大型垂直26旋梭、安全离合器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10. 内置打线机，可调交替压脚冲程0MM~9mm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11. 缝速可达：0~3000转/分钟，压脚抬升高度为0MM~20MM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12. 最大缝线规格：Nm15-3,针码长度为：0MM~12MM</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textAlignment w:val="center"/>
            </w:pPr>
            <w:r>
              <w:rPr>
                <w:rFonts w:hint="eastAsia" w:ascii="宋体" w:hAnsi="宋体" w:eastAsia="宋体" w:cs="宋体"/>
                <w:sz w:val="21"/>
                <w:szCs w:val="21"/>
              </w:rPr>
              <w:t>13. 机针规格：Nm100-160#</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1"/>
                <w:szCs w:val="21"/>
              </w:rPr>
              <w:t>14. 适用于管状缝件的功能线缝和包边操作以及装饰明缝</w:t>
            </w:r>
          </w:p>
        </w:tc>
        <w:tc>
          <w:tcPr>
            <w:tcW w:w="88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台</w:t>
            </w:r>
          </w:p>
        </w:tc>
        <w:tc>
          <w:tcPr>
            <w:tcW w:w="72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1</w:t>
            </w:r>
          </w:p>
        </w:tc>
      </w:tr>
    </w:tbl>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黑体" w:hAnsi="宋体" w:eastAsia="黑体" w:cs="黑体"/>
          <w:sz w:val="24"/>
          <w:szCs w:val="24"/>
        </w:rPr>
        <w:t> </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07"/>
        <w:gridCol w:w="1062"/>
        <w:gridCol w:w="1230"/>
        <w:gridCol w:w="6131"/>
        <w:gridCol w:w="842"/>
        <w:gridCol w:w="7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gridSpan w:val="6"/>
            <w:tcBorders>
              <w:top w:val="nil"/>
              <w:left w:val="nil"/>
              <w:bottom w:val="outset" w:color="auto" w:sz="6" w:space="0"/>
              <w:right w:val="outset" w:color="auto" w:sz="6" w:space="0"/>
            </w:tcBorders>
            <w:shd w:val="cle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pPr>
            <w:r>
              <w:rPr>
                <w:rFonts w:hint="eastAsia" w:ascii="黑体" w:hAnsi="宋体" w:eastAsia="黑体" w:cs="黑体"/>
              </w:rPr>
              <w:t>                 项目名 称：泉州师范学院纺织与服装学院鞋服产品工艺实训室采购项目（包2）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94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合同包</w:t>
            </w:r>
          </w:p>
        </w:tc>
        <w:tc>
          <w:tcPr>
            <w:tcW w:w="112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品目号</w:t>
            </w:r>
          </w:p>
        </w:tc>
        <w:tc>
          <w:tcPr>
            <w:tcW w:w="135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商品名 称</w:t>
            </w:r>
          </w:p>
        </w:tc>
        <w:tc>
          <w:tcPr>
            <w:tcW w:w="682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参数及规格</w:t>
            </w:r>
          </w:p>
        </w:tc>
        <w:tc>
          <w:tcPr>
            <w:tcW w:w="88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计量单位</w:t>
            </w:r>
          </w:p>
        </w:tc>
        <w:tc>
          <w:tcPr>
            <w:tcW w:w="7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820" w:hRule="atLeast"/>
          <w:tblCellSpacing w:w="15" w:type="dxa"/>
        </w:trPr>
        <w:tc>
          <w:tcPr>
            <w:tcW w:w="94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包2</w:t>
            </w:r>
          </w:p>
        </w:tc>
        <w:tc>
          <w:tcPr>
            <w:tcW w:w="112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2-1</w:t>
            </w:r>
          </w:p>
        </w:tc>
        <w:tc>
          <w:tcPr>
            <w:tcW w:w="135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平缝机</w:t>
            </w:r>
          </w:p>
        </w:tc>
        <w:tc>
          <w:tcPr>
            <w:tcW w:w="682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1.搭载直驱马达和自动电磁抬压脚装置，可控制针码，实现高品质缝制和生产效率的提高。</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2.可在操作盘上设定针码</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3.对应短线头(3mm～3.5mm)</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4.标配内置自动电磁抬压脚装置</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5.手动开关可简单进行回针缝纫</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6.标准匹配LED灯</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7.最高缝纫速度：4000～5000sti/min</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8.最大回针速度：3000～3200sti/min</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9.最大针码：4mm～5mm</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10.切线方式：双动刀切线机构</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11.手动开关：标准配备</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12.LED灯：标准配备</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13.自动电磁抬压脚：标准配备</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14.压脚高度：膝控：10～15mm/自动：12mm</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15.机针（DB*1.DP*5）:#11～#22</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16.马达：AC伺服马达</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宋体" w:hAnsi="宋体" w:eastAsia="宋体" w:cs="宋体"/>
                <w:sz w:val="24"/>
                <w:szCs w:val="24"/>
                <w:bdr w:val="none" w:color="auto" w:sz="0" w:space="0"/>
              </w:rPr>
              <w:t>17.电源：单相：220V</w:t>
            </w:r>
          </w:p>
        </w:tc>
        <w:tc>
          <w:tcPr>
            <w:tcW w:w="88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台</w:t>
            </w:r>
          </w:p>
        </w:tc>
        <w:tc>
          <w:tcPr>
            <w:tcW w:w="7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670" w:hRule="atLeast"/>
          <w:tblCellSpacing w:w="15" w:type="dxa"/>
        </w:trPr>
        <w:tc>
          <w:tcPr>
            <w:tcW w:w="945" w:type="dxa"/>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p>
        </w:tc>
        <w:tc>
          <w:tcPr>
            <w:tcW w:w="112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2-2</w:t>
            </w:r>
          </w:p>
        </w:tc>
        <w:tc>
          <w:tcPr>
            <w:tcW w:w="135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包缝机</w:t>
            </w:r>
          </w:p>
        </w:tc>
        <w:tc>
          <w:tcPr>
            <w:tcW w:w="682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textAlignment w:val="top"/>
            </w:pPr>
            <w:r>
              <w:rPr>
                <w:rFonts w:hint="eastAsia" w:ascii="宋体" w:hAnsi="宋体" w:eastAsia="宋体" w:cs="宋体"/>
                <w:sz w:val="24"/>
                <w:szCs w:val="24"/>
                <w:bdr w:val="none" w:color="auto" w:sz="0" w:space="0"/>
              </w:rPr>
              <w:t>1.布料厚度：薄-中等</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textAlignment w:val="top"/>
            </w:pPr>
            <w:r>
              <w:rPr>
                <w:rFonts w:hint="eastAsia" w:ascii="宋体" w:hAnsi="宋体" w:eastAsia="宋体" w:cs="宋体"/>
                <w:sz w:val="24"/>
                <w:szCs w:val="24"/>
                <w:bdr w:val="none" w:color="auto" w:sz="0" w:space="0"/>
              </w:rPr>
              <w:t>2.针数：0-1</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textAlignment w:val="top"/>
            </w:pPr>
            <w:r>
              <w:rPr>
                <w:rFonts w:hint="eastAsia" w:ascii="宋体" w:hAnsi="宋体" w:eastAsia="宋体" w:cs="宋体"/>
                <w:sz w:val="24"/>
                <w:szCs w:val="24"/>
                <w:bdr w:val="none" w:color="auto" w:sz="0" w:space="0"/>
              </w:rPr>
              <w:t>3.线数：0-3</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textAlignment w:val="top"/>
            </w:pPr>
            <w:r>
              <w:rPr>
                <w:rFonts w:hint="eastAsia" w:ascii="宋体" w:hAnsi="宋体" w:eastAsia="宋体" w:cs="宋体"/>
                <w:sz w:val="24"/>
                <w:szCs w:val="24"/>
                <w:bdr w:val="none" w:color="auto" w:sz="0" w:space="0"/>
              </w:rPr>
              <w:t>4.链幅（mm）：0-5</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textAlignment w:val="top"/>
            </w:pPr>
            <w:r>
              <w:rPr>
                <w:rFonts w:hint="eastAsia" w:ascii="宋体" w:hAnsi="宋体" w:eastAsia="宋体" w:cs="宋体"/>
                <w:sz w:val="24"/>
                <w:szCs w:val="24"/>
                <w:bdr w:val="none" w:color="auto" w:sz="0" w:space="0"/>
              </w:rPr>
              <w:t>5.最大缝距：（mm）0-3.7</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textAlignment w:val="top"/>
            </w:pPr>
            <w:r>
              <w:rPr>
                <w:rFonts w:hint="eastAsia" w:ascii="宋体" w:hAnsi="宋体" w:eastAsia="宋体" w:cs="宋体"/>
                <w:sz w:val="24"/>
                <w:szCs w:val="24"/>
                <w:bdr w:val="none" w:color="auto" w:sz="0" w:space="0"/>
              </w:rPr>
              <w:t>6.差动比：0.7-1.7</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textAlignment w:val="top"/>
            </w:pPr>
            <w:r>
              <w:rPr>
                <w:rFonts w:hint="eastAsia" w:ascii="宋体" w:hAnsi="宋体" w:eastAsia="宋体" w:cs="宋体"/>
                <w:sz w:val="24"/>
                <w:szCs w:val="24"/>
                <w:bdr w:val="none" w:color="auto" w:sz="0" w:space="0"/>
              </w:rPr>
              <w:t>7.压脚抬升（mm）：0-5.5</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textAlignment w:val="top"/>
            </w:pPr>
            <w:r>
              <w:rPr>
                <w:rFonts w:hint="eastAsia" w:ascii="宋体" w:hAnsi="宋体" w:eastAsia="宋体" w:cs="宋体"/>
                <w:sz w:val="24"/>
                <w:szCs w:val="24"/>
                <w:bdr w:val="none" w:color="auto" w:sz="0" w:space="0"/>
              </w:rPr>
              <w:t>8.转数（sit/min）：0-7000</w:t>
            </w:r>
          </w:p>
        </w:tc>
        <w:tc>
          <w:tcPr>
            <w:tcW w:w="88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台</w:t>
            </w:r>
          </w:p>
        </w:tc>
        <w:tc>
          <w:tcPr>
            <w:tcW w:w="7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jc w:val="center"/>
            </w:pPr>
            <w:r>
              <w:rPr>
                <w:rFonts w:hint="eastAsia" w:ascii="宋体" w:hAnsi="宋体" w:eastAsia="宋体" w:cs="宋体"/>
                <w:sz w:val="24"/>
                <w:szCs w:val="24"/>
                <w:bdr w:val="none" w:color="auto" w:sz="0" w:space="0"/>
              </w:rPr>
              <w:t>3</w:t>
            </w:r>
          </w:p>
        </w:tc>
      </w:tr>
    </w:tbl>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Style w:val="6"/>
          <w:rFonts w:hint="eastAsia" w:ascii="宋体" w:hAnsi="宋体" w:eastAsia="宋体" w:cs="宋体"/>
          <w:sz w:val="24"/>
          <w:szCs w:val="24"/>
        </w:rPr>
        <w:t>备注：以上技术和服务要求为本项目基本要求，供应 商须全部满足，否则视为无效响应。若要求提供相关佐证材料的，未提供的视为不满足。</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0"/>
      </w:pPr>
      <w:r>
        <w:rPr>
          <w:rFonts w:hint="eastAsia" w:ascii="宋体" w:hAnsi="宋体" w:eastAsia="宋体" w:cs="宋体"/>
          <w:spacing w:val="0"/>
          <w:sz w:val="24"/>
          <w:szCs w:val="24"/>
        </w:rPr>
        <w:t>三、商务条件</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1、交付地点：福建省泉州市丰泽区东海大街398号泉州师范学院主校区</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2、交付时间：签订合同（25）天内完成安装及调试。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3、交付条件：满足谈判文件要求。</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2%。说明：中标供应商在签订合同前需向采购人缴纳合同金额2%的履约保证金，该保证金在中标供应商供应的货物全部验收合格，合同约定事项全部履行完毕且无未了事项后，30日内一次性无息退还。履约保证金以支票、汇票、本票或者金融机构、担保机构出具的保函等非现金形式向采购人缴交。</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6、验收方式数据表格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160"/>
        <w:gridCol w:w="86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（一）验收标准 按厂家设备验收标准(符合国家或行业或地方标准)、招标文件、投标文件、合同等相关文件执行。验收结果应符合采购人使用要求。 （二）验收程序 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 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tc>
      </w:tr>
    </w:tbl>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7、支付方式数据表格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160"/>
        <w:gridCol w:w="2160"/>
        <w:gridCol w:w="64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（一）所有货款均由泉州师范学院支付； （二）支付货款时应提供的资料：《泉州师范学院采购申请表》、成交通知书、采购验收单及合同的原件，正式的完税税务发票复印件（均应加盖财务专用章）和政府采购计划表（政府采购系统上打印）。 （三）付款：在合同签订后，中标供应商启用采购人指定银行的三方共管账户后，采购人支付合同总价100%的预付款到三方共管账户。采购项目经验收合格并完成报销流程后，中标供应商方可从三方共管账户支取合同总价100%的款项。 （四）投标人、收款单位、购货票证开票单位三者应一致，投标人收款帐号应为中国人民银行批准的基本帐户。</w:t>
            </w:r>
          </w:p>
        </w:tc>
      </w:tr>
    </w:tbl>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包：2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1、交付地点：福建省泉州市丰泽区东海大街398号泉州师范学院主校区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2、交付时间：签订合同（25）天内完成安装及调试。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3、交付条件：满足谈判文件要求。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4、是否收取履约保证金： 是。履约保证金百分比：2%。说明：中标供应商在签订合同前需向采购人缴纳合同金额2%的履约保证金，该保证金在中标供应商供应的货物全部验收合格，合同约定事项全部履行完毕且无未了事项后，30日内一次性无息退还。履约保证金以支票、汇票、本票或者金融机构、担保机构出具的保函等非现金形式向采购人缴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5、是否邀请投标人参与验收：否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6、验收方式数据表格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160"/>
        <w:gridCol w:w="86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（一）验收标准 按厂家设备验收标准(符合国家或行业或地方标准)、招标文件、投标文件、合同等相关文件执行。验收结果应符合采购人使用要求。 （二）验收程序 （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 （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tc>
      </w:tr>
    </w:tbl>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7、支付方式数据表格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160"/>
        <w:gridCol w:w="2160"/>
        <w:gridCol w:w="64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jc w:val="left"/>
            </w:pPr>
            <w:r>
              <w:rPr>
                <w:rFonts w:ascii="宋体" w:hAnsi="宋体" w:eastAsia="宋体" w:cs="宋体"/>
                <w:kern w:val="0"/>
                <w:sz w:val="24"/>
                <w:szCs w:val="24"/>
                <w:lang w:val="en-US" w:eastAsia="zh-CN" w:bidi="ar"/>
              </w:rPr>
              <w:t>（一）所有货款均由泉州师范学院支付； （二）支付货款时应提供的资料：《泉州师范学院采购申请表》、成交通知书、采购验收单及合同的原件，正式的完税税务发票复印件（均应加盖财务专用章）和政府采购计划表（政府采购系统上打印）。 （三）付款：在合同签订后，中标供应商启用采购人指定银行的三方共管账户后，采购人支付合同总价100%的预付款到三方共管账户。采购项目经验收合格并完成报销流程后，中标供应商方可从三方共管账户支取合同总价100%的款项。 （四）投标人、收款单位、购货票证开票单位三者应一致，投标人收款帐号应为中国人民银行批准的基本帐户。</w:t>
            </w:r>
          </w:p>
        </w:tc>
      </w:tr>
    </w:tbl>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Style w:val="6"/>
          <w:rFonts w:ascii="楷体" w:hAnsi="楷体" w:eastAsia="楷体" w:cs="楷体"/>
          <w:sz w:val="28"/>
          <w:szCs w:val="28"/>
        </w:rPr>
        <w:t>8、商务及</w:t>
      </w:r>
      <w:r>
        <w:rPr>
          <w:rStyle w:val="6"/>
          <w:rFonts w:hint="eastAsia" w:ascii="楷体" w:hAnsi="楷体" w:eastAsia="楷体" w:cs="楷体"/>
          <w:sz w:val="28"/>
          <w:szCs w:val="28"/>
        </w:rPr>
        <w:t>售后 服务要求</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（一）投标人对提供的货物或服务，因产品及服务质量、或知识产权纠纷等问题，必须提供保修、包换、包退等服务。</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（二）货物安装调试合格后，制造商（或供应 商）负责对用户技术人员进行免费现场培训，培训内容包括系统的功能、原理、使用与维护等，培训日程视实际情况另定。</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（三）质保期：投标人所供货物（设备、货物或服务</w:t>
      </w:r>
      <w:bookmarkStart w:id="0" w:name="_GoBack"/>
      <w:bookmarkEnd w:id="0"/>
      <w:r>
        <w:rPr>
          <w:rFonts w:hint="eastAsia" w:ascii="楷体" w:hAnsi="楷体" w:eastAsia="楷体" w:cs="楷体"/>
          <w:sz w:val="28"/>
          <w:szCs w:val="28"/>
        </w:rPr>
        <w:t>）质保期自最终验收合格之日起开始计算，投标人需保证免费质保期至少为（36）个月。投标人在接到用户设备故障电话通知起，由于故障而无法工作超过3天，质保期自动延长相应天数（延长天数从故障电话通知之日开始计算）。</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（六）履行所承诺的其他服务条款。</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Style w:val="6"/>
          <w:rFonts w:hint="eastAsia" w:ascii="楷体" w:hAnsi="楷体" w:eastAsia="楷体" w:cs="楷体"/>
          <w:sz w:val="28"/>
          <w:szCs w:val="28"/>
        </w:rPr>
        <w:t>9、验收要求</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（一）验收标准</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Fonts w:hint="eastAsia" w:ascii="楷体" w:hAnsi="楷体" w:eastAsia="楷体" w:cs="楷体"/>
          <w:sz w:val="28"/>
          <w:szCs w:val="28"/>
        </w:rPr>
        <w:t>按厂家设备验收标准(符合国家或行业或地方标准)、招标文件、投标文件、合同等相关文件执行。验收结果应符合采购人使用要求。</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（二）验收程序</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 定交货地点。</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Style w:val="6"/>
          <w:rFonts w:hint="eastAsia" w:ascii="楷体" w:hAnsi="楷体" w:eastAsia="楷体" w:cs="楷体"/>
          <w:sz w:val="28"/>
          <w:szCs w:val="28"/>
        </w:rPr>
        <w:t>10、其他商务要求</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（一）投标人不得虚报各项技术指标，中标产品若不能符合技术要求，采购人有权解除合同，并向政府采购管理部门通报，因此给采购人造成的一切损失，由投标人承担。</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（二）培训：投标人应结合本次采购的货物，有计划地对采购人派出管理、维护及使用人员进行安装现场的基本知识、使用、维护与保养技术的培训。</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pPr>
      <w:r>
        <w:rPr>
          <w:rStyle w:val="6"/>
          <w:rFonts w:hint="eastAsia" w:ascii="楷体" w:hAnsi="楷体" w:eastAsia="楷体" w:cs="楷体"/>
          <w:sz w:val="28"/>
          <w:szCs w:val="28"/>
        </w:rPr>
        <w:t>11、付款要求</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（一）所有货款均由泉州师范学院支付；</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（二）支付货款时应提供的资料：《泉州师范学院采购申请表》、成交通知书、采购验收单及合同的原件，正式的完税税务发票复印件（均应加盖财务专用章）和政府采购计划表（政府采购系统上打印）。</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（三）付款：在合同签订后，中标供应 商启用采购人指 定银行的三方共管账户后，采购人支付合同总价100%的预付款到三方共管账户。采购项目经验收合格并完成报销流程后，中标供应 商方可从三方共管账户支取合同总价100%的款项。</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555"/>
      </w:pPr>
      <w:r>
        <w:rPr>
          <w:rFonts w:hint="eastAsia" w:ascii="楷体" w:hAnsi="楷体" w:eastAsia="楷体" w:cs="楷体"/>
          <w:sz w:val="28"/>
          <w:szCs w:val="28"/>
        </w:rPr>
        <w:t>（四）投标人、收款单位、购货票证开票单位三者应一致，投标人收款帐号应为中国人民银行批准的基本帐户。</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0"/>
      </w:pPr>
      <w:r>
        <w:rPr>
          <w:rFonts w:hint="eastAsia" w:ascii="宋体" w:hAnsi="宋体" w:eastAsia="宋体" w:cs="宋体"/>
          <w:spacing w:val="0"/>
          <w:sz w:val="24"/>
          <w:szCs w:val="24"/>
        </w:rPr>
        <w:t>四、其他事项</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Pr>
          <w:rFonts w:hint="eastAsia" w:ascii="微软雅黑" w:hAnsi="微软雅黑" w:eastAsia="微软雅黑" w:cs="微软雅黑"/>
          <w:sz w:val="27"/>
          <w:szCs w:val="27"/>
        </w:rPr>
      </w:pPr>
      <w:r>
        <w:rPr>
          <w:rFonts w:hint="eastAsia" w:ascii="宋体" w:hAnsi="宋体" w:eastAsia="宋体" w:cs="宋体"/>
          <w:sz w:val="27"/>
          <w:szCs w:val="27"/>
        </w:rPr>
        <w:t>（1）采购人在确认成交结果前，可自行对成交候选供 应商提供的符合性条款中涉及的证明资料（证书、报告等）原件进行复核，成交候选供 应商无法提供原件复核的，按提供虚假材料谋取中标或成交的情形处理，该供 应商提交的响应文件无效，本项目顺延确定成交候选供 应商或重新开展采购活动。</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Pr>
          <w:rFonts w:hint="eastAsia" w:ascii="微软雅黑" w:hAnsi="微软雅黑" w:eastAsia="微软雅黑" w:cs="微软雅黑"/>
          <w:sz w:val="27"/>
          <w:szCs w:val="27"/>
        </w:rPr>
      </w:pPr>
      <w:r>
        <w:rPr>
          <w:rFonts w:hint="eastAsia" w:ascii="宋体" w:hAnsi="宋体" w:eastAsia="宋体" w:cs="宋体"/>
          <w:sz w:val="27"/>
          <w:szCs w:val="27"/>
        </w:rPr>
        <w:t>（2）采购人应当自成交通知书发出之日起30日内，按照采购文件和成交供 应商响应文件的规定，与成交供 应商签订合同，并在福建省政府采购网（泉州市）上发布合同公告。</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Pr>
          <w:rFonts w:hint="eastAsia" w:ascii="微软雅黑" w:hAnsi="微软雅黑" w:eastAsia="微软雅黑" w:cs="微软雅黑"/>
          <w:sz w:val="27"/>
          <w:szCs w:val="27"/>
        </w:rPr>
      </w:pPr>
      <w:r>
        <w:rPr>
          <w:rFonts w:hint="eastAsia" w:ascii="宋体" w:hAnsi="宋体" w:eastAsia="宋体" w:cs="宋体"/>
          <w:sz w:val="27"/>
          <w:szCs w:val="27"/>
        </w:rPr>
        <w:t>（3）质疑函的格式应当参照财政部官方网站提供的质疑函范本（</w:t>
      </w:r>
      <w:r>
        <w:rPr>
          <w:rFonts w:hint="default" w:ascii="Times New Roman" w:hAnsi="Times New Roman" w:eastAsia="微软雅黑" w:cs="Times New Roman"/>
          <w:spacing w:val="0"/>
          <w:sz w:val="27"/>
          <w:szCs w:val="27"/>
        </w:rPr>
        <w:t>http://gks.mof.gov.cn/ztztz/zhengfucaigouguanli/201802/t20180201_2804589.htm</w:t>
      </w:r>
      <w:r>
        <w:rPr>
          <w:rFonts w:hint="eastAsia" w:ascii="宋体" w:hAnsi="宋体" w:eastAsia="宋体" w:cs="宋体"/>
          <w:sz w:val="27"/>
          <w:szCs w:val="27"/>
        </w:rPr>
        <w:t>），针对同一采购程序环节的质疑应当在法定质疑期内一次性提出，并附上供 应商在福建省政府采购网（泉州市）已依法获取采购文件的截图（须包含获取时间），否则不予受理。</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Pr>
          <w:rFonts w:hint="eastAsia" w:ascii="微软雅黑" w:hAnsi="微软雅黑" w:eastAsia="微软雅黑" w:cs="微软雅黑"/>
          <w:sz w:val="27"/>
          <w:szCs w:val="27"/>
        </w:rPr>
      </w:pPr>
      <w:r>
        <w:rPr>
          <w:rFonts w:hint="eastAsia" w:ascii="宋体" w:hAnsi="宋体" w:eastAsia="宋体" w:cs="宋体"/>
          <w:sz w:val="27"/>
          <w:szCs w:val="27"/>
        </w:rPr>
        <w:t>（4）关于中标（成交）供 应商申请融资业务的说明：</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480"/>
        <w:jc w:val="both"/>
        <w:rPr>
          <w:rFonts w:hint="eastAsia" w:ascii="微软雅黑" w:hAnsi="微软雅黑" w:eastAsia="微软雅黑" w:cs="微软雅黑"/>
          <w:sz w:val="27"/>
          <w:szCs w:val="27"/>
        </w:rPr>
      </w:pPr>
      <w:r>
        <w:rPr>
          <w:rFonts w:hint="eastAsia" w:ascii="宋体" w:hAnsi="宋体" w:eastAsia="宋体" w:cs="宋体"/>
          <w:sz w:val="27"/>
          <w:szCs w:val="27"/>
        </w:rPr>
        <w:t>1）凡参与政府采购并依法取得政府采购合同的供 应商，均可使用政府采购合同向福建省政府采购网发布的政府采购合同融资业务信息的银行业金融机构申请融资，可在“政采贷”模块进行具体操作；</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480"/>
        <w:jc w:val="both"/>
        <w:rPr>
          <w:rFonts w:hint="eastAsia" w:ascii="微软雅黑" w:hAnsi="微软雅黑" w:eastAsia="微软雅黑" w:cs="微软雅黑"/>
          <w:sz w:val="27"/>
          <w:szCs w:val="27"/>
        </w:rPr>
      </w:pPr>
      <w:r>
        <w:rPr>
          <w:rFonts w:hint="eastAsia" w:ascii="宋体" w:hAnsi="宋体" w:eastAsia="宋体" w:cs="宋体"/>
          <w:sz w:val="27"/>
          <w:szCs w:val="27"/>
        </w:rPr>
        <w:t>2）企业申请所需提交的材料可登录“福建省政府采购网”查询；</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480"/>
        <w:jc w:val="both"/>
        <w:rPr>
          <w:rFonts w:hint="eastAsia" w:ascii="微软雅黑" w:hAnsi="微软雅黑" w:eastAsia="微软雅黑" w:cs="微软雅黑"/>
          <w:sz w:val="27"/>
          <w:szCs w:val="27"/>
        </w:rPr>
      </w:pPr>
      <w:r>
        <w:rPr>
          <w:rFonts w:hint="eastAsia" w:ascii="宋体" w:hAnsi="宋体" w:eastAsia="宋体" w:cs="宋体"/>
          <w:sz w:val="27"/>
          <w:szCs w:val="27"/>
        </w:rPr>
        <w:t>3）融资主要条件：①担保条件：除法定代表人或实际控制人担保外，如融资金额未超过政府采购合同金额的，银行不要求企业供 应商提供财产抵质押或第三方担保，或附加其他担保条件。②专用账户：当银行同意授信后，企业供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480"/>
        <w:jc w:val="both"/>
        <w:rPr>
          <w:rFonts w:hint="eastAsia" w:ascii="微软雅黑" w:hAnsi="微软雅黑" w:eastAsia="微软雅黑" w:cs="微软雅黑"/>
          <w:sz w:val="27"/>
          <w:szCs w:val="27"/>
        </w:rPr>
      </w:pPr>
      <w:r>
        <w:rPr>
          <w:rFonts w:hint="eastAsia" w:ascii="宋体" w:hAnsi="宋体" w:eastAsia="宋体" w:cs="宋体"/>
          <w:sz w:val="27"/>
          <w:szCs w:val="27"/>
        </w:rPr>
        <w:t>4）上述事宜详见http://cz.fjzfcg.gov.cn/。</w:t>
      </w:r>
    </w:p>
    <w:p>
      <w:pPr>
        <w:pStyle w:val="3"/>
        <w:keepNext w:val="0"/>
        <w:keepLines w:val="0"/>
        <w:widowControl/>
        <w:suppressLineNumbers w:val="0"/>
      </w:pP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27"/>
          <w:szCs w:val="27"/>
          <w:lang w:val="en-US" w:eastAsia="zh-CN" w:bidi="ar"/>
        </w:rPr>
        <w:t> </w:t>
      </w:r>
    </w:p>
    <w:p>
      <w:pPr>
        <w:pStyle w:val="3"/>
        <w:keepNext w:val="0"/>
        <w:keepLines w:val="0"/>
        <w:widowControl/>
        <w:suppressLineNumbers w:val="0"/>
        <w:spacing w:before="75" w:beforeAutospacing="0" w:after="75" w:afterAutospacing="0" w:line="465" w:lineRule="atLeast"/>
        <w:ind w:left="0" w:right="0" w:firstLine="0"/>
        <w:rPr>
          <w:rFonts w:hint="eastAsia" w:ascii="微软雅黑" w:hAnsi="微软雅黑" w:eastAsia="微软雅黑" w:cs="微软雅黑"/>
          <w:i w:val="0"/>
          <w:iCs w:val="0"/>
          <w:caps w:val="0"/>
          <w:color w:val="000000"/>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1、签订合同应遵守《中华人民共和国政府采购法》、《中华人民共和国民法典》。</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3.本章节所附的合同主要条款及格式为参考文本，如果因为项目实际特点不能适用，则可由甲乙双方在合同签订阶段可通过友好协商进行约定。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泉州师范学院</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[350500]QZBJ[TP]2022003</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泉州师范学院纺织与服装学院鞋服产品工艺实训室货物类采购项目</w:t>
      </w:r>
      <w:r>
        <w:rPr>
          <w:rFonts w:hint="eastAsia" w:ascii="宋体" w:hAnsi="宋体" w:eastAsia="宋体" w:cs="宋体"/>
          <w:spacing w:val="0"/>
          <w:sz w:val="24"/>
          <w:szCs w:val="24"/>
        </w:rPr>
        <w:t>项目（以下简称：“本项目”）的谈判结果，乙方为成交供应商。现经甲乙双方友好协商，就以下事项达成一致并签订本合同：</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1.2谈判文件、乙方的响应文件；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5、合同标的应符合谈判文件、乙方响应文件的规定或约定，具体如下：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6.2本项目是否邀请其他供应商参与验收：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7、合同款项的支付应按照谈判文件的规定进行，具体如下：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15.3本合同自签订之日起生效。</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甲方：泉州师范学院乙方：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住所：泉州市丰泽区东海大街398号住所：</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单位负责人：单位负责人：</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委托代理人：059522919532委托代理人：</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联系方法：059522919532联系方法：</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开户银行：开户银行：</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账号：账号：</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240"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rPr>
          <w:rFonts w:hint="eastAsia" w:ascii="微软雅黑" w:hAnsi="微软雅黑" w:eastAsia="微软雅黑" w:cs="微软雅黑"/>
          <w:i w:val="0"/>
          <w:iCs w:val="0"/>
          <w:caps w:val="0"/>
          <w:color w:val="000000"/>
          <w:spacing w:val="0"/>
          <w:sz w:val="27"/>
          <w:szCs w:val="27"/>
        </w:rPr>
      </w:pP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福建省政府采购项目竞争性谈判</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响应文件</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（首次）</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项目名称：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项目编号：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合同包: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供应商名称 ：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日    期 ：               </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目  录</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附件1            </w:t>
      </w:r>
      <w:r>
        <w:rPr>
          <w:rStyle w:val="6"/>
          <w:rFonts w:hint="eastAsia" w:ascii="宋体" w:hAnsi="宋体" w:eastAsia="宋体" w:cs="宋体"/>
          <w:spacing w:val="0"/>
          <w:sz w:val="24"/>
          <w:szCs w:val="24"/>
        </w:rPr>
        <w:t>谈判响应声明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6"/>
          <w:rFonts w:hint="eastAsia" w:ascii="宋体" w:hAnsi="宋体" w:eastAsia="宋体" w:cs="宋体"/>
          <w:spacing w:val="0"/>
          <w:sz w:val="36"/>
          <w:szCs w:val="36"/>
        </w:rPr>
        <w:t>   报价一览表</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W w:w="87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6"/>
          <w:rFonts w:hint="eastAsia" w:ascii="宋体" w:hAnsi="宋体" w:eastAsia="宋体" w:cs="宋体"/>
          <w:spacing w:val="0"/>
          <w:sz w:val="36"/>
          <w:szCs w:val="36"/>
        </w:rPr>
        <w:t>详细报价书</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6"/>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6"/>
          <w:rFonts w:hint="eastAsia" w:ascii="宋体" w:hAnsi="宋体" w:eastAsia="宋体" w:cs="宋体"/>
          <w:spacing w:val="0"/>
          <w:sz w:val="24"/>
          <w:szCs w:val="24"/>
        </w:rPr>
        <w:t>参加竞争性谈判的声明函</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6"/>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375" w:lineRule="atLeast"/>
        <w:ind w:left="0" w:right="0" w:firstLine="0"/>
        <w:jc w:val="both"/>
      </w:pPr>
      <w:r>
        <w:rPr>
          <w:rStyle w:val="6"/>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《中华人民共和国政府采购法》第二十二条对供应商的要求</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谈判文件对合格供应商的一般规定</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6"/>
          <w:rFonts w:hint="eastAsia" w:ascii="宋体" w:hAnsi="宋体" w:eastAsia="宋体" w:cs="宋体"/>
          <w:spacing w:val="0"/>
          <w:sz w:val="24"/>
          <w:szCs w:val="24"/>
        </w:rPr>
        <w:t>单位负责人授权书</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3"/>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jc w:val="right"/>
      </w:pP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blCellSpacing w:w="15" w:type="dxa"/>
        </w:trPr>
        <w:tc>
          <w:tcPr>
            <w:tcW w:w="8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要求：真实、有效、清晰</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tc>
      </w:tr>
    </w:tbl>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6"/>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6"/>
          <w:rFonts w:hint="eastAsia" w:ascii="宋体" w:hAnsi="宋体" w:eastAsia="宋体" w:cs="宋体"/>
          <w:spacing w:val="0"/>
          <w:sz w:val="24"/>
          <w:szCs w:val="24"/>
        </w:rPr>
        <w:t>       营业执照等证明文件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6"/>
          <w:rFonts w:hint="eastAsia" w:ascii="宋体" w:hAnsi="宋体" w:eastAsia="宋体" w:cs="宋体"/>
          <w:spacing w:val="0"/>
          <w:sz w:val="24"/>
          <w:szCs w:val="24"/>
        </w:rPr>
        <w:t>财务状况报告</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1"/>
          <w:szCs w:val="21"/>
        </w:rPr>
        <w:t>※无法按照本格式注意事项第2.1、2.2条规定提供财务报告复印件的供应商，应按照本格式注意事项的要求选择提供资信证明复印件或投标担保函复印件。</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6"/>
          <w:rFonts w:hint="eastAsia" w:ascii="宋体" w:hAnsi="宋体" w:eastAsia="宋体" w:cs="宋体"/>
          <w:spacing w:val="0"/>
          <w:sz w:val="24"/>
          <w:szCs w:val="24"/>
        </w:rPr>
        <w:t>依法缴纳税收证明材料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1、依法缴纳税收的供应商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2、依法免税的供应商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6"/>
          <w:rFonts w:hint="eastAsia" w:ascii="宋体" w:hAnsi="宋体" w:eastAsia="宋体" w:cs="宋体"/>
          <w:spacing w:val="0"/>
          <w:sz w:val="21"/>
          <w:szCs w:val="21"/>
        </w:rPr>
        <w:t>“依法缴纳税收证明材料”</w:t>
      </w:r>
      <w:r>
        <w:rPr>
          <w:rFonts w:hint="eastAsia" w:ascii="宋体" w:hAnsi="宋体" w:eastAsia="宋体" w:cs="宋体"/>
          <w:spacing w:val="0"/>
          <w:sz w:val="21"/>
          <w:szCs w:val="21"/>
        </w:rPr>
        <w:t>有欠缴记录的，视为</w:t>
      </w:r>
      <w:r>
        <w:rPr>
          <w:rStyle w:val="6"/>
          <w:rFonts w:hint="eastAsia" w:ascii="宋体" w:hAnsi="宋体" w:eastAsia="宋体" w:cs="宋体"/>
          <w:spacing w:val="0"/>
          <w:sz w:val="21"/>
          <w:szCs w:val="21"/>
        </w:rPr>
        <w:t>未依法缴纳税收</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6"/>
          <w:rFonts w:hint="eastAsia" w:ascii="宋体" w:hAnsi="宋体" w:eastAsia="宋体" w:cs="宋体"/>
          <w:spacing w:val="0"/>
          <w:sz w:val="24"/>
          <w:szCs w:val="24"/>
        </w:rPr>
        <w:t>依法缴纳社会保障资金证明材料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1、依法缴纳社会保障资金的供应商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2、依法不需要缴纳社会保障资金的供应商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6"/>
          <w:rFonts w:hint="eastAsia" w:ascii="宋体" w:hAnsi="宋体" w:eastAsia="宋体" w:cs="宋体"/>
          <w:spacing w:val="0"/>
          <w:sz w:val="21"/>
          <w:szCs w:val="21"/>
        </w:rPr>
        <w:t>“依法缴纳社会保障资金证明材料”</w:t>
      </w:r>
      <w:r>
        <w:rPr>
          <w:rFonts w:hint="eastAsia" w:ascii="宋体" w:hAnsi="宋体" w:eastAsia="宋体" w:cs="宋体"/>
          <w:spacing w:val="0"/>
          <w:sz w:val="21"/>
          <w:szCs w:val="21"/>
        </w:rPr>
        <w:t>有欠缴记录的，视为</w:t>
      </w:r>
      <w:r>
        <w:rPr>
          <w:rStyle w:val="6"/>
          <w:rFonts w:hint="eastAsia" w:ascii="宋体" w:hAnsi="宋体" w:eastAsia="宋体" w:cs="宋体"/>
          <w:spacing w:val="0"/>
          <w:sz w:val="21"/>
          <w:szCs w:val="21"/>
        </w:rPr>
        <w:t>未依法缴纳社会保障资金</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6"/>
          <w:rFonts w:hint="eastAsia" w:ascii="宋体" w:hAnsi="宋体" w:eastAsia="宋体" w:cs="宋体"/>
          <w:spacing w:val="0"/>
          <w:sz w:val="24"/>
          <w:szCs w:val="24"/>
        </w:rPr>
        <w:t>具备履行合同所必需设备和专业技术能力证明材料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声明函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6"/>
          <w:rFonts w:hint="eastAsia" w:ascii="宋体" w:hAnsi="宋体" w:eastAsia="宋体" w:cs="宋体"/>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r>
        <w:rPr>
          <w:rStyle w:val="6"/>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6"/>
          <w:rFonts w:hint="eastAsia" w:ascii="宋体" w:hAnsi="宋体" w:eastAsia="宋体" w:cs="宋体"/>
          <w:spacing w:val="0"/>
          <w:sz w:val="24"/>
          <w:szCs w:val="24"/>
        </w:rPr>
        <w:t>参加采购活动前三年内在经营活动中</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1935"/>
      </w:pPr>
      <w:r>
        <w:rPr>
          <w:rStyle w:val="6"/>
          <w:rFonts w:hint="eastAsia" w:ascii="宋体" w:hAnsi="宋体" w:eastAsia="宋体" w:cs="宋体"/>
          <w:spacing w:val="0"/>
          <w:sz w:val="24"/>
          <w:szCs w:val="24"/>
        </w:rPr>
        <w:t>没有重大违法记录书面声明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6"/>
          <w:rFonts w:hint="eastAsia" w:ascii="宋体" w:hAnsi="宋体" w:eastAsia="宋体" w:cs="宋体"/>
          <w:spacing w:val="0"/>
          <w:sz w:val="24"/>
          <w:szCs w:val="24"/>
        </w:rPr>
        <w:t>信用记录查询结果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6"/>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6"/>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6"/>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6"/>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6"/>
          <w:rFonts w:hint="eastAsia" w:ascii="宋体" w:hAnsi="宋体" w:eastAsia="宋体" w:cs="宋体"/>
          <w:spacing w:val="0"/>
          <w:sz w:val="21"/>
          <w:szCs w:val="21"/>
        </w:rPr>
        <w:t>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附件3-11   </w:t>
      </w:r>
      <w:r>
        <w:rPr>
          <w:rStyle w:val="6"/>
          <w:rFonts w:hint="eastAsia" w:ascii="宋体" w:hAnsi="宋体" w:eastAsia="宋体" w:cs="宋体"/>
          <w:spacing w:val="0"/>
          <w:sz w:val="24"/>
          <w:szCs w:val="24"/>
        </w:rPr>
        <w:t>检察机关行贿犯罪档案查询结果告知函（如果需要）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6"/>
          <w:rFonts w:hint="eastAsia" w:ascii="宋体" w:hAnsi="宋体" w:eastAsia="宋体" w:cs="宋体"/>
          <w:spacing w:val="0"/>
          <w:sz w:val="24"/>
          <w:szCs w:val="24"/>
        </w:rPr>
        <w:t>则供应商的响应文件将被否决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3"/>
        <w:keepNext w:val="0"/>
        <w:keepLines w:val="0"/>
        <w:widowControl/>
        <w:suppressLineNumbers w:val="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6"/>
          <w:rFonts w:hint="eastAsia" w:ascii="宋体" w:hAnsi="宋体" w:eastAsia="宋体" w:cs="宋体"/>
          <w:spacing w:val="0"/>
          <w:sz w:val="24"/>
          <w:szCs w:val="24"/>
        </w:rPr>
        <w:t>  联合体协议</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（接受联合体的项目使用）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3"/>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6"/>
          <w:rFonts w:hint="eastAsia" w:ascii="宋体" w:hAnsi="宋体" w:eastAsia="宋体" w:cs="宋体"/>
          <w:spacing w:val="0"/>
          <w:sz w:val="24"/>
          <w:szCs w:val="24"/>
        </w:rPr>
        <w:t>其它资格证明文件</w:t>
      </w:r>
    </w:p>
    <w:p>
      <w:pPr>
        <w:pStyle w:val="3"/>
        <w:keepNext w:val="0"/>
        <w:keepLines w:val="0"/>
        <w:widowControl/>
        <w:suppressLineNumbers w:val="0"/>
        <w:spacing w:before="75" w:beforeAutospacing="0" w:after="75" w:afterAutospacing="0" w:line="420" w:lineRule="atLeast"/>
        <w:ind w:left="0" w:right="0" w:firstLine="0"/>
        <w:jc w:val="center"/>
      </w:pPr>
      <w:r>
        <w:rPr>
          <w:rStyle w:val="6"/>
          <w:rFonts w:hint="eastAsia" w:ascii="宋体" w:hAnsi="宋体" w:eastAsia="宋体" w:cs="宋体"/>
          <w:spacing w:val="0"/>
          <w:sz w:val="24"/>
          <w:szCs w:val="24"/>
        </w:rPr>
        <w:t>（如果有的话）</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6"/>
          <w:rFonts w:hint="eastAsia" w:ascii="宋体" w:hAnsi="宋体" w:eastAsia="宋体" w:cs="宋体"/>
          <w:spacing w:val="0"/>
          <w:sz w:val="24"/>
          <w:szCs w:val="24"/>
        </w:rPr>
        <w:t>谈判保证金凭证</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6"/>
          <w:rFonts w:hint="eastAsia" w:ascii="宋体" w:hAnsi="宋体" w:eastAsia="宋体" w:cs="宋体"/>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6"/>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72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7"/>
        <w:gridCol w:w="2032"/>
        <w:gridCol w:w="1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6"/>
          <w:rFonts w:hint="eastAsia" w:ascii="宋体" w:hAnsi="宋体" w:eastAsia="宋体" w:cs="宋体"/>
          <w:spacing w:val="0"/>
          <w:sz w:val="24"/>
          <w:szCs w:val="24"/>
        </w:rPr>
        <w:t> 商务条件和其它事项响应表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6"/>
        <w:gridCol w:w="2046"/>
        <w:gridCol w:w="1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6"/>
          <w:rFonts w:hint="eastAsia" w:ascii="宋体" w:hAnsi="宋体" w:eastAsia="宋体" w:cs="宋体"/>
          <w:spacing w:val="0"/>
          <w:sz w:val="24"/>
          <w:szCs w:val="24"/>
        </w:rPr>
        <w:t>  相关技术、商务、服务响应承诺及资料</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6"/>
          <w:rFonts w:hint="eastAsia" w:ascii="宋体" w:hAnsi="宋体" w:eastAsia="宋体" w:cs="宋体"/>
          <w:spacing w:val="0"/>
          <w:sz w:val="24"/>
          <w:szCs w:val="24"/>
        </w:rPr>
        <w:t>供应商提交符合政府采购政策的证明材料</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6"/>
          <w:rFonts w:hint="eastAsia" w:ascii="宋体" w:hAnsi="宋体" w:eastAsia="宋体" w:cs="宋体"/>
          <w:spacing w:val="0"/>
          <w:sz w:val="24"/>
          <w:szCs w:val="24"/>
        </w:rPr>
        <w:t>中小企业声明函（如果有的话）</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3"/>
        <w:keepNext w:val="0"/>
        <w:keepLines w:val="0"/>
        <w:widowControl/>
        <w:suppressLineNumbers w:val="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3"/>
        <w:keepNext w:val="0"/>
        <w:keepLines w:val="0"/>
        <w:widowControl/>
        <w:suppressLineNumbers w:val="0"/>
        <w:spacing w:before="75" w:beforeAutospacing="0" w:after="75" w:afterAutospacing="0" w:line="315" w:lineRule="atLeast"/>
        <w:ind w:left="0" w:right="0" w:firstLine="480"/>
        <w:jc w:val="both"/>
      </w:pP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残疾人福利性单位声明函（如果有的话）</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3"/>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3"/>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本供应商对上述声明的真实性负责。如有虚假，将依法承担相应责任。</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（2）请供应商按照实际情况编制填写本声明函，并在相应的（）中打“√”。</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（3）纸质响应文件正本中的本声明函（若有）应为原件。</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（4）若《残疾人福利性单位声明函》内容不真实，视为提供虚假材料。</w:t>
      </w:r>
    </w:p>
    <w:p>
      <w:pPr>
        <w:pStyle w:val="3"/>
        <w:keepNext w:val="0"/>
        <w:keepLines w:val="0"/>
        <w:widowControl/>
        <w:suppressLineNumbers w:val="0"/>
        <w:spacing w:before="75" w:beforeAutospacing="0" w:after="75" w:afterAutospacing="0" w:line="435" w:lineRule="atLeast"/>
        <w:ind w:left="0" w:right="0" w:firstLine="420"/>
        <w:jc w:val="both"/>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6"/>
          <w:rFonts w:hint="eastAsia" w:ascii="宋体" w:hAnsi="宋体" w:eastAsia="宋体" w:cs="宋体"/>
          <w:spacing w:val="0"/>
          <w:sz w:val="24"/>
          <w:szCs w:val="24"/>
        </w:rPr>
        <w:t>优先类节能产品、环境标志产品价格扣除证明材料（如果有的话）</w:t>
      </w:r>
    </w:p>
    <w:p>
      <w:pPr>
        <w:pStyle w:val="3"/>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20"/>
        <w:gridCol w:w="1213"/>
        <w:gridCol w:w="1207"/>
        <w:gridCol w:w="1218"/>
        <w:gridCol w:w="1207"/>
        <w:gridCol w:w="1218"/>
        <w:gridCol w:w="1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6"/>
          <w:rFonts w:hint="eastAsia" w:ascii="宋体" w:hAnsi="宋体" w:eastAsia="宋体" w:cs="宋体"/>
          <w:spacing w:val="0"/>
          <w:sz w:val="24"/>
          <w:szCs w:val="24"/>
        </w:rPr>
        <w:t>要求作为响应文件组成部分的其他内容（若有）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pPr>
      <w:r>
        <w:rPr>
          <w:rFonts w:hint="default" w:ascii="Calibri" w:hAnsi="Calibri" w:cs="Calibri"/>
          <w:sz w:val="21"/>
          <w:szCs w:val="21"/>
        </w:rPr>
        <w:t> </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rPr>
        <w:t>采购文件相关附件</w:t>
      </w:r>
    </w:p>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2YjNlOGVhMDNhNzA3ZTQ1MDdlYTM3ZjcxNjkyMzAifQ=="/>
  </w:docVars>
  <w:rsids>
    <w:rsidRoot w:val="00000000"/>
    <w:rsid w:val="3F457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80</Pages>
  <Words>45097</Words>
  <Characters>47187</Characters>
  <Lines>0</Lines>
  <Paragraphs>0</Paragraphs>
  <TotalTime>9</TotalTime>
  <ScaleCrop>false</ScaleCrop>
  <LinksUpToDate>false</LinksUpToDate>
  <CharactersWithSpaces>50433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2022-12-08T01:52:15Z</dcterms:created>
  <dc:creator>Administrator</dc:creator>
  <cp:lastModifiedBy>仰望、那片天</cp:lastModifiedBy>
  <dcterms:modified xsi:type="dcterms:W3CDTF">2022-12-08T02:02:04Z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151A2830E1CE4E62A12347B7D4F86A94</vt:lpwstr>
  </property>
</Properties>
</file>