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ascii="宋体" w:hAnsi="宋体" w:eastAsia="宋体" w:cs="宋体"/>
          <w:b/>
          <w:bCs/>
          <w:i w:val="0"/>
          <w:iCs w:val="0"/>
          <w:caps w:val="0"/>
          <w:color w:val="393939"/>
          <w:spacing w:val="0"/>
          <w:sz w:val="72"/>
          <w:szCs w:val="72"/>
          <w:shd w:val="clear" w:fill="FFFFFF"/>
        </w:rPr>
        <w:t>福建省政府采购项目</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72"/>
          <w:szCs w:val="72"/>
          <w:shd w:val="clear" w:fill="FFFFFF"/>
        </w:rPr>
        <w:t>竞争性谈判文件</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bookmarkStart w:id="0" w:name="_GoBack"/>
      <w:bookmarkEnd w:id="0"/>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泉州师范学院陈守仁商学院云系统及云终端采购项目</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C-SY-JT-202211-B0694-FJHDCG</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[350500]FJHDCG[TP]2022005</w:t>
      </w:r>
    </w:p>
    <w:p>
      <w:pPr>
        <w:pStyle w:val="3"/>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6"/>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福建恒都工程项目管理有限公司</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2022年11月</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pStyle w:val="3"/>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6"/>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6"/>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3"/>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陈守仁商学院云系统及云终端采购项目项目（以下简称：“本项目”）的政府采购活动，现欢迎国内合格的供应商前来参加。本项目由采购人委托福建恒都工程项目管理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1.项目名称：泉州师范学院陈守仁商学院云系统及云终端采购项目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2.备案编号：C-SY-JT-202211-B0694-FJHDCG</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3.项目编号：[350500]FJHDCG[TP]2022005</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
        <w:gridCol w:w="483"/>
        <w:gridCol w:w="1931"/>
        <w:gridCol w:w="965"/>
        <w:gridCol w:w="965"/>
        <w:gridCol w:w="483"/>
        <w:gridCol w:w="965"/>
        <w:gridCol w:w="965"/>
        <w:gridCol w:w="966"/>
        <w:gridCol w:w="9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tbl>
            <w:tblPr>
              <w:tblStyle w:val="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0"/>
              <w:gridCol w:w="1920"/>
              <w:gridCol w:w="960"/>
              <w:gridCol w:w="960"/>
              <w:gridCol w:w="480"/>
              <w:gridCol w:w="961"/>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终端机</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1330000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软件和信息技术服务业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云桌面管理系统</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209000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软件和信息技术服务业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其他计算机设备及软件</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239100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软件和信息技术服务业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1778100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1778100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适用于（不适用）。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信用记录，适用于（合同包1），按照下列规定执行：（1）投标人应在公告发布后谈判开始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6"/>
          <w:rFonts w:hint="eastAsia" w:ascii="宋体" w:hAnsi="宋体" w:eastAsia="宋体" w:cs="宋体"/>
          <w:b/>
          <w:bCs/>
          <w:spacing w:val="0"/>
          <w:sz w:val="24"/>
          <w:szCs w:val="24"/>
          <w:shd w:val="clear" w:fill="FFFFFF"/>
        </w:rPr>
        <w:t>包：1</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44"/>
        <w:gridCol w:w="53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项目为预留份额专门面向中小企业产品采购项目，不接受大型企业货物。本项目标的物对应的行业类型为“工业”。供应商在响应文件中须提供《中小企业声明函》（货物），并根据技术和服务要求表中产品项目分别填写货物制造商的相关信息。监狱企业和残疾人福利性单位的产品视同小微企业产品。监狱企业须在响应文件中提供相关证明文件，否则不予认定，残疾人福利性单位须在磋商响应文件中提供《残疾人福利性单位声明函》，否则不予认定。不符合上述要求的为无效谈判。</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w:t>
      </w:r>
      <w:r>
        <w:rPr>
          <w:rStyle w:val="6"/>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联系人：杨志丹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代理机构：福建恒都工程项目管理有限公司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址：泉州市丰泽区丰海路东海泰禾广场13号楼2326室上下层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联系人：陈昭鑫、池佳明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联系方法：13799525787、0595-22301995</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Style w:val="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开户名称：福建恒都工程项目管理有限公司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43"/>
          <w:szCs w:val="43"/>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43"/>
          <w:szCs w:val="43"/>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6"/>
          <w:rFonts w:ascii="宋体" w:hAnsi="宋体" w:eastAsia="宋体" w:cs="宋体"/>
          <w:b/>
          <w:bCs/>
          <w:kern w:val="0"/>
          <w:sz w:val="24"/>
          <w:szCs w:val="24"/>
          <w:lang w:val="en-US" w:eastAsia="zh-CN" w:bidi="ar"/>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r>
        <w:rPr>
          <w:rStyle w:val="6"/>
          <w:rFonts w:hint="eastAsia" w:ascii="宋体" w:hAnsi="宋体" w:eastAsia="宋体" w:cs="宋体"/>
          <w:b/>
          <w:bCs/>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Style w:val="4"/>
        <w:tblW w:w="97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886"/>
        <w:gridCol w:w="82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项号</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条款号</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b/>
                <w:bCs/>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4"/>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601"/>
              <w:gridCol w:w="44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shd w:val="clear" w:fill="FFFFFF"/>
              </w:rPr>
              <w:t>包：1</w:t>
            </w:r>
          </w:p>
          <w:tbl>
            <w:tblPr>
              <w:tblStyle w:val="4"/>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601"/>
              <w:gridCol w:w="44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项目为预留份额专门面向中小企业产品采购项目，不接受大型企业货物。本项目标的物对应的行业类型为“工业”。供应商在响应文件中须提供《中小企业声明函》（货物），并根据技术和服务要求表中产品项目分别填写货物制造商的相关信息。监狱企业和残疾人福利性单位的产品视同小微企业产品。监狱企业须在响应文件中提供相关证明文件，否则不予认定，残疾人福利性单位须在磋商响应文件中提供《残疾人福利性单位声明函》，否则不予认定。不符合上述要求的为无效谈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无 </w:t>
            </w:r>
            <w:r>
              <w:rPr>
                <w:rFonts w:hint="eastAsia" w:ascii="宋体" w:hAnsi="宋体" w:eastAsia="宋体" w:cs="宋体"/>
                <w:spacing w:val="0"/>
                <w:sz w:val="24"/>
                <w:szCs w:val="24"/>
              </w:rPr>
              <w:t>，须于提交响应文件截止时间前到达指定账户为准，是否到达以 </w:t>
            </w:r>
            <w:r>
              <w:rPr>
                <w:spacing w:val="0"/>
                <w:sz w:val="24"/>
                <w:szCs w:val="24"/>
              </w:rPr>
              <w:t>无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b/>
                <w:bCs/>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b/>
                <w:bCs/>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Style w:val="4"/>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00"/>
              <w:gridCol w:w="1600"/>
              <w:gridCol w:w="4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中标供 应商在签 订合 同前需向采购人缴纳合同金额2%的履约保证金，该保证金在中标供 应商供应的货物全部验收合格，合同约定事项全部履行完毕且无未了事项后，30日内一次性无息退还。 提交方式为：支票、汇票、本票、保函等非现金方式。</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 w:hRule="atLeast"/>
        </w:trPr>
        <w:tc>
          <w:tcPr>
            <w:tcW w:w="61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8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成交人</w:t>
            </w:r>
            <w:r>
              <w:rPr>
                <w:rStyle w:val="6"/>
                <w:rFonts w:hint="eastAsia" w:ascii="宋体" w:hAnsi="宋体" w:eastAsia="宋体" w:cs="宋体"/>
                <w:b/>
                <w:bCs/>
                <w:spacing w:val="0"/>
                <w:sz w:val="24"/>
                <w:szCs w:val="24"/>
              </w:rPr>
              <w:t>支付。</w:t>
            </w: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(2)其他：</w:t>
            </w:r>
            <w:r>
              <w:rPr>
                <w:rFonts w:hint="eastAsia" w:ascii="宋体" w:hAnsi="宋体" w:eastAsia="宋体" w:cs="宋体"/>
                <w:b/>
                <w:bCs/>
                <w:spacing w:val="0"/>
                <w:sz w:val="24"/>
                <w:szCs w:val="24"/>
              </w:rPr>
              <w:t>根据采购项目特点或政策需要补充的其他新增内容： (1)本项目代理服务费由成交人支付。 (2)其他：本项目的招标代理服务费由中标人支付，招标文件其他内容与本条款有冲突的，以本条款为准 。收费标准以合同包的中标总金额为准。根据委托协议规定按 差额定率累进法计算：100万元以下 1.5% ；100万-500万1.1%，以转帐、电汇、现金存款等方式一次性缴清。 2.服务费缴交账户: 开户单位：福建恒都工程项目管理有限公司 开户帐号：3505 0165 6007 0000 0019 开户银行：中国建设银行股份有限公司泉州丰泽支行。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tcBorders>
              <w:top w:val="single" w:color="000000" w:sz="6" w:space="0"/>
              <w:left w:val="single" w:color="000000" w:sz="6"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886" w:type="dxa"/>
            <w:tcBorders>
              <w:top w:val="single" w:color="000000" w:sz="6" w:space="0"/>
              <w:left w:val="single" w:color="000000" w:sz="6"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pPr>
          </w:p>
        </w:tc>
        <w:tc>
          <w:tcPr>
            <w:tcW w:w="8227" w:type="dxa"/>
            <w:tcBorders>
              <w:top w:val="single" w:color="000000" w:sz="6" w:space="0"/>
              <w:left w:val="single" w:color="000000" w:sz="6"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left"/>
            </w:pPr>
            <w:r>
              <w:rPr>
                <w:rStyle w:val="6"/>
                <w:rFonts w:hint="eastAsia" w:ascii="宋体" w:hAnsi="宋体" w:eastAsia="宋体" w:cs="宋体"/>
                <w:b/>
                <w:bCs/>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1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82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rPr>
              <w:t>合同签订时限：自中标通知书发出之日起30个日历日内。</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40"/>
        <w:gridCol w:w="9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787" w:type="dxa"/>
            <w:gridSpan w:val="2"/>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b/>
                <w:bCs/>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40"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9247"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40"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9247" w:type="dxa"/>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b/>
                <w:bCs/>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b/>
                <w:bCs/>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b/>
                <w:bCs/>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rPr>
              <w:t>⑾关于首次</w:t>
            </w:r>
            <w:r>
              <w:rPr>
                <w:rFonts w:hint="eastAsia" w:ascii="宋体" w:hAnsi="宋体" w:eastAsia="宋体" w:cs="宋体"/>
              </w:rPr>
              <w:t>响应文件递交截止时间</w:t>
            </w:r>
            <w:r>
              <w:rPr>
                <w:rFonts w:hint="eastAsia" w:ascii="宋体" w:hAnsi="宋体" w:eastAsia="宋体" w:cs="宋体"/>
                <w:spacing w:val="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b/>
                <w:bCs/>
                <w:spacing w:val="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b.有下列情形之一的，</w:t>
            </w:r>
            <w:r>
              <w:rPr>
                <w:rStyle w:val="6"/>
                <w:rFonts w:hint="eastAsia" w:ascii="宋体" w:hAnsi="宋体" w:eastAsia="宋体" w:cs="宋体"/>
                <w:b/>
                <w:bCs/>
                <w:spacing w:val="0"/>
              </w:rPr>
              <w:t>该响应文件无效，相应供应商的谈判将被否决,</w:t>
            </w:r>
            <w:r>
              <w:rPr>
                <w:rFonts w:hint="eastAsia" w:ascii="宋体" w:hAnsi="宋体" w:eastAsia="宋体" w:cs="宋体"/>
                <w:spacing w:val="0"/>
              </w:rPr>
              <w:t>其保证金不予退还</w:t>
            </w:r>
            <w:r>
              <w:rPr>
                <w:rStyle w:val="6"/>
                <w:rFonts w:hint="eastAsia" w:ascii="宋体" w:hAnsi="宋体" w:eastAsia="宋体" w:cs="宋体"/>
                <w:b/>
                <w:bCs/>
                <w:spacing w:val="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b2不同供应商的</w:t>
            </w:r>
            <w:r>
              <w:rPr>
                <w:rFonts w:hint="eastAsia" w:ascii="宋体" w:hAnsi="宋体" w:eastAsia="宋体" w:cs="宋体"/>
              </w:rPr>
              <w:t>报价保证金</w:t>
            </w:r>
            <w:r>
              <w:rPr>
                <w:rFonts w:hint="eastAsia" w:ascii="宋体" w:hAnsi="宋体" w:eastAsia="宋体" w:cs="宋体"/>
                <w:spacing w:val="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b/>
          <w:bCs/>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3"/>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若同一采购包内节能、环境标志产品报价总金额低于本采购包报价总金额10%（含10%）以下，将给予节能、环境标志产品每个单项报价3%的价格扣除；若同一采购包内节能、环境标志产品报价总金额占本采购包报价总金额10%-30%（含30%），将给予节能、环境标志产品每个单项报价6%的价格扣除；若同一采购包内节能、环境标志产品报价总金额占本采购包报价总金额30%-50%（含50%），将给予节能、环境标志产品每个单项报价8%的价格扣除；若同一采购包内节能、环境标志产品报价总金额超过本采购包报价总金额50%以上，将给予节能、环境标志产品每个单项报价10%的价格扣除。 。</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b/>
          <w:bCs/>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b/>
          <w:bCs/>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b/>
          <w:bCs/>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b/>
          <w:bCs/>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b/>
          <w:bCs/>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b/>
          <w:bCs/>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b/>
          <w:bCs/>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b/>
          <w:bCs/>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6"/>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满足谈判文件要求，否则视为无效谈判。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满足谈判文件要求，否则视为无效谈判。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1、采购标的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53"/>
        <w:gridCol w:w="771"/>
        <w:gridCol w:w="1039"/>
        <w:gridCol w:w="3017"/>
        <w:gridCol w:w="955"/>
        <w:gridCol w:w="754"/>
        <w:gridCol w:w="1173"/>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83" w:hRule="atLeast"/>
        </w:trPr>
        <w:tc>
          <w:tcPr>
            <w:tcW w:w="9540" w:type="dxa"/>
            <w:gridSpan w:val="8"/>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4"/>
                <w:szCs w:val="24"/>
              </w:rPr>
              <w:t>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z w:val="24"/>
                <w:szCs w:val="24"/>
              </w:rPr>
              <w:t>项目名 称：</w:t>
            </w:r>
            <w:r>
              <w:rPr>
                <w:rFonts w:hint="eastAsia" w:ascii="宋体" w:hAnsi="宋体" w:eastAsia="宋体" w:cs="宋体"/>
                <w:sz w:val="24"/>
                <w:szCs w:val="24"/>
                <w:u w:val="single"/>
              </w:rPr>
              <w:t>泉州师范学院陈守仁商学院云系统及云终端采购项目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8" w:hRule="atLeast"/>
        </w:trPr>
        <w:tc>
          <w:tcPr>
            <w:tcW w:w="653"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合同包</w:t>
            </w:r>
          </w:p>
        </w:tc>
        <w:tc>
          <w:tcPr>
            <w:tcW w:w="771"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品目号</w:t>
            </w:r>
          </w:p>
        </w:tc>
        <w:tc>
          <w:tcPr>
            <w:tcW w:w="1039"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4"/>
                <w:szCs w:val="24"/>
              </w:rPr>
              <w:t>商品名 称</w:t>
            </w:r>
          </w:p>
        </w:tc>
        <w:tc>
          <w:tcPr>
            <w:tcW w:w="3017"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参数及规格</w:t>
            </w:r>
          </w:p>
        </w:tc>
        <w:tc>
          <w:tcPr>
            <w:tcW w:w="955"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计量单位</w:t>
            </w:r>
          </w:p>
        </w:tc>
        <w:tc>
          <w:tcPr>
            <w:tcW w:w="754"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数量</w:t>
            </w:r>
          </w:p>
        </w:tc>
        <w:tc>
          <w:tcPr>
            <w:tcW w:w="1173"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单价（元）</w:t>
            </w:r>
          </w:p>
        </w:tc>
        <w:tc>
          <w:tcPr>
            <w:tcW w:w="1178"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2" w:hRule="atLeast"/>
        </w:trPr>
        <w:tc>
          <w:tcPr>
            <w:tcW w:w="653"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包1</w:t>
            </w:r>
          </w:p>
        </w:tc>
        <w:tc>
          <w:tcPr>
            <w:tcW w:w="771"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1-1</w:t>
            </w:r>
          </w:p>
        </w:tc>
        <w:tc>
          <w:tcPr>
            <w:tcW w:w="1039"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实验室教学设备</w:t>
            </w:r>
          </w:p>
        </w:tc>
        <w:tc>
          <w:tcPr>
            <w:tcW w:w="3017"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详见技 术和服务要求</w:t>
            </w:r>
          </w:p>
        </w:tc>
        <w:tc>
          <w:tcPr>
            <w:tcW w:w="955"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项</w:t>
            </w:r>
          </w:p>
        </w:tc>
        <w:tc>
          <w:tcPr>
            <w:tcW w:w="754"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1</w:t>
            </w:r>
          </w:p>
        </w:tc>
        <w:tc>
          <w:tcPr>
            <w:tcW w:w="1173"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1778100</w:t>
            </w:r>
          </w:p>
        </w:tc>
        <w:tc>
          <w:tcPr>
            <w:tcW w:w="1178"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1778100</w:t>
            </w:r>
          </w:p>
        </w:tc>
      </w:tr>
    </w:tbl>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sz w:val="30"/>
          <w:szCs w:val="30"/>
        </w:rPr>
        <w:t>2、项目概况</w:t>
      </w:r>
    </w:p>
    <w:p>
      <w:pPr>
        <w:pStyle w:val="3"/>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本次采购计算机为专业课及课程实训使用，可用于计算机语言、软件工程系统开发、图形图像处理、多媒体等课程的开展，也可以作为大学生计算机类竞赛、数学建模竞赛的训练场地，有效支撑商学院专业课程实验教学活动的稳定开展。主要分布在朝阳楼3楼机房及文科A405，总共3间，数量190台云终端、1套软件及部份配套设备。</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tbl>
      <w:tblPr>
        <w:tblStyle w:val="4"/>
        <w:tblpPr w:leftFromText="180" w:rightFromText="180" w:vertAnchor="text" w:horzAnchor="page" w:tblpX="1121" w:tblpY="3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72"/>
        <w:gridCol w:w="420"/>
        <w:gridCol w:w="766"/>
        <w:gridCol w:w="4783"/>
        <w:gridCol w:w="552"/>
        <w:gridCol w:w="677"/>
        <w:gridCol w:w="979"/>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4175" w:type="dxa"/>
            <w:gridSpan w:val="8"/>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br w:type="textWrapping"/>
            </w:r>
            <w:r>
              <w:rPr>
                <w:rStyle w:val="6"/>
                <w:rFonts w:hint="eastAsia" w:ascii="宋体" w:hAnsi="宋体" w:eastAsia="宋体" w:cs="宋体"/>
                <w:b/>
                <w:bCs/>
                <w:sz w:val="36"/>
                <w:szCs w:val="36"/>
              </w:rPr>
              <w:t>采购项目技术参数明细表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5" w:hRule="atLeast"/>
        </w:trPr>
        <w:tc>
          <w:tcPr>
            <w:tcW w:w="14175" w:type="dxa"/>
            <w:gridSpan w:val="8"/>
            <w:shd w:val="clear" w:color="auto" w:fill="auto"/>
            <w:tcMar>
              <w:top w:w="0" w:type="dxa"/>
              <w:left w:w="105" w:type="dxa"/>
              <w:bottom w:w="0" w:type="dxa"/>
              <w:right w:w="105" w:type="dxa"/>
            </w:tcMar>
            <w:vAlign w:val="top"/>
          </w:tcPr>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 </w:t>
            </w:r>
          </w:p>
          <w:p>
            <w:pPr>
              <w:pStyle w:val="3"/>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项目名 称：</w:t>
            </w:r>
            <w:r>
              <w:rPr>
                <w:rFonts w:hint="eastAsia" w:ascii="宋体" w:hAnsi="宋体" w:eastAsia="宋体" w:cs="宋体"/>
                <w:sz w:val="24"/>
                <w:szCs w:val="24"/>
                <w:u w:val="single"/>
              </w:rPr>
              <w:t>泉州师范学院陈守仁商学院云系统及云终端采购项目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05" w:hRule="atLeast"/>
        </w:trPr>
        <w:tc>
          <w:tcPr>
            <w:tcW w:w="525" w:type="dxa"/>
            <w:shd w:val="clear" w:color="auto" w:fill="auto"/>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合同包号</w:t>
            </w:r>
          </w:p>
        </w:tc>
        <w:tc>
          <w:tcPr>
            <w:tcW w:w="405"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170" w:type="dxa"/>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150" w:afterAutospacing="0"/>
              <w:ind w:left="0" w:right="0"/>
              <w:jc w:val="center"/>
            </w:pPr>
            <w:r>
              <w:rPr>
                <w:rFonts w:hint="eastAsia" w:ascii="宋体" w:hAnsi="宋体" w:eastAsia="宋体" w:cs="宋体"/>
                <w:sz w:val="21"/>
                <w:szCs w:val="21"/>
              </w:rPr>
              <w:t>商品名 称</w:t>
            </w:r>
          </w:p>
        </w:tc>
        <w:tc>
          <w:tcPr>
            <w:tcW w:w="7785"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参数及规格</w:t>
            </w:r>
          </w:p>
        </w:tc>
        <w:tc>
          <w:tcPr>
            <w:tcW w:w="705"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计量单位</w:t>
            </w:r>
          </w:p>
        </w:tc>
        <w:tc>
          <w:tcPr>
            <w:tcW w:w="855"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tc>
        <w:tc>
          <w:tcPr>
            <w:tcW w:w="1590"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25" w:type="dxa"/>
            <w:vMerge w:val="restart"/>
            <w:shd w:val="clear" w:color="auto" w:fill="auto"/>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w:t>
            </w:r>
          </w:p>
        </w:tc>
        <w:tc>
          <w:tcPr>
            <w:tcW w:w="4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w:t>
            </w:r>
          </w:p>
        </w:tc>
        <w:tc>
          <w:tcPr>
            <w:tcW w:w="117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云终端机</w:t>
            </w:r>
          </w:p>
        </w:tc>
        <w:tc>
          <w:tcPr>
            <w:tcW w:w="7785" w:type="dxa"/>
            <w:shd w:val="clear" w:color="auto" w:fill="auto"/>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firstLine="0"/>
            </w:pPr>
            <w:r>
              <w:rPr>
                <w:rFonts w:hint="eastAsia" w:ascii="宋体" w:hAnsi="宋体" w:eastAsia="宋体" w:cs="宋体"/>
                <w:sz w:val="21"/>
                <w:szCs w:val="21"/>
              </w:rPr>
              <w:t>1、处理器：Intel I7同等及以上性能 、核心数≥12核心，≥20线程、主频≥2.1GHZ。</w:t>
            </w:r>
          </w:p>
          <w:p>
            <w:pPr>
              <w:pStyle w:val="3"/>
              <w:keepNext w:val="0"/>
              <w:keepLines w:val="0"/>
              <w:widowControl/>
              <w:suppressLineNumbers w:val="0"/>
              <w:wordWrap w:val="0"/>
              <w:spacing w:before="0" w:beforeAutospacing="0" w:after="0" w:afterAutospacing="0"/>
              <w:ind w:left="0" w:right="0" w:firstLine="0"/>
            </w:pPr>
            <w:r>
              <w:rPr>
                <w:rFonts w:hint="eastAsia" w:ascii="宋体" w:hAnsi="宋体" w:eastAsia="宋体" w:cs="宋体"/>
                <w:sz w:val="21"/>
                <w:szCs w:val="21"/>
              </w:rPr>
              <w:t>2、内存：≥16G DDR4，硬盘：≥SSD 1T固态。</w:t>
            </w:r>
          </w:p>
          <w:p>
            <w:pPr>
              <w:pStyle w:val="3"/>
              <w:keepNext w:val="0"/>
              <w:keepLines w:val="0"/>
              <w:widowControl/>
              <w:suppressLineNumbers w:val="0"/>
              <w:wordWrap w:val="0"/>
              <w:spacing w:before="0" w:beforeAutospacing="0" w:after="0" w:afterAutospacing="0"/>
              <w:ind w:left="0" w:right="0" w:firstLine="0"/>
            </w:pPr>
            <w:r>
              <w:rPr>
                <w:rFonts w:hint="eastAsia" w:ascii="宋体" w:hAnsi="宋体" w:eastAsia="宋体" w:cs="宋体"/>
                <w:sz w:val="21"/>
                <w:szCs w:val="21"/>
              </w:rPr>
              <w:t>3、显示芯片：Intel UHD Graphics 770集成显卡或以上性能；网卡：10/100/1000M自适应；接口：≥USB2.0*4,USB3.0*2,VGA端口*1;  HDMI端口*1，显示配件：≥21.5寸。</w:t>
            </w:r>
          </w:p>
          <w:p>
            <w:pPr>
              <w:pStyle w:val="3"/>
              <w:keepNext w:val="0"/>
              <w:keepLines w:val="0"/>
              <w:widowControl/>
              <w:suppressLineNumbers w:val="0"/>
              <w:wordWrap w:val="0"/>
              <w:spacing w:before="0" w:beforeAutospacing="0" w:after="0" w:afterAutospacing="0"/>
              <w:ind w:left="0" w:right="0" w:firstLine="0"/>
            </w:pPr>
            <w:r>
              <w:rPr>
                <w:rFonts w:hint="eastAsia" w:ascii="宋体" w:hAnsi="宋体" w:eastAsia="宋体" w:cs="宋体"/>
                <w:sz w:val="21"/>
                <w:szCs w:val="21"/>
              </w:rPr>
              <w:t>4、云终端本机无需安装任何底层操作系统，实现裸机部署及免身份验证登录虚拟桌面；支持远程唤醒、网卡PXE启动；</w:t>
            </w:r>
          </w:p>
          <w:p>
            <w:pPr>
              <w:pStyle w:val="3"/>
              <w:keepNext w:val="0"/>
              <w:keepLines w:val="0"/>
              <w:widowControl/>
              <w:suppressLineNumbers w:val="0"/>
              <w:wordWrap w:val="0"/>
              <w:spacing w:before="0" w:beforeAutospacing="0" w:after="0" w:afterAutospacing="0"/>
              <w:ind w:left="0" w:right="0" w:firstLine="0"/>
            </w:pPr>
            <w:r>
              <w:rPr>
                <w:rFonts w:hint="eastAsia" w:ascii="宋体" w:hAnsi="宋体" w:eastAsia="宋体" w:cs="宋体"/>
                <w:sz w:val="21"/>
                <w:szCs w:val="21"/>
              </w:rPr>
              <w:t>5、支持对终端本地的硬盘保护，可对本地硬盘中不少于10个的分区进行不保护、还原和不还原三种模式设定。支持不还原数据转换成系统模板数据。</w:t>
            </w:r>
            <w:r>
              <w:rPr>
                <w:rStyle w:val="6"/>
                <w:rFonts w:hint="eastAsia" w:ascii="宋体" w:hAnsi="宋体" w:eastAsia="宋体" w:cs="宋体"/>
                <w:b/>
                <w:bCs/>
                <w:sz w:val="21"/>
                <w:szCs w:val="21"/>
              </w:rPr>
              <w:t>（投标文件提供硬盘保护、不还原数据转换成系统模板数据功能截图）；</w:t>
            </w:r>
          </w:p>
          <w:p>
            <w:pPr>
              <w:pStyle w:val="3"/>
              <w:keepNext w:val="0"/>
              <w:keepLines w:val="0"/>
              <w:widowControl/>
              <w:suppressLineNumbers w:val="0"/>
              <w:wordWrap w:val="0"/>
              <w:spacing w:before="0" w:beforeAutospacing="0" w:after="0" w:afterAutospacing="0"/>
              <w:ind w:left="0" w:right="0" w:firstLine="0"/>
            </w:pPr>
            <w:r>
              <w:rPr>
                <w:rFonts w:hint="eastAsia" w:ascii="宋体" w:hAnsi="宋体" w:eastAsia="宋体" w:cs="宋体"/>
                <w:sz w:val="21"/>
                <w:szCs w:val="21"/>
              </w:rPr>
              <w:t>6、具备多种硬盘缓存机制：无缓存、部分缓存、完全缓存。以上三种缓存机制支持策略方式应用于不同应用场景的终端环境。</w:t>
            </w:r>
            <w:r>
              <w:rPr>
                <w:rStyle w:val="6"/>
                <w:rFonts w:hint="eastAsia" w:ascii="宋体" w:hAnsi="宋体" w:eastAsia="宋体" w:cs="宋体"/>
                <w:b/>
                <w:bCs/>
                <w:sz w:val="21"/>
                <w:szCs w:val="21"/>
              </w:rPr>
              <w:t>（投标文件提供3种缓存模式设置功能截图）；</w:t>
            </w:r>
          </w:p>
          <w:p>
            <w:pPr>
              <w:pStyle w:val="3"/>
              <w:keepNext w:val="0"/>
              <w:keepLines w:val="0"/>
              <w:widowControl/>
              <w:suppressLineNumbers w:val="0"/>
              <w:wordWrap w:val="0"/>
              <w:spacing w:before="0" w:beforeAutospacing="0" w:after="0" w:afterAutospacing="0"/>
              <w:ind w:left="0" w:right="0" w:firstLine="0"/>
            </w:pPr>
            <w:r>
              <w:rPr>
                <w:rFonts w:hint="eastAsia" w:ascii="宋体" w:hAnsi="宋体" w:eastAsia="宋体" w:cs="宋体"/>
                <w:sz w:val="21"/>
                <w:szCs w:val="21"/>
              </w:rPr>
              <w:t>7、支持数据快照与恢复功能，可以随时在客户机终端上进入快照状态安装应用或驱动，保存为快照节点，保存快照数量不受限制，快照操作至少支持快照开启、保存、重置、删除和撤销等多种类型。</w:t>
            </w:r>
            <w:r>
              <w:rPr>
                <w:rStyle w:val="6"/>
                <w:rFonts w:hint="eastAsia" w:ascii="宋体" w:hAnsi="宋体" w:eastAsia="宋体" w:cs="宋体"/>
                <w:b/>
                <w:bCs/>
                <w:sz w:val="21"/>
                <w:szCs w:val="21"/>
              </w:rPr>
              <w:t>（投标文件提供以上本地快照配置及五种快照类型参数的截图）；</w:t>
            </w:r>
          </w:p>
          <w:p>
            <w:pPr>
              <w:pStyle w:val="3"/>
              <w:keepNext w:val="0"/>
              <w:keepLines w:val="0"/>
              <w:widowControl/>
              <w:suppressLineNumbers w:val="0"/>
              <w:wordWrap w:val="0"/>
              <w:spacing w:before="0" w:beforeAutospacing="0" w:after="150" w:afterAutospacing="0" w:line="222" w:lineRule="atLeast"/>
              <w:ind w:left="0" w:right="0"/>
            </w:pPr>
            <w:r>
              <w:rPr>
                <w:rFonts w:hint="eastAsia" w:ascii="宋体" w:hAnsi="宋体" w:eastAsia="宋体" w:cs="宋体"/>
                <w:sz w:val="21"/>
                <w:szCs w:val="21"/>
              </w:rPr>
              <w:t>8、三年质保服务；终端可支持多种系统虚拟机镜像和完全离线模式。</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套</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190</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7000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1330000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25" w:type="dxa"/>
            <w:vMerge w:val="continue"/>
            <w:shd w:val="clear" w:color="auto" w:fill="auto"/>
            <w:vAlign w:val="top"/>
          </w:tcPr>
          <w:p>
            <w:pPr>
              <w:rPr>
                <w:rFonts w:hint="eastAsia" w:ascii="宋体"/>
                <w:sz w:val="24"/>
                <w:szCs w:val="24"/>
              </w:rPr>
            </w:pPr>
          </w:p>
        </w:tc>
        <w:tc>
          <w:tcPr>
            <w:tcW w:w="4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w:t>
            </w:r>
          </w:p>
        </w:tc>
        <w:tc>
          <w:tcPr>
            <w:tcW w:w="117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云桌面管理系统</w:t>
            </w:r>
          </w:p>
        </w:tc>
        <w:tc>
          <w:tcPr>
            <w:tcW w:w="7785"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含≥190个VOI接入授权：采用新一代虚拟仿真技术，系统采用MySQL或Oracle大型数据库，一台服务器支持500台VOI/IDV终端同时流畅运行操作系统。系统采用WEB管理界面，支持在同一管理界面下针对VOI桌面、VDI桌面、IDV桌面资源进行通过统一管理，不得通过页面跳转的方式，降低运维复杂度。</w:t>
            </w:r>
            <w:r>
              <w:rPr>
                <w:rStyle w:val="6"/>
                <w:rFonts w:hint="eastAsia" w:ascii="宋体" w:hAnsi="宋体" w:eastAsia="宋体" w:cs="宋体"/>
                <w:b/>
                <w:bCs/>
                <w:sz w:val="21"/>
                <w:szCs w:val="21"/>
              </w:rPr>
              <w:t>（投标文件提供产品界面上“VOI 管理中心、VDI 管理中心、IDV 管理中心”功能发布 VDI、IDV、VOI 模式三种虚拟桌面的功能截图）；</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2、服务端和管理端均支持跨平台，既可以在windows服务器上部署，也可以在linux服务器上部署。</w:t>
            </w:r>
            <w:r>
              <w:rPr>
                <w:rStyle w:val="6"/>
                <w:rFonts w:hint="eastAsia" w:ascii="宋体" w:hAnsi="宋体" w:eastAsia="宋体" w:cs="宋体"/>
                <w:b/>
                <w:bCs/>
                <w:sz w:val="21"/>
                <w:szCs w:val="21"/>
              </w:rPr>
              <w:t>（投标文件提供在windows和linux操作系统上部署服务端和管理端的截图）</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为便捷用户管理维护，支持一个管理员账号在web界面下同时对多个操作系统镜像模板开启权限进行更新升级或者软件安装，提高管理效率；当网络环境不佳，支持在终端启用离线超级管理员模式，进行后台上传更新，降低对服务器及网络的资源占用，保障更新维护照常运行。可针对特定用户需求，可以将服务端目录下的文件发送到客户机的重启还原的磁盘中，重启后该文件不会被还原，简化管理维护。</w:t>
            </w:r>
            <w:r>
              <w:rPr>
                <w:rStyle w:val="6"/>
                <w:rFonts w:hint="eastAsia" w:ascii="宋体" w:hAnsi="宋体" w:eastAsia="宋体" w:cs="宋体"/>
                <w:b/>
                <w:bCs/>
                <w:sz w:val="21"/>
                <w:szCs w:val="21"/>
              </w:rPr>
              <w:t>（投标人需对“多个超管、离线超管和虚拟盘穿透功能”进行投标现场功能演示，演示当天需自带电脑及所需设备，根据演示内容进行现场演示，现场演示时长为15分钟内）。</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4、系统支持单镜像和多节点镜像。单镜像可以创建出不同的应用节点，满足不同应用个性化，镜像系统可按应用要求无限延伸出子节点，并可根据用户需求设置子节点为活动节点，支持单用户多桌面需求。</w:t>
            </w:r>
            <w:r>
              <w:rPr>
                <w:rStyle w:val="6"/>
                <w:rFonts w:hint="eastAsia" w:ascii="宋体" w:hAnsi="宋体" w:eastAsia="宋体" w:cs="宋体"/>
                <w:b/>
                <w:bCs/>
                <w:sz w:val="21"/>
                <w:szCs w:val="21"/>
              </w:rPr>
              <w:t>（投标文件提供配置单镜像和多节点镜像创建的功能截图）。</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5、系统支持智能驱动分离技术，能在同一管理平台的Web管理界面里，查看多个硬件配置策略所属同一个系统镜像。在客户端可以看到多硬件配置的参数界面，界面中可以看到不少于五种类型的硬件配置。</w:t>
            </w:r>
            <w:r>
              <w:rPr>
                <w:rStyle w:val="6"/>
                <w:rFonts w:hint="eastAsia" w:ascii="宋体" w:hAnsi="宋体" w:eastAsia="宋体" w:cs="宋体"/>
                <w:b/>
                <w:bCs/>
                <w:sz w:val="21"/>
                <w:szCs w:val="21"/>
              </w:rPr>
              <w:t>（投标文件提供管理端上多个硬件配置策略同属一个系统镜像的截图与客户端中不少于五种硬件配置参数界面截图)</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支持在云终端无分区无系统情况下的自动部署功能，在终端系统初始化启动的时候，无需人工干预，系统可自动根据终端硬盘大小的不同实现终端硬盘不同的分区策略。可在管理平台预创建自动部署策略，自动部署策略中可指 定自动分区数至少四个、镜像数据缓存所在分区，并可按百分比配置各个分区大小，分区后终端自动进入桌面系统；</w:t>
            </w:r>
            <w:r>
              <w:rPr>
                <w:rStyle w:val="6"/>
                <w:rFonts w:hint="eastAsia" w:ascii="宋体" w:hAnsi="宋体" w:eastAsia="宋体" w:cs="宋体"/>
                <w:b/>
                <w:bCs/>
                <w:sz w:val="21"/>
                <w:szCs w:val="21"/>
              </w:rPr>
              <w:t>（投标文件需提供管理平台操作界面里自动部署策略中可自动分区个数、镜像数据缓存所在分区，并可按百分比配置各个分区大小的配置截图以及终端系统自动部署策略的功能截图）</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7、支持将终端按部门进行群组划分，可直接对整个部门终端执行功能设置和切换策略；支持将多种功能策略组合成策略组，实现一键切换不同应用场景；支持数据快照与恢复功能。系统提供更新限速策略，限速方式至少包含下载优先、自动限速、手动限速等三种方式，其中手动限速时，需至少支持配置上传速度、下载速度、CPU占用上限、写镜像速度等限制参数，上传下载速度最小单位为K。</w:t>
            </w:r>
            <w:r>
              <w:rPr>
                <w:rStyle w:val="6"/>
                <w:rFonts w:hint="eastAsia" w:ascii="宋体" w:hAnsi="宋体" w:eastAsia="宋体" w:cs="宋体"/>
                <w:b/>
                <w:bCs/>
                <w:sz w:val="21"/>
                <w:szCs w:val="21"/>
              </w:rPr>
              <w:t>（投标文件提供更新限速策略和四种限制参数截图）</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8、系统应当具有灰度更新功能，管理员对虚拟系统镜像的变更可先在需求范围内更新，确认无误后再更新到所有客户终端机，避免出现误操作，保障用户业务安全。</w:t>
            </w:r>
            <w:r>
              <w:rPr>
                <w:rStyle w:val="6"/>
                <w:rFonts w:hint="eastAsia" w:ascii="宋体" w:hAnsi="宋体" w:eastAsia="宋体" w:cs="宋体"/>
                <w:b/>
                <w:bCs/>
                <w:sz w:val="21"/>
                <w:szCs w:val="21"/>
              </w:rPr>
              <w:t>（投标人需对“灰度更新功能”进行投标现场功能演示，演示当天需自带电脑及所需设备，根据演示内容进行现场演示，现场演示时长为15分钟内）。</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9、系统产品自带而非借助另外管理软件实现，支持ARP防火墙功能，避免因为ARP病毒导致网络瘫痪；支持用户上网行为的审计功能，能够记录终端计算机上网的URL痕迹；支持终端计算机按时间段进行自动截屏（投标文件提供ARP防火墙、记录终端计算机上网的URL的功能和自动截屏功能的配置截图）；为保证终端用户的数据安全，支持对数据传输进行保护，至少应有不保护、只读保护、只写保护、完全禁止4种模式，可对数据流入、流出进行安全管控。</w:t>
            </w:r>
            <w:r>
              <w:rPr>
                <w:rStyle w:val="6"/>
                <w:rFonts w:hint="eastAsia" w:ascii="宋体" w:hAnsi="宋体" w:eastAsia="宋体" w:cs="宋体"/>
                <w:b/>
                <w:bCs/>
                <w:sz w:val="21"/>
                <w:szCs w:val="21"/>
              </w:rPr>
              <w:t>（投标文件提供数据保护功能截图）；</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10、提供不少于3年质保服务，包含系统规划，环境搭建，系统集成，批量部署，系统移交及培训等；产品非OEM。</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项</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209000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25" w:type="dxa"/>
            <w:vMerge w:val="continue"/>
            <w:shd w:val="clear" w:color="auto" w:fill="auto"/>
            <w:vAlign w:val="top"/>
          </w:tcPr>
          <w:p>
            <w:pPr>
              <w:rPr>
                <w:rFonts w:hint="eastAsia" w:ascii="宋体"/>
                <w:sz w:val="24"/>
                <w:szCs w:val="24"/>
              </w:rPr>
            </w:pPr>
          </w:p>
        </w:tc>
        <w:tc>
          <w:tcPr>
            <w:tcW w:w="405" w:type="dxa"/>
            <w:vMerge w:val="restart"/>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w:t>
            </w:r>
          </w:p>
        </w:tc>
        <w:tc>
          <w:tcPr>
            <w:tcW w:w="1170" w:type="dxa"/>
            <w:vMerge w:val="restart"/>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配套设备</w:t>
            </w:r>
          </w:p>
        </w:tc>
        <w:tc>
          <w:tcPr>
            <w:tcW w:w="778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（一）音箱</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1、输出功率:≥140W ×2/8ohm。</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2、频率范围:≥ 20Hz-20KHz（-0.2，+0.2dB)，信噪比:80dB ，输入灵敏度:0.24V ，总谐波失真:≤0.05%。</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3、提供两路信号输入选择，有短路保护和直流保护功能。</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对</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2500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95" w:hRule="atLeast"/>
        </w:trPr>
        <w:tc>
          <w:tcPr>
            <w:tcW w:w="525" w:type="dxa"/>
            <w:vMerge w:val="continue"/>
            <w:shd w:val="clear" w:color="auto" w:fill="auto"/>
            <w:vAlign w:val="top"/>
          </w:tcPr>
          <w:p>
            <w:pPr>
              <w:rPr>
                <w:rFonts w:hint="eastAsia" w:ascii="宋体"/>
                <w:sz w:val="24"/>
                <w:szCs w:val="24"/>
              </w:rPr>
            </w:pPr>
          </w:p>
        </w:tc>
        <w:tc>
          <w:tcPr>
            <w:tcW w:w="405"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1170"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778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textAlignment w:val="top"/>
            </w:pPr>
            <w:r>
              <w:rPr>
                <w:rFonts w:hint="eastAsia" w:ascii="宋体" w:hAnsi="宋体" w:eastAsia="宋体" w:cs="宋体"/>
                <w:sz w:val="21"/>
                <w:szCs w:val="21"/>
              </w:rPr>
              <w:t>（二）功放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1、系统：2-WAY FULL RANGE，频率响应：≥57Hz-18KHz；</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2、单元配置：LF:10"×1 HF:3"×2，灵敏度：≥91DB；3、额定功率：≥100W。</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台</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2500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25" w:type="dxa"/>
            <w:vMerge w:val="continue"/>
            <w:shd w:val="clear" w:color="auto" w:fill="auto"/>
            <w:vAlign w:val="top"/>
          </w:tcPr>
          <w:p>
            <w:pPr>
              <w:rPr>
                <w:rFonts w:hint="eastAsia" w:ascii="宋体"/>
                <w:sz w:val="24"/>
                <w:szCs w:val="24"/>
              </w:rPr>
            </w:pPr>
          </w:p>
        </w:tc>
        <w:tc>
          <w:tcPr>
            <w:tcW w:w="405"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1170"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778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textAlignment w:val="top"/>
            </w:pPr>
            <w:r>
              <w:rPr>
                <w:rFonts w:hint="eastAsia" w:ascii="宋体" w:hAnsi="宋体" w:eastAsia="宋体" w:cs="宋体"/>
                <w:sz w:val="21"/>
                <w:szCs w:val="21"/>
              </w:rPr>
              <w:t>（三）鹅式话筒</w:t>
            </w:r>
          </w:p>
          <w:p>
            <w:pPr>
              <w:pStyle w:val="3"/>
              <w:keepNext w:val="0"/>
              <w:keepLines w:val="0"/>
              <w:widowControl/>
              <w:suppressLineNumbers w:val="0"/>
              <w:spacing w:before="0" w:beforeAutospacing="0" w:after="150" w:afterAutospacing="0"/>
              <w:ind w:left="0" w:right="0"/>
              <w:textAlignment w:val="top"/>
            </w:pPr>
            <w:r>
              <w:rPr>
                <w:rFonts w:hint="eastAsia" w:ascii="宋体" w:hAnsi="宋体" w:eastAsia="宋体" w:cs="宋体"/>
                <w:sz w:val="21"/>
                <w:szCs w:val="21"/>
              </w:rPr>
              <w:t>1、频率响应 ：≥50Hz~17KHz ；2、灵敏度 ：-45dB/±3dB(1KHz)。</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个</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400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25" w:type="dxa"/>
            <w:vMerge w:val="continue"/>
            <w:shd w:val="clear" w:color="auto" w:fill="auto"/>
            <w:vAlign w:val="top"/>
          </w:tcPr>
          <w:p>
            <w:pPr>
              <w:rPr>
                <w:rFonts w:hint="eastAsia" w:ascii="宋体"/>
                <w:sz w:val="24"/>
                <w:szCs w:val="24"/>
              </w:rPr>
            </w:pPr>
          </w:p>
        </w:tc>
        <w:tc>
          <w:tcPr>
            <w:tcW w:w="405"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1170"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778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（四）教师电脑桌椅</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教师桌≥2000*750*750MM，桌子采用16mm厚度中颗粒板，表面光滑平整、耐磨、防火防腐蚀，截面用优质封边条封边，脚垫部分加固防水脚垫，防潮防水，靠背椅1张：≥62CM*64CM*105CM,面料：网布，定型海棉，尼龙轮。</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套</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2400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25" w:type="dxa"/>
            <w:vMerge w:val="continue"/>
            <w:shd w:val="clear" w:color="auto" w:fill="auto"/>
            <w:vAlign w:val="top"/>
          </w:tcPr>
          <w:p>
            <w:pPr>
              <w:rPr>
                <w:rFonts w:hint="eastAsia" w:ascii="宋体"/>
                <w:sz w:val="24"/>
                <w:szCs w:val="24"/>
              </w:rPr>
            </w:pPr>
          </w:p>
        </w:tc>
        <w:tc>
          <w:tcPr>
            <w:tcW w:w="405"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1170" w:type="dxa"/>
            <w:vMerge w:val="continue"/>
            <w:shd w:val="clear" w:color="auto" w:fill="auto"/>
            <w:tcMar>
              <w:top w:w="0" w:type="dxa"/>
              <w:left w:w="105" w:type="dxa"/>
              <w:bottom w:w="0" w:type="dxa"/>
              <w:right w:w="105" w:type="dxa"/>
            </w:tcMar>
            <w:vAlign w:val="top"/>
          </w:tcPr>
          <w:p>
            <w:pPr>
              <w:rPr>
                <w:rFonts w:hint="eastAsia" w:ascii="宋体"/>
                <w:sz w:val="24"/>
                <w:szCs w:val="24"/>
              </w:rPr>
            </w:pPr>
          </w:p>
        </w:tc>
        <w:tc>
          <w:tcPr>
            <w:tcW w:w="778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textAlignment w:val="top"/>
            </w:pPr>
            <w:r>
              <w:rPr>
                <w:rFonts w:hint="eastAsia" w:ascii="宋体" w:hAnsi="宋体" w:eastAsia="宋体" w:cs="宋体"/>
                <w:sz w:val="21"/>
                <w:szCs w:val="21"/>
              </w:rPr>
              <w:t>（五）学生桌椅</w:t>
            </w:r>
          </w:p>
          <w:p>
            <w:pPr>
              <w:pStyle w:val="3"/>
              <w:keepNext w:val="0"/>
              <w:keepLines w:val="0"/>
              <w:widowControl/>
              <w:suppressLineNumbers w:val="0"/>
              <w:spacing w:before="0" w:beforeAutospacing="0" w:after="150" w:afterAutospacing="0"/>
              <w:ind w:left="0" w:right="0"/>
              <w:textAlignment w:val="top"/>
            </w:pPr>
            <w:r>
              <w:rPr>
                <w:rFonts w:hint="eastAsia" w:ascii="宋体" w:hAnsi="宋体" w:eastAsia="宋体" w:cs="宋体"/>
                <w:sz w:val="21"/>
                <w:szCs w:val="21"/>
              </w:rPr>
              <w:t>双人桌≥1300*500*750CM，家具材质使用板材为16mm厚的E1级环保贴面颗粒板，材质具有较好的防水防潮效果、表面光滑平整、耐磨耐用，脚垫可有效防止柜体受潮；196张学生椅规格：≥340*240*420MM，釆用钢木结构，表面经过高温喷塑处理、光滑耐用、椅面采用和桌子同色材料、牢固耐用。</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套</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95</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620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58900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25" w:type="dxa"/>
            <w:vMerge w:val="continue"/>
            <w:shd w:val="clear" w:color="auto" w:fill="auto"/>
            <w:vAlign w:val="top"/>
          </w:tcPr>
          <w:p>
            <w:pPr>
              <w:rPr>
                <w:rFonts w:hint="eastAsia" w:ascii="宋体"/>
                <w:sz w:val="24"/>
                <w:szCs w:val="24"/>
              </w:rPr>
            </w:pPr>
          </w:p>
        </w:tc>
        <w:tc>
          <w:tcPr>
            <w:tcW w:w="4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4</w:t>
            </w:r>
          </w:p>
        </w:tc>
        <w:tc>
          <w:tcPr>
            <w:tcW w:w="117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综合布线</w:t>
            </w:r>
          </w:p>
        </w:tc>
        <w:tc>
          <w:tcPr>
            <w:tcW w:w="778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right="0"/>
              <w:textAlignment w:val="top"/>
            </w:pPr>
            <w:r>
              <w:rPr>
                <w:rFonts w:hint="eastAsia" w:ascii="宋体" w:hAnsi="宋体" w:eastAsia="宋体" w:cs="宋体"/>
                <w:sz w:val="21"/>
                <w:szCs w:val="21"/>
              </w:rPr>
              <w:t>1、强电BV2.5：≥1200M、弱电（六类网线）≥2000M;PVC线管线槽不少于500M；四位排插不少于100个，均需符合国标。</w:t>
            </w:r>
          </w:p>
          <w:p>
            <w:pPr>
              <w:pStyle w:val="3"/>
              <w:keepNext w:val="0"/>
              <w:keepLines w:val="0"/>
              <w:widowControl/>
              <w:suppressLineNumbers w:val="0"/>
              <w:spacing w:before="0" w:beforeAutospacing="0" w:after="150" w:afterAutospacing="0"/>
              <w:ind w:left="0" w:right="0"/>
              <w:textAlignment w:val="top"/>
              <w:rPr>
                <w:b w:val="0"/>
                <w:bCs w:val="0"/>
              </w:rPr>
            </w:pPr>
            <w:r>
              <w:rPr>
                <w:rFonts w:hint="eastAsia" w:ascii="宋体" w:hAnsi="宋体" w:eastAsia="宋体" w:cs="宋体"/>
                <w:sz w:val="21"/>
                <w:szCs w:val="21"/>
              </w:rPr>
              <w:t>2、网线六类非屏蔽：性能符合ISO11801-2002、TIA/EIA 568C.2和GB50311-2007六类标准；绝缘</w:t>
            </w:r>
            <w:r>
              <w:rPr>
                <w:rFonts w:hint="eastAsia" w:ascii="宋体" w:hAnsi="宋体" w:eastAsia="宋体" w:cs="宋体"/>
                <w:b w:val="0"/>
                <w:bCs w:val="0"/>
                <w:sz w:val="21"/>
                <w:szCs w:val="21"/>
              </w:rPr>
              <w:t>层材料为高密度聚乙烯（HDPE）</w:t>
            </w:r>
            <w:r>
              <w:rPr>
                <w:rStyle w:val="6"/>
                <w:rFonts w:hint="eastAsia" w:ascii="宋体" w:hAnsi="宋体" w:eastAsia="宋体" w:cs="宋体"/>
                <w:b w:val="0"/>
                <w:bCs w:val="0"/>
                <w:sz w:val="21"/>
                <w:szCs w:val="21"/>
              </w:rPr>
              <w:t>。</w:t>
            </w:r>
          </w:p>
          <w:p>
            <w:pPr>
              <w:pStyle w:val="3"/>
              <w:keepNext w:val="0"/>
              <w:keepLines w:val="0"/>
              <w:widowControl/>
              <w:suppressLineNumbers w:val="0"/>
              <w:spacing w:before="0" w:beforeAutospacing="0" w:after="150" w:afterAutospacing="0"/>
              <w:ind w:left="0" w:right="0"/>
              <w:textAlignment w:val="top"/>
            </w:pPr>
            <w:r>
              <w:rPr>
                <w:rStyle w:val="6"/>
                <w:rFonts w:hint="eastAsia" w:ascii="宋体" w:hAnsi="宋体" w:eastAsia="宋体" w:cs="宋体"/>
                <w:b w:val="0"/>
                <w:bCs w:val="0"/>
                <w:sz w:val="21"/>
                <w:szCs w:val="21"/>
              </w:rPr>
              <w:t>3、机柜3个：尺寸：</w:t>
            </w:r>
            <w:r>
              <w:rPr>
                <w:rFonts w:hint="eastAsia" w:ascii="宋体" w:hAnsi="宋体" w:eastAsia="宋体" w:cs="宋体"/>
                <w:b w:val="0"/>
                <w:bCs w:val="0"/>
                <w:sz w:val="21"/>
                <w:szCs w:val="21"/>
              </w:rPr>
              <w:t>≥</w:t>
            </w:r>
            <w:r>
              <w:rPr>
                <w:rStyle w:val="6"/>
                <w:rFonts w:hint="eastAsia" w:ascii="宋体" w:hAnsi="宋体" w:eastAsia="宋体" w:cs="宋体"/>
                <w:b w:val="0"/>
                <w:bCs w:val="0"/>
                <w:sz w:val="21"/>
                <w:szCs w:val="21"/>
              </w:rPr>
              <w:t>600*600*1200MM，材质：铁质并带有玻璃门，规格：22U。</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sz w:val="21"/>
                <w:szCs w:val="21"/>
              </w:rPr>
              <w:t>批</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79300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79300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525" w:type="dxa"/>
            <w:vMerge w:val="continue"/>
            <w:shd w:val="clear" w:color="auto" w:fill="auto"/>
            <w:vAlign w:val="top"/>
          </w:tcPr>
          <w:p>
            <w:pPr>
              <w:rPr>
                <w:rFonts w:hint="eastAsia" w:ascii="宋体"/>
                <w:sz w:val="24"/>
                <w:szCs w:val="24"/>
              </w:rPr>
            </w:pPr>
          </w:p>
        </w:tc>
        <w:tc>
          <w:tcPr>
            <w:tcW w:w="4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5</w:t>
            </w:r>
          </w:p>
        </w:tc>
        <w:tc>
          <w:tcPr>
            <w:tcW w:w="117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静电地板</w:t>
            </w:r>
          </w:p>
        </w:tc>
        <w:tc>
          <w:tcPr>
            <w:tcW w:w="778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全钢外壳结构，水泥填充，PVC贴面。底面采用拉伸板，表面防静电贴面。规格为：≥600*600*35mm。</w:t>
            </w:r>
          </w:p>
        </w:tc>
        <w:tc>
          <w:tcPr>
            <w:tcW w:w="70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sz w:val="21"/>
                <w:szCs w:val="21"/>
              </w:rPr>
              <w:t>平方米</w:t>
            </w:r>
          </w:p>
        </w:tc>
        <w:tc>
          <w:tcPr>
            <w:tcW w:w="855"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310</w:t>
            </w:r>
          </w:p>
        </w:tc>
        <w:tc>
          <w:tcPr>
            <w:tcW w:w="114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250</w:t>
            </w:r>
          </w:p>
        </w:tc>
        <w:tc>
          <w:tcPr>
            <w:tcW w:w="1590" w:type="dxa"/>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77500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rPr>
        <w:tc>
          <w:tcPr>
            <w:tcW w:w="525" w:type="dxa"/>
            <w:vMerge w:val="continue"/>
            <w:shd w:val="clear" w:color="auto" w:fill="auto"/>
            <w:vAlign w:val="top"/>
          </w:tcPr>
          <w:p>
            <w:pPr>
              <w:rPr>
                <w:rFonts w:hint="eastAsia" w:ascii="宋体"/>
                <w:sz w:val="24"/>
                <w:szCs w:val="24"/>
              </w:rPr>
            </w:pPr>
          </w:p>
        </w:tc>
        <w:tc>
          <w:tcPr>
            <w:tcW w:w="12045" w:type="dxa"/>
            <w:gridSpan w:val="6"/>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合计壹佰柒拾柒万捌仟壹佰元整</w:t>
            </w:r>
          </w:p>
        </w:tc>
        <w:tc>
          <w:tcPr>
            <w:tcW w:w="1590" w:type="dxa"/>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1778100</w:t>
            </w:r>
          </w:p>
        </w:tc>
      </w:tr>
    </w:tbl>
    <w:p>
      <w:pPr>
        <w:pStyle w:val="3"/>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 </w:t>
      </w:r>
    </w:p>
    <w:p>
      <w:pPr>
        <w:pStyle w:val="3"/>
        <w:keepNext w:val="0"/>
        <w:keepLines w:val="0"/>
        <w:widowControl/>
        <w:suppressLineNumbers w:val="0"/>
        <w:spacing w:before="105" w:beforeAutospacing="0" w:after="105" w:afterAutospacing="0"/>
        <w:ind w:left="0" w:right="0"/>
      </w:pPr>
      <w:r>
        <w:rPr>
          <w:rStyle w:val="6"/>
          <w:rFonts w:hint="eastAsia" w:ascii="宋体" w:hAnsi="宋体" w:eastAsia="宋体" w:cs="宋体"/>
          <w:b/>
          <w:bCs/>
        </w:rPr>
        <w:t>备注：1、供 应商在投标报价时每项单价不得超过其对应的单价且投标总报价不得超过本项目总价，否则为无效投标。</w:t>
      </w:r>
    </w:p>
    <w:p>
      <w:pPr>
        <w:pStyle w:val="3"/>
        <w:keepNext w:val="0"/>
        <w:keepLines w:val="0"/>
        <w:widowControl/>
        <w:suppressLineNumbers w:val="0"/>
        <w:spacing w:before="0" w:beforeAutospacing="0" w:after="150" w:afterAutospacing="0"/>
        <w:ind w:left="0" w:right="0"/>
      </w:pPr>
      <w:r>
        <w:rPr>
          <w:rStyle w:val="6"/>
          <w:rFonts w:hint="eastAsia" w:ascii="宋体" w:hAnsi="宋体" w:eastAsia="宋体" w:cs="宋体"/>
          <w:b/>
          <w:bCs/>
        </w:rPr>
        <w:t>2、上述参数及规格为最低要求，谈判供 应商全部满足，否则为无效谈判。</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1、交付地点：福建省泉州市丰泽区泉州师范学院主校区</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 50 天内完成安装及调试（不包含试运行）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3、交付条件：本项目必须是完整的、功能齐全的；并且符合国家标准的，符合竞争性谈判文件中的配置要求，安装调试完毕，验收合格。</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是。履约保证金百分比：2%。说明：中标供 应商在签 订合 同前需向采购人缴纳合同金额2%的履约保证金，该保证金在中标供 应商供应的货物全部验收合格，合同约定事项全部履行完毕且无未了事项后，30日内一次性无息退还。 提交方式为：支票、汇票、本票、保函等非现金方式。</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31"/>
        <w:gridCol w:w="77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（一）验收标准：招标文件和合同规定的技术要求、规格质量及其它要求，生产厂家的产品说明书、合格证书及技术资料等；国家现行规范；当地监督管理部门要求的安全规范以及采购文件的规定。 （二）验收小组：需3人以上（含3人）单数。 （三）验收程序：货物验收分出厂检验、货到初步验收、安装调试验收三阶段： （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 （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31"/>
        <w:gridCol w:w="1931"/>
        <w:gridCol w:w="57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在合同签订后，中标供 应商提交银行出具的预付款保函或启用我校指 定银行的三方共管账户后，我校支付合同总价100%的预付款。预付款保函的有效期需在采购项目验收合格日期之后；启用我校指 定银行的三方共管账户，采购项目经验收合格后，中标供 应商从三方共管账户支取款项。</w:t>
            </w:r>
          </w:p>
        </w:tc>
      </w:tr>
    </w:tbl>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8"/>
          <w:szCs w:val="28"/>
        </w:rPr>
        <w:t>8、商务及售 后服 务要求</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（一）投标人对提供的货物或服务，因产品及服务质量、或知识产权纠纷等问题，必须提供保修、包换、包退等服务。</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（二）货物安装调试合格后，投标人负责对采购人技术人员进行免费现场培训，培训内容包括系统的功能、原理、使用与维护等，培训日程视实际情况另定。</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三）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（六）履行所承诺的其他服务条款。</w:t>
      </w:r>
    </w:p>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8"/>
          <w:szCs w:val="28"/>
        </w:rPr>
        <w:t>9、验收要求</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（一）项目具备验收条件后，投标人应向采购人提出验收请求并提供完整的项目交接资料及交接报告。</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（三）投标人在接到采购人的修改意见后，应在10天内（当事人另行商定的时间除外）负责处理，否则，即视为默认采购人提出的异议和处理意见。</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（四）验收标准：招标文件和合同规定的技术要求、规格质量及其它要求，生产厂家的产品说明书、合格证书及技术资料等；国家现行规范；当地监督管理部门要求的安全规范以及采购文件的规定。</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（五）验收小组：需3人以上（含3人）单数。</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（六）验收程序：货物验收分出厂检验、货到初步验收、安装调试验收三阶段：</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（1）出厂检验：投标人将提供设备、安装材料、工具、软件包和文件的发货清单和计划，发货计划应经采购人认可后实施。投标人负责所提供产品的出厂检验，保证产品原 产地和技术指标的真实性、完整性、合法性；投标人发货前应将清单及发货流程发送给采购人，经采购人确认同意后发货；投标人需在采购人指 定地点进行统一交货，并向采购人提供货物制造厂的出厂检验报告、质量合格证书。</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 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8"/>
          <w:szCs w:val="28"/>
        </w:rPr>
        <w:t>10、其他商务要求</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（一）投标人不得虚报各项技术指标，中标产品若不能符合技术要求，采购人有权解除合同，并向政府采购管理部门通报，因此给采购人造成的一切损失，由投标人承担。</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（二）培训：投标人应结合本次采购的货物，有计划地对采购人派出管理、维护及使用人员进行安装现场的基本知识、使用、维护与保养技术的培训。</w:t>
      </w:r>
    </w:p>
    <w:p>
      <w:pPr>
        <w:pStyle w:val="3"/>
        <w:keepNext w:val="0"/>
        <w:keepLines w:val="0"/>
        <w:widowControl/>
        <w:suppressLineNumbers w:val="0"/>
        <w:spacing w:before="0" w:beforeAutospacing="0" w:after="150" w:afterAutospacing="0" w:line="465" w:lineRule="atLeast"/>
        <w:ind w:left="0" w:right="0"/>
      </w:pPr>
      <w:r>
        <w:rPr>
          <w:rStyle w:val="6"/>
          <w:rFonts w:hint="eastAsia" w:ascii="宋体" w:hAnsi="宋体" w:eastAsia="宋体" w:cs="宋体"/>
          <w:b/>
          <w:bCs/>
          <w:sz w:val="28"/>
          <w:szCs w:val="28"/>
        </w:rPr>
        <w:t>11、付款要求</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（一）所有货款均由泉州师范学院支付；</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（二）支付货款时应提供的资料：《泉州师范学院物资采购申请表》、成交通知书、采购验收单及合同的原件，正式的完税税务发票复印件（均应加盖财务专用章）和政府采购计划表（政府采购系统上打印）。</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（三）付款：</w:t>
      </w:r>
      <w:r>
        <w:rPr>
          <w:rFonts w:hint="eastAsia" w:ascii="宋体" w:hAnsi="宋体" w:eastAsia="宋体" w:cs="宋体"/>
          <w:sz w:val="24"/>
          <w:szCs w:val="24"/>
        </w:rPr>
        <w:t>在合同签订后，中标供 应商提交银行出具的预付款保函或启用我校指 定银行的三方共管账户后，我校支付合同总价100%的预付款。预付款保函的有效期需在采购项目验收合格日期之后；启用我校指 定银行的三方共管账户，采购项目经验收合格后，中标供 应商从三方共管账户支取款项。</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（四）投标人、收款单位、购货票证开票单位三者应一致，投标人收款帐号应为中国人民银行批准的基本帐户。</w:t>
      </w:r>
    </w:p>
    <w:p>
      <w:pPr>
        <w:pStyle w:val="3"/>
        <w:keepNext w:val="0"/>
        <w:keepLines w:val="0"/>
        <w:widowControl/>
        <w:suppressLineNumbers w:val="0"/>
        <w:spacing w:before="0" w:beforeAutospacing="0" w:after="150" w:afterAutospacing="0" w:line="465" w:lineRule="atLeast"/>
        <w:ind w:left="0" w:right="0" w:firstLine="555"/>
      </w:pPr>
      <w:r>
        <w:rPr>
          <w:rFonts w:hint="eastAsia" w:ascii="宋体" w:hAnsi="宋体" w:eastAsia="宋体" w:cs="宋体"/>
          <w:sz w:val="28"/>
          <w:szCs w:val="28"/>
        </w:rPr>
        <w:t>（五）投标人、收款单位、购货票证开票单位三者应一致，投标人收款帐号应为中国人民银行批准的基本帐户。</w:t>
      </w:r>
    </w:p>
    <w:p>
      <w:pPr>
        <w:pStyle w:val="3"/>
        <w:keepNext w:val="0"/>
        <w:keepLines w:val="0"/>
        <w:widowControl/>
        <w:suppressLineNumbers w:val="0"/>
        <w:spacing w:before="0" w:beforeAutospacing="0" w:after="150" w:afterAutospacing="0"/>
        <w:ind w:left="0" w:right="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（1）凡参与政府采购并依法取得政府采购合同的供 应 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（2）企业申请所需提交的材料可登录“福建省政府采购网”查询。</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（3）融资主要条件：①担保条件：除法定代表人或实际控制人担保外，如融资金额未超过政府采购合同金额的，银行不要求企业供 应 商提供财产抵质押或第三方担保，或附加其他担保条件。②专用账户：当银行同意授信后，企业供 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（4）投标人需提供中小企业声明函，明确属于大型、中型、小型、微型企业中的哪一种类型。</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b/>
          <w:bCs/>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[350500]FJHDCG[TP]2022005</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泉州师范学院陈守仁商学院云系统及云终端采购项目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甲方：泉州师范学院乙方：</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住所：泉州市丰泽区东海大街398号住所：</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单位负责人：单位负责人：</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委托代理人：0595-22919532委托代理人：</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联系方法：0595-22919532联系方法：</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开户银行：开户银行：</w:t>
      </w:r>
    </w:p>
    <w:p>
      <w:pPr>
        <w:pStyle w:val="3"/>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账号：账号：</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240"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b/>
          <w:bCs/>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b/>
          <w:bCs/>
          <w:spacing w:val="0"/>
          <w:sz w:val="24"/>
          <w:szCs w:val="24"/>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br w:type="textWrapping"/>
      </w:r>
      <w:r>
        <w:rPr>
          <w:rStyle w:val="6"/>
          <w:rFonts w:hint="eastAsia" w:ascii="宋体" w:hAnsi="宋体" w:eastAsia="宋体" w:cs="宋体"/>
          <w:b/>
          <w:bCs/>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b/>
          <w:bCs/>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b/>
          <w:bCs/>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Style w:val="4"/>
        <w:tblW w:w="87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b/>
          <w:bCs/>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40"/>
        <w:gridCol w:w="2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b/>
                <w:bCs/>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b/>
          <w:bCs/>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4"/>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b/>
                <w:bCs/>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b/>
          <w:bCs/>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b/>
          <w:bCs/>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b/>
          <w:bCs/>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spacing w:val="0"/>
          <w:sz w:val="24"/>
          <w:szCs w:val="24"/>
        </w:rPr>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b/>
          <w:bCs/>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b/>
          <w:bCs/>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b/>
          <w:bCs/>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b/>
          <w:bCs/>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b/>
          <w:bCs/>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b/>
          <w:bCs/>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6"/>
          <w:rFonts w:hint="eastAsia" w:ascii="宋体" w:hAnsi="宋体" w:eastAsia="宋体" w:cs="宋体"/>
          <w:b/>
          <w:bCs/>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b/>
          <w:bCs/>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b/>
          <w:bCs/>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b/>
          <w:bCs/>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b/>
          <w:bCs/>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b/>
          <w:bCs/>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b/>
          <w:bCs/>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b/>
          <w:bCs/>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b/>
          <w:bCs/>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rPr>
          <w:spacing w:val="0"/>
          <w:sz w:val="24"/>
          <w:szCs w:val="24"/>
        </w:rPr>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b/>
          <w:bCs/>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4"/>
        <w:tblW w:w="77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b/>
          <w:bCs/>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4"/>
        <w:tblW w:w="76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b/>
          <w:bCs/>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rPr>
          <w:spacing w:val="0"/>
          <w:sz w:val="24"/>
          <w:szCs w:val="24"/>
        </w:rPr>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rPr>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spacing w:val="0"/>
          <w:sz w:val="24"/>
          <w:szCs w:val="24"/>
        </w:rPr>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b/>
          <w:bCs/>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b/>
          <w:bCs/>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b/>
          <w:bCs/>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b/>
          <w:bCs/>
          <w:spacing w:val="0"/>
          <w:sz w:val="24"/>
          <w:szCs w:val="24"/>
        </w:rPr>
        <w:t> </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b/>
          <w:bCs/>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b/>
          <w:bCs/>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pPr>
        <w:rPr>
          <w:rFonts w:hint="eastAsia"/>
          <w:lang w:eastAsia="zh-CN"/>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jNlMjdlYTQxYTc4YmM2YTcwYzc2NjZmMTdmZTUifQ=="/>
  </w:docVars>
  <w:rsids>
    <w:rsidRoot w:val="397B7482"/>
    <w:rsid w:val="0F3550C8"/>
    <w:rsid w:val="397B7482"/>
    <w:rsid w:val="508F1B83"/>
    <w:rsid w:val="557A1624"/>
    <w:rsid w:val="69601EB7"/>
    <w:rsid w:val="72494D9C"/>
    <w:rsid w:val="766F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42450</Words>
  <Characters>44186</Characters>
  <Lines>0</Lines>
  <Paragraphs>0</Paragraphs>
  <TotalTime>7</TotalTime>
  <ScaleCrop>false</ScaleCrop>
  <LinksUpToDate>false</LinksUpToDate>
  <CharactersWithSpaces>47307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2022-11-22T09:23:00Z</dcterms:created>
  <dc:creator>恒都</dc:creator>
  <cp:lastModifiedBy>骑着蜗牛上高速</cp:lastModifiedBy>
  <dcterms:modified xsi:type="dcterms:W3CDTF">2022-11-22T10:11:35Z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75DB8475433D40ACBCE3E0251D0F8861</vt:lpwstr>
  </property>
</Properties>
</file>