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61641">
      <w:pPr>
        <w:pStyle w:val="15"/>
        <w:rPr>
          <w:color w:val="auto"/>
        </w:rPr>
      </w:pPr>
    </w:p>
    <w:p w14:paraId="2F67B7DC">
      <w:pPr>
        <w:pStyle w:val="15"/>
        <w:rPr>
          <w:color w:val="auto"/>
        </w:rPr>
      </w:pPr>
    </w:p>
    <w:p w14:paraId="054C0242">
      <w:pPr>
        <w:pStyle w:val="15"/>
        <w:rPr>
          <w:color w:val="auto"/>
        </w:rPr>
      </w:pPr>
    </w:p>
    <w:p w14:paraId="7BBEFAB2">
      <w:pPr>
        <w:pStyle w:val="15"/>
        <w:rPr>
          <w:color w:val="auto"/>
        </w:rPr>
      </w:pPr>
    </w:p>
    <w:p w14:paraId="0EADD111">
      <w:pPr>
        <w:pStyle w:val="15"/>
        <w:rPr>
          <w:rFonts w:hint="eastAsia"/>
          <w:color w:val="auto"/>
          <w:lang w:val="en-US" w:eastAsia="zh-Hans"/>
        </w:rPr>
      </w:pPr>
      <w:r>
        <w:rPr>
          <w:color w:val="auto"/>
        </w:rPr>
        <w:br w:type="textWrapping"/>
      </w:r>
    </w:p>
    <w:p w14:paraId="46A8B6DD">
      <w:pPr>
        <w:pStyle w:val="15"/>
        <w:jc w:val="center"/>
        <w:outlineLvl w:val="0"/>
        <w:rPr>
          <w:b/>
          <w:color w:val="auto"/>
          <w:sz w:val="56"/>
          <w:szCs w:val="22"/>
        </w:rPr>
      </w:pPr>
    </w:p>
    <w:p w14:paraId="344E51F6">
      <w:pPr>
        <w:pStyle w:val="15"/>
        <w:jc w:val="center"/>
        <w:outlineLvl w:val="0"/>
        <w:rPr>
          <w:color w:val="auto"/>
          <w:sz w:val="28"/>
          <w:szCs w:val="28"/>
        </w:rPr>
      </w:pPr>
      <w:r>
        <w:rPr>
          <w:b/>
          <w:color w:val="auto"/>
          <w:sz w:val="72"/>
          <w:szCs w:val="28"/>
        </w:rPr>
        <w:t>单一来源采购文件</w:t>
      </w:r>
    </w:p>
    <w:p w14:paraId="5CB62BE4">
      <w:pPr>
        <w:pStyle w:val="15"/>
        <w:jc w:val="center"/>
        <w:outlineLvl w:val="2"/>
        <w:rPr>
          <w:b/>
          <w:color w:val="auto"/>
          <w:sz w:val="28"/>
        </w:rPr>
      </w:pPr>
    </w:p>
    <w:p w14:paraId="298C7051">
      <w:pPr>
        <w:pStyle w:val="15"/>
        <w:jc w:val="center"/>
        <w:outlineLvl w:val="2"/>
        <w:rPr>
          <w:b/>
          <w:color w:val="auto"/>
          <w:sz w:val="28"/>
        </w:rPr>
      </w:pPr>
    </w:p>
    <w:p w14:paraId="452481C7">
      <w:pPr>
        <w:pStyle w:val="15"/>
        <w:jc w:val="center"/>
        <w:outlineLvl w:val="2"/>
        <w:rPr>
          <w:b/>
          <w:color w:val="auto"/>
          <w:sz w:val="28"/>
        </w:rPr>
      </w:pPr>
    </w:p>
    <w:p w14:paraId="361A5700">
      <w:pPr>
        <w:pStyle w:val="15"/>
        <w:jc w:val="center"/>
        <w:outlineLvl w:val="2"/>
        <w:rPr>
          <w:rFonts w:hint="eastAsia" w:eastAsiaTheme="minorEastAsia"/>
          <w:color w:val="auto"/>
          <w:lang w:eastAsia="zh-CN"/>
        </w:rPr>
      </w:pPr>
      <w:r>
        <w:rPr>
          <w:b/>
          <w:color w:val="auto"/>
          <w:sz w:val="28"/>
        </w:rPr>
        <w:t>项目名称：</w:t>
      </w:r>
      <w:r>
        <w:rPr>
          <w:rFonts w:hint="eastAsia"/>
          <w:b/>
          <w:color w:val="auto"/>
          <w:sz w:val="28"/>
          <w:lang w:eastAsia="zh-CN"/>
        </w:rPr>
        <w:t>泉州师范学院主校区电梯维保服务采购项目</w:t>
      </w:r>
    </w:p>
    <w:p w14:paraId="5F561245">
      <w:pPr>
        <w:pStyle w:val="15"/>
        <w:jc w:val="center"/>
        <w:outlineLvl w:val="2"/>
        <w:rPr>
          <w:rFonts w:hint="eastAsia" w:eastAsiaTheme="minorEastAsia"/>
          <w:color w:val="auto"/>
          <w:lang w:eastAsia="zh-CN"/>
        </w:rPr>
      </w:pPr>
      <w:r>
        <w:rPr>
          <w:b/>
          <w:color w:val="auto"/>
          <w:sz w:val="28"/>
        </w:rPr>
        <w:t>项目编号：</w:t>
      </w:r>
      <w:r>
        <w:rPr>
          <w:rFonts w:hint="eastAsia"/>
          <w:b/>
          <w:color w:val="auto"/>
          <w:sz w:val="28"/>
          <w:lang w:eastAsia="zh-CN"/>
        </w:rPr>
        <w:t>2025-FZSD081</w:t>
      </w:r>
    </w:p>
    <w:p w14:paraId="7C355858">
      <w:pPr>
        <w:pStyle w:val="15"/>
        <w:jc w:val="center"/>
        <w:outlineLvl w:val="2"/>
        <w:rPr>
          <w:b/>
          <w:color w:val="auto"/>
          <w:sz w:val="28"/>
        </w:rPr>
      </w:pPr>
    </w:p>
    <w:p w14:paraId="26716BE6">
      <w:pPr>
        <w:pStyle w:val="15"/>
        <w:jc w:val="center"/>
        <w:outlineLvl w:val="2"/>
        <w:rPr>
          <w:b/>
          <w:color w:val="auto"/>
          <w:sz w:val="28"/>
        </w:rPr>
      </w:pPr>
    </w:p>
    <w:p w14:paraId="2FA73676">
      <w:pPr>
        <w:pStyle w:val="15"/>
        <w:jc w:val="center"/>
        <w:outlineLvl w:val="2"/>
        <w:rPr>
          <w:b/>
          <w:color w:val="auto"/>
          <w:sz w:val="28"/>
        </w:rPr>
      </w:pPr>
    </w:p>
    <w:p w14:paraId="753F00F1">
      <w:pPr>
        <w:pStyle w:val="15"/>
        <w:jc w:val="center"/>
        <w:outlineLvl w:val="2"/>
        <w:rPr>
          <w:rFonts w:hint="eastAsia" w:eastAsiaTheme="minorEastAsia"/>
          <w:color w:val="auto"/>
          <w:lang w:eastAsia="zh-CN"/>
        </w:rPr>
      </w:pPr>
      <w:r>
        <w:rPr>
          <w:b/>
          <w:color w:val="auto"/>
          <w:sz w:val="28"/>
        </w:rPr>
        <w:t>采购人：</w:t>
      </w:r>
      <w:r>
        <w:rPr>
          <w:rFonts w:hint="eastAsia"/>
          <w:b/>
          <w:color w:val="auto"/>
          <w:sz w:val="28"/>
          <w:lang w:eastAsia="zh-CN"/>
        </w:rPr>
        <w:t>泉州师范学院</w:t>
      </w:r>
    </w:p>
    <w:p w14:paraId="4372971E">
      <w:pPr>
        <w:pStyle w:val="15"/>
        <w:jc w:val="center"/>
        <w:outlineLvl w:val="2"/>
        <w:rPr>
          <w:color w:val="auto"/>
        </w:rPr>
      </w:pPr>
      <w:r>
        <w:rPr>
          <w:b/>
          <w:color w:val="auto"/>
          <w:sz w:val="28"/>
        </w:rPr>
        <w:t>代理机构：福建中实招标有限公司</w:t>
      </w:r>
    </w:p>
    <w:p w14:paraId="73F16CED">
      <w:pPr>
        <w:pStyle w:val="15"/>
        <w:jc w:val="center"/>
        <w:outlineLvl w:val="2"/>
        <w:rPr>
          <w:color w:val="auto"/>
        </w:rPr>
      </w:pPr>
      <w:r>
        <w:rPr>
          <w:b/>
          <w:color w:val="auto"/>
          <w:sz w:val="28"/>
        </w:rPr>
        <w:t>编制时间：202</w:t>
      </w:r>
      <w:r>
        <w:rPr>
          <w:rFonts w:hint="eastAsia"/>
          <w:b/>
          <w:color w:val="auto"/>
          <w:sz w:val="28"/>
          <w:lang w:val="en-US" w:eastAsia="zh-CN"/>
        </w:rPr>
        <w:t>5</w:t>
      </w:r>
      <w:r>
        <w:rPr>
          <w:b/>
          <w:color w:val="auto"/>
          <w:sz w:val="28"/>
        </w:rPr>
        <w:t>年</w:t>
      </w:r>
      <w:r>
        <w:rPr>
          <w:rFonts w:hint="eastAsia"/>
          <w:b/>
          <w:color w:val="auto"/>
          <w:sz w:val="28"/>
          <w:lang w:val="en-US" w:eastAsia="zh-CN"/>
        </w:rPr>
        <w:t>4</w:t>
      </w:r>
      <w:r>
        <w:rPr>
          <w:b/>
          <w:color w:val="auto"/>
          <w:sz w:val="28"/>
        </w:rPr>
        <w:t>月</w:t>
      </w:r>
    </w:p>
    <w:p w14:paraId="57F2BA2B">
      <w:pPr>
        <w:pStyle w:val="15"/>
        <w:rPr>
          <w:color w:val="auto"/>
        </w:rPr>
      </w:pPr>
      <w:r>
        <w:rPr>
          <w:color w:val="auto"/>
        </w:rPr>
        <w:br w:type="textWrapping"/>
      </w:r>
      <w:r>
        <w:rPr>
          <w:color w:val="auto"/>
        </w:rPr>
        <w:br w:type="page"/>
      </w:r>
    </w:p>
    <w:p w14:paraId="0D066A3D">
      <w:pPr>
        <w:pStyle w:val="15"/>
        <w:jc w:val="center"/>
        <w:outlineLvl w:val="1"/>
        <w:rPr>
          <w:rFonts w:hint="eastAsia" w:ascii="宋体" w:hAnsi="宋体" w:eastAsia="宋体" w:cs="宋体"/>
          <w:color w:val="auto"/>
          <w:sz w:val="32"/>
          <w:szCs w:val="32"/>
        </w:rPr>
      </w:pPr>
      <w:r>
        <w:rPr>
          <w:rFonts w:hint="eastAsia" w:ascii="宋体" w:hAnsi="宋体" w:eastAsia="宋体" w:cs="宋体"/>
          <w:b/>
          <w:color w:val="auto"/>
          <w:sz w:val="32"/>
          <w:szCs w:val="32"/>
        </w:rPr>
        <w:t>第一章协商邀请</w:t>
      </w:r>
    </w:p>
    <w:p w14:paraId="1FBBFFBB">
      <w:pPr>
        <w:pStyle w:val="15"/>
        <w:ind w:left="0" w:leftChars="0" w:firstLine="42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福建中实招标有限公司采用单一来源采购方式组织</w:t>
      </w:r>
      <w:r>
        <w:rPr>
          <w:rFonts w:hint="eastAsia" w:ascii="宋体" w:hAnsi="宋体" w:eastAsia="宋体" w:cs="宋体"/>
          <w:color w:val="auto"/>
          <w:sz w:val="21"/>
          <w:szCs w:val="21"/>
          <w:lang w:eastAsia="zh-CN"/>
        </w:rPr>
        <w:t>泉州师范学院主校区电梯维保服务采购项目</w:t>
      </w:r>
      <w:r>
        <w:rPr>
          <w:rFonts w:hint="eastAsia" w:ascii="宋体" w:hAnsi="宋体" w:eastAsia="宋体" w:cs="宋体"/>
          <w:color w:val="auto"/>
          <w:sz w:val="21"/>
          <w:szCs w:val="21"/>
        </w:rPr>
        <w:t>（以下简称：“本项目或者采购项目”）的采购活动，特邀请下列供应商参加本项目特定采购包的协商。现将本项目有关事项告知如下：</w:t>
      </w:r>
    </w:p>
    <w:p w14:paraId="428F1CE4">
      <w:pPr>
        <w:pStyle w:val="15"/>
        <w:ind w:left="0" w:leftChars="0" w:firstLine="420" w:firstLineChars="0"/>
        <w:jc w:val="left"/>
        <w:outlineLvl w:val="2"/>
        <w:rPr>
          <w:rFonts w:hint="eastAsia" w:ascii="宋体" w:hAnsi="宋体" w:eastAsia="宋体" w:cs="宋体"/>
          <w:color w:val="auto"/>
          <w:sz w:val="21"/>
          <w:szCs w:val="21"/>
          <w:lang w:eastAsia="zh-CN"/>
        </w:rPr>
      </w:pPr>
      <w:r>
        <w:rPr>
          <w:rFonts w:hint="eastAsia" w:ascii="宋体" w:hAnsi="宋体" w:eastAsia="宋体" w:cs="宋体"/>
          <w:b/>
          <w:color w:val="auto"/>
          <w:sz w:val="21"/>
          <w:szCs w:val="21"/>
        </w:rPr>
        <w:t>1、项目编号：</w:t>
      </w:r>
      <w:r>
        <w:rPr>
          <w:rFonts w:hint="eastAsia" w:ascii="宋体" w:hAnsi="宋体" w:eastAsia="宋体" w:cs="宋体"/>
          <w:b/>
          <w:color w:val="auto"/>
          <w:sz w:val="21"/>
          <w:szCs w:val="21"/>
          <w:lang w:eastAsia="zh-CN"/>
        </w:rPr>
        <w:t>2025-FZSD081</w:t>
      </w:r>
    </w:p>
    <w:p w14:paraId="17FF2A2A">
      <w:pPr>
        <w:pStyle w:val="15"/>
        <w:ind w:left="0" w:leftChars="0" w:firstLine="420" w:firstLineChars="0"/>
        <w:jc w:val="left"/>
        <w:outlineLvl w:val="2"/>
        <w:rPr>
          <w:rFonts w:hint="eastAsia" w:ascii="宋体" w:hAnsi="宋体" w:eastAsia="宋体" w:cs="宋体"/>
          <w:color w:val="auto"/>
          <w:sz w:val="21"/>
          <w:szCs w:val="21"/>
          <w:lang w:eastAsia="zh-CN"/>
        </w:rPr>
      </w:pPr>
      <w:r>
        <w:rPr>
          <w:rFonts w:hint="eastAsia" w:ascii="宋体" w:hAnsi="宋体" w:eastAsia="宋体" w:cs="宋体"/>
          <w:b/>
          <w:color w:val="auto"/>
          <w:sz w:val="21"/>
          <w:szCs w:val="21"/>
        </w:rPr>
        <w:t>2、项目名称：</w:t>
      </w:r>
      <w:r>
        <w:rPr>
          <w:rFonts w:hint="eastAsia" w:ascii="宋体" w:hAnsi="宋体" w:eastAsia="宋体" w:cs="宋体"/>
          <w:b/>
          <w:color w:val="auto"/>
          <w:sz w:val="21"/>
          <w:szCs w:val="21"/>
          <w:lang w:eastAsia="zh-CN"/>
        </w:rPr>
        <w:t>泉州师范学院主校区电梯维保服务采购项目</w:t>
      </w:r>
    </w:p>
    <w:p w14:paraId="6551E5C3">
      <w:pPr>
        <w:pStyle w:val="15"/>
        <w:ind w:left="0" w:leftChars="0" w:firstLine="420" w:firstLineChars="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3、采购内容及要求：详见采购标的一览表及采购文件第四章。</w:t>
      </w:r>
    </w:p>
    <w:p w14:paraId="08879865">
      <w:pPr>
        <w:pStyle w:val="15"/>
        <w:ind w:left="0" w:leftChars="0" w:firstLine="420" w:firstLineChars="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4、邀请参加本项目协商的供应商名单如下：</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5"/>
        <w:gridCol w:w="2997"/>
        <w:gridCol w:w="3835"/>
      </w:tblGrid>
      <w:tr w14:paraId="18103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5" w:type="dxa"/>
          </w:tcPr>
          <w:p w14:paraId="2D5719A6">
            <w:pPr>
              <w:pStyle w:val="15"/>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采购包</w:t>
            </w:r>
          </w:p>
        </w:tc>
        <w:tc>
          <w:tcPr>
            <w:tcW w:w="2997" w:type="dxa"/>
          </w:tcPr>
          <w:p w14:paraId="3A4110DF">
            <w:pPr>
              <w:pStyle w:val="15"/>
              <w:jc w:val="center"/>
              <w:rPr>
                <w:rFonts w:hint="eastAsia" w:ascii="宋体" w:hAnsi="宋体" w:eastAsia="宋体" w:cs="宋体"/>
                <w:color w:val="auto"/>
                <w:sz w:val="21"/>
                <w:szCs w:val="21"/>
              </w:rPr>
            </w:pPr>
            <w:r>
              <w:rPr>
                <w:rFonts w:hint="eastAsia" w:ascii="宋体" w:hAnsi="宋体" w:eastAsia="宋体" w:cs="宋体"/>
                <w:color w:val="auto"/>
                <w:sz w:val="21"/>
                <w:szCs w:val="21"/>
              </w:rPr>
              <w:t>统一社会信用代码</w:t>
            </w:r>
          </w:p>
        </w:tc>
        <w:tc>
          <w:tcPr>
            <w:tcW w:w="3835" w:type="dxa"/>
          </w:tcPr>
          <w:p w14:paraId="658348A5">
            <w:pPr>
              <w:pStyle w:val="15"/>
              <w:jc w:val="center"/>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p>
        </w:tc>
      </w:tr>
      <w:tr w14:paraId="4773C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5" w:type="dxa"/>
          </w:tcPr>
          <w:p w14:paraId="72059AAE">
            <w:pPr>
              <w:pStyle w:val="15"/>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997" w:type="dxa"/>
          </w:tcPr>
          <w:p w14:paraId="37D8AA3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91350200X120036470</w:t>
            </w:r>
          </w:p>
        </w:tc>
        <w:tc>
          <w:tcPr>
            <w:tcW w:w="3835" w:type="dxa"/>
          </w:tcPr>
          <w:p w14:paraId="0382B137">
            <w:pPr>
              <w:jc w:val="center"/>
              <w:rPr>
                <w:rFonts w:hint="eastAsia" w:ascii="宋体" w:hAnsi="宋体" w:eastAsia="宋体" w:cs="宋体"/>
                <w:color w:val="auto"/>
                <w:sz w:val="21"/>
                <w:szCs w:val="21"/>
              </w:rPr>
            </w:pPr>
            <w:r>
              <w:rPr>
                <w:rFonts w:hint="eastAsia" w:ascii="Calibri" w:hAnsi="Calibri" w:eastAsia="宋体" w:cs="Times New Roman"/>
                <w:color w:val="auto"/>
              </w:rPr>
              <w:t>广州奥的斯电梯有限公司厦门分公司</w:t>
            </w:r>
          </w:p>
        </w:tc>
      </w:tr>
      <w:tr w14:paraId="73600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5" w:type="dxa"/>
          </w:tcPr>
          <w:p w14:paraId="3B830C8B">
            <w:pPr>
              <w:pStyle w:val="15"/>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2997" w:type="dxa"/>
          </w:tcPr>
          <w:p w14:paraId="1351008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913500007729035417</w:t>
            </w:r>
          </w:p>
        </w:tc>
        <w:tc>
          <w:tcPr>
            <w:tcW w:w="3835" w:type="dxa"/>
          </w:tcPr>
          <w:p w14:paraId="58BA34FE">
            <w:pPr>
              <w:pStyle w:val="15"/>
              <w:jc w:val="center"/>
              <w:rPr>
                <w:rFonts w:hint="eastAsia" w:ascii="宋体" w:hAnsi="宋体" w:eastAsia="宋体" w:cs="宋体"/>
                <w:color w:val="auto"/>
                <w:sz w:val="21"/>
                <w:szCs w:val="21"/>
              </w:rPr>
            </w:pPr>
            <w:r>
              <w:rPr>
                <w:rFonts w:hint="eastAsia"/>
                <w:color w:val="auto"/>
              </w:rPr>
              <w:t>华升富士达电梯有限公司福建分公司</w:t>
            </w:r>
          </w:p>
        </w:tc>
      </w:tr>
      <w:tr w14:paraId="7751A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5" w:type="dxa"/>
          </w:tcPr>
          <w:p w14:paraId="0479A681">
            <w:pPr>
              <w:pStyle w:val="15"/>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2997" w:type="dxa"/>
          </w:tcPr>
          <w:p w14:paraId="00C4A9F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913502007692801796</w:t>
            </w:r>
          </w:p>
        </w:tc>
        <w:tc>
          <w:tcPr>
            <w:tcW w:w="3835" w:type="dxa"/>
          </w:tcPr>
          <w:p w14:paraId="59E531E3">
            <w:pPr>
              <w:pStyle w:val="15"/>
              <w:jc w:val="center"/>
              <w:rPr>
                <w:rFonts w:hint="eastAsia" w:ascii="宋体" w:hAnsi="宋体" w:eastAsia="宋体" w:cs="宋体"/>
                <w:color w:val="auto"/>
                <w:sz w:val="21"/>
                <w:szCs w:val="21"/>
              </w:rPr>
            </w:pPr>
            <w:r>
              <w:rPr>
                <w:rFonts w:hint="eastAsia"/>
                <w:color w:val="auto"/>
              </w:rPr>
              <w:t>通力电梯有限公司厦门分公司</w:t>
            </w:r>
          </w:p>
        </w:tc>
      </w:tr>
      <w:tr w14:paraId="209A2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5" w:type="dxa"/>
          </w:tcPr>
          <w:p w14:paraId="021A7D99">
            <w:pPr>
              <w:pStyle w:val="15"/>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2997" w:type="dxa"/>
          </w:tcPr>
          <w:p w14:paraId="03A89AA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91350100310776031F</w:t>
            </w:r>
          </w:p>
        </w:tc>
        <w:tc>
          <w:tcPr>
            <w:tcW w:w="3835" w:type="dxa"/>
          </w:tcPr>
          <w:p w14:paraId="442BA3D6">
            <w:pPr>
              <w:pStyle w:val="15"/>
              <w:jc w:val="center"/>
              <w:rPr>
                <w:rFonts w:hint="eastAsia" w:ascii="宋体" w:hAnsi="宋体" w:eastAsia="宋体" w:cs="宋体"/>
                <w:color w:val="auto"/>
                <w:sz w:val="21"/>
                <w:szCs w:val="21"/>
              </w:rPr>
            </w:pPr>
            <w:r>
              <w:rPr>
                <w:rFonts w:hint="eastAsia"/>
                <w:color w:val="auto"/>
              </w:rPr>
              <w:t>杭州西奥电梯有限公司福建分公司</w:t>
            </w:r>
          </w:p>
        </w:tc>
      </w:tr>
      <w:tr w14:paraId="2E59B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5" w:type="dxa"/>
          </w:tcPr>
          <w:p w14:paraId="229DA0FA">
            <w:pPr>
              <w:pStyle w:val="15"/>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2997" w:type="dxa"/>
          </w:tcPr>
          <w:p w14:paraId="4B06B81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91350503733632822L</w:t>
            </w:r>
          </w:p>
        </w:tc>
        <w:tc>
          <w:tcPr>
            <w:tcW w:w="3835" w:type="dxa"/>
          </w:tcPr>
          <w:p w14:paraId="638BF3F0">
            <w:pPr>
              <w:pStyle w:val="15"/>
              <w:jc w:val="center"/>
              <w:rPr>
                <w:rFonts w:hint="eastAsia" w:ascii="宋体" w:hAnsi="宋体" w:eastAsia="宋体" w:cs="宋体"/>
                <w:color w:val="auto"/>
                <w:sz w:val="21"/>
                <w:szCs w:val="21"/>
              </w:rPr>
            </w:pPr>
            <w:r>
              <w:rPr>
                <w:rFonts w:hint="eastAsia"/>
                <w:color w:val="auto"/>
              </w:rPr>
              <w:t>福建省华银机电设备有限公司</w:t>
            </w:r>
          </w:p>
        </w:tc>
      </w:tr>
    </w:tbl>
    <w:p w14:paraId="5F454A29">
      <w:pPr>
        <w:pStyle w:val="15"/>
        <w:ind w:left="0" w:leftChars="0" w:firstLine="420" w:firstLineChars="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5、供应商的资格要求</w:t>
      </w:r>
    </w:p>
    <w:p w14:paraId="7D780E80">
      <w:pPr>
        <w:pStyle w:val="15"/>
        <w:ind w:left="0" w:leftChars="0" w:firstLine="42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5.1、法定条件：具备《中华人民共和国政府采购法》第二十二条第一款规定的条件。</w:t>
      </w:r>
    </w:p>
    <w:p w14:paraId="4E2D46D2">
      <w:pPr>
        <w:pStyle w:val="15"/>
        <w:ind w:left="0" w:leftChars="0" w:firstLine="42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5.2、特定条件：</w:t>
      </w:r>
    </w:p>
    <w:p w14:paraId="06E81D62">
      <w:pPr>
        <w:pStyle w:val="15"/>
        <w:ind w:left="0" w:leftChars="0" w:firstLine="42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采购包2、采购包3、采购包4、采购包5</w:t>
      </w:r>
      <w:r>
        <w:rPr>
          <w:rFonts w:hint="eastAsia" w:ascii="宋体" w:hAnsi="宋体" w:eastAsia="宋体" w:cs="宋体"/>
          <w:color w:val="auto"/>
          <w:sz w:val="21"/>
          <w:szCs w:val="21"/>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50"/>
        <w:gridCol w:w="6256"/>
      </w:tblGrid>
      <w:tr w14:paraId="25DCE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0" w:type="dxa"/>
          </w:tcPr>
          <w:p w14:paraId="1F4DE032">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资格审查要求概况</w:t>
            </w:r>
          </w:p>
        </w:tc>
        <w:tc>
          <w:tcPr>
            <w:tcW w:w="6256" w:type="dxa"/>
          </w:tcPr>
          <w:p w14:paraId="54235768">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评审点具体描述</w:t>
            </w:r>
          </w:p>
        </w:tc>
      </w:tr>
      <w:tr w14:paraId="68810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0" w:type="dxa"/>
          </w:tcPr>
          <w:p w14:paraId="080A09B9">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资格承诺函</w:t>
            </w:r>
          </w:p>
        </w:tc>
        <w:tc>
          <w:tcPr>
            <w:tcW w:w="6256" w:type="dxa"/>
          </w:tcPr>
          <w:p w14:paraId="40F6EF1C">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FD8B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0" w:type="dxa"/>
          </w:tcPr>
          <w:p w14:paraId="76B60DC7">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文件规定的其他资格证明文件</w:t>
            </w:r>
          </w:p>
        </w:tc>
        <w:tc>
          <w:tcPr>
            <w:tcW w:w="6256" w:type="dxa"/>
          </w:tcPr>
          <w:p w14:paraId="43876330">
            <w:pPr>
              <w:pStyle w:val="15"/>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1.供应商应为电梯制造单位或电梯制造单位的下属分公司，或电梯制造单位委托的依法取得许可的单位，需提供相关证明。</w:t>
            </w:r>
          </w:p>
          <w:p w14:paraId="1A0A557B">
            <w:pPr>
              <w:pStyle w:val="15"/>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2.分公司参与投标的，需提供总公司授权函。</w:t>
            </w:r>
          </w:p>
        </w:tc>
      </w:tr>
    </w:tbl>
    <w:p w14:paraId="7554BC15">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5.3、列入失信被执行人、重大税收违法案件当事人名单、政府采购严重违法失信行为记录名单及其他不符合《中华人民共和国政府采购法》第二十二条规定条件的供应商，不得参加协商，否则响应文件无效。</w:t>
      </w:r>
    </w:p>
    <w:p w14:paraId="22A1AF5C">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5.4、本项目不接受联合体参加，不允许成交供应商进行分包、转包。</w:t>
      </w:r>
    </w:p>
    <w:p w14:paraId="12586179">
      <w:pPr>
        <w:pStyle w:val="15"/>
        <w:ind w:left="0" w:leftChars="0" w:firstLine="422" w:firstLineChars="200"/>
        <w:jc w:val="left"/>
        <w:outlineLvl w:val="2"/>
        <w:rPr>
          <w:rFonts w:hint="eastAsia" w:ascii="宋体" w:hAnsi="宋体" w:eastAsia="宋体" w:cs="宋体"/>
          <w:b/>
          <w:color w:val="auto"/>
          <w:sz w:val="21"/>
          <w:szCs w:val="21"/>
        </w:rPr>
      </w:pPr>
      <w:r>
        <w:rPr>
          <w:rFonts w:hint="eastAsia" w:ascii="宋体" w:hAnsi="宋体" w:eastAsia="宋体" w:cs="宋体"/>
          <w:b/>
          <w:color w:val="auto"/>
          <w:sz w:val="21"/>
          <w:szCs w:val="21"/>
        </w:rPr>
        <w:t>6、采购文件的获取：</w:t>
      </w:r>
    </w:p>
    <w:p w14:paraId="4D26FCBB">
      <w:pPr>
        <w:pStyle w:val="15"/>
        <w:ind w:left="0" w:leftChars="0" w:firstLine="420" w:firstLineChars="200"/>
        <w:jc w:val="left"/>
        <w:outlineLvl w:val="2"/>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6.1</w:t>
      </w:r>
      <w:r>
        <w:rPr>
          <w:rFonts w:hint="eastAsia" w:ascii="宋体" w:hAnsi="宋体" w:eastAsia="宋体" w:cs="宋体"/>
          <w:b w:val="0"/>
          <w:bCs/>
          <w:color w:val="auto"/>
          <w:sz w:val="21"/>
          <w:szCs w:val="21"/>
          <w:lang w:val="en-US" w:eastAsia="zh-CN"/>
        </w:rPr>
        <w:t>采购</w:t>
      </w:r>
      <w:r>
        <w:rPr>
          <w:rFonts w:hint="eastAsia" w:ascii="宋体" w:hAnsi="宋体" w:eastAsia="宋体" w:cs="宋体"/>
          <w:b w:val="0"/>
          <w:bCs/>
          <w:color w:val="auto"/>
          <w:sz w:val="21"/>
          <w:szCs w:val="21"/>
        </w:rPr>
        <w:t>文件获取期限：202</w:t>
      </w: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年</w:t>
      </w: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rPr>
        <w:t>月</w:t>
      </w:r>
      <w:r>
        <w:rPr>
          <w:rFonts w:hint="eastAsia" w:ascii="宋体" w:hAnsi="宋体" w:eastAsia="宋体" w:cs="宋体"/>
          <w:b w:val="0"/>
          <w:bCs/>
          <w:color w:val="auto"/>
          <w:sz w:val="21"/>
          <w:szCs w:val="21"/>
          <w:lang w:val="en-US" w:eastAsia="zh-CN"/>
        </w:rPr>
        <w:t>27</w:t>
      </w:r>
      <w:r>
        <w:rPr>
          <w:rFonts w:hint="eastAsia" w:ascii="宋体" w:hAnsi="宋体" w:eastAsia="宋体" w:cs="宋体"/>
          <w:b w:val="0"/>
          <w:bCs/>
          <w:color w:val="auto"/>
          <w:sz w:val="21"/>
          <w:szCs w:val="21"/>
        </w:rPr>
        <w:t>日至202</w:t>
      </w: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年</w:t>
      </w: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月</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日(公休、节假日除外)，每天上午8:00～12:00，下午1</w:t>
      </w: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0～1</w:t>
      </w:r>
      <w:r>
        <w:rPr>
          <w:rFonts w:hint="eastAsia" w:ascii="宋体" w:hAnsi="宋体" w:eastAsia="宋体" w:cs="宋体"/>
          <w:b w:val="0"/>
          <w:bCs/>
          <w:color w:val="auto"/>
          <w:sz w:val="21"/>
          <w:szCs w:val="21"/>
          <w:lang w:val="en-US" w:eastAsia="zh-CN"/>
        </w:rPr>
        <w:t>7</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0。递交</w:t>
      </w:r>
      <w:r>
        <w:rPr>
          <w:rFonts w:hint="eastAsia" w:ascii="宋体" w:hAnsi="宋体" w:eastAsia="宋体" w:cs="宋体"/>
          <w:b w:val="0"/>
          <w:bCs/>
          <w:color w:val="auto"/>
          <w:sz w:val="21"/>
          <w:szCs w:val="21"/>
          <w:lang w:eastAsia="zh-CN"/>
        </w:rPr>
        <w:t>响应文件</w:t>
      </w:r>
      <w:r>
        <w:rPr>
          <w:rFonts w:hint="eastAsia" w:ascii="宋体" w:hAnsi="宋体" w:eastAsia="宋体" w:cs="宋体"/>
          <w:b w:val="0"/>
          <w:bCs/>
          <w:color w:val="auto"/>
          <w:sz w:val="21"/>
          <w:szCs w:val="21"/>
        </w:rPr>
        <w:t>时</w:t>
      </w:r>
      <w:r>
        <w:rPr>
          <w:rFonts w:hint="eastAsia" w:ascii="宋体" w:hAnsi="宋体" w:eastAsia="宋体" w:cs="宋体"/>
          <w:b w:val="0"/>
          <w:bCs/>
          <w:color w:val="auto"/>
          <w:sz w:val="21"/>
          <w:szCs w:val="21"/>
          <w:lang w:eastAsia="zh-CN"/>
        </w:rPr>
        <w:t>供应商</w:t>
      </w:r>
      <w:r>
        <w:rPr>
          <w:rFonts w:hint="eastAsia" w:ascii="宋体" w:hAnsi="宋体" w:eastAsia="宋体" w:cs="宋体"/>
          <w:b w:val="0"/>
          <w:bCs/>
          <w:color w:val="auto"/>
          <w:sz w:val="21"/>
          <w:szCs w:val="21"/>
        </w:rPr>
        <w:t>的名称须与购买</w:t>
      </w:r>
      <w:r>
        <w:rPr>
          <w:rFonts w:hint="eastAsia" w:ascii="宋体" w:hAnsi="宋体" w:eastAsia="宋体" w:cs="宋体"/>
          <w:b w:val="0"/>
          <w:bCs/>
          <w:color w:val="auto"/>
          <w:sz w:val="21"/>
          <w:szCs w:val="21"/>
          <w:lang w:eastAsia="zh-CN"/>
        </w:rPr>
        <w:t>单一来源采购文件</w:t>
      </w:r>
      <w:r>
        <w:rPr>
          <w:rFonts w:hint="eastAsia" w:ascii="宋体" w:hAnsi="宋体" w:eastAsia="宋体" w:cs="宋体"/>
          <w:b w:val="0"/>
          <w:bCs/>
          <w:color w:val="auto"/>
          <w:sz w:val="21"/>
          <w:szCs w:val="21"/>
        </w:rPr>
        <w:t>的名称相一致，除能提供工商管理部门出具的单位名称变更证明外，否则代理机构将拒绝接收</w:t>
      </w:r>
      <w:r>
        <w:rPr>
          <w:rFonts w:hint="eastAsia" w:ascii="宋体" w:hAnsi="宋体" w:eastAsia="宋体" w:cs="宋体"/>
          <w:b w:val="0"/>
          <w:bCs/>
          <w:color w:val="auto"/>
          <w:sz w:val="21"/>
          <w:szCs w:val="21"/>
          <w:lang w:eastAsia="zh-CN"/>
        </w:rPr>
        <w:t>响应文件</w:t>
      </w:r>
      <w:r>
        <w:rPr>
          <w:rFonts w:hint="eastAsia" w:ascii="宋体" w:hAnsi="宋体" w:eastAsia="宋体" w:cs="宋体"/>
          <w:b w:val="0"/>
          <w:bCs/>
          <w:color w:val="auto"/>
          <w:sz w:val="21"/>
          <w:szCs w:val="21"/>
        </w:rPr>
        <w:t>。</w:t>
      </w:r>
    </w:p>
    <w:p w14:paraId="2B1A9D85">
      <w:pPr>
        <w:pStyle w:val="15"/>
        <w:ind w:left="0" w:leftChars="0" w:firstLine="420" w:firstLineChars="200"/>
        <w:jc w:val="left"/>
        <w:outlineLvl w:val="2"/>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6.2供应商应在</w:t>
      </w:r>
      <w:r>
        <w:rPr>
          <w:rFonts w:hint="eastAsia" w:ascii="宋体" w:hAnsi="宋体" w:eastAsia="宋体" w:cs="宋体"/>
          <w:b w:val="0"/>
          <w:bCs/>
          <w:color w:val="auto"/>
          <w:sz w:val="21"/>
          <w:szCs w:val="21"/>
          <w:lang w:eastAsia="zh-CN"/>
        </w:rPr>
        <w:t>单一来源采购文件</w:t>
      </w:r>
      <w:r>
        <w:rPr>
          <w:rFonts w:hint="eastAsia" w:ascii="宋体" w:hAnsi="宋体" w:eastAsia="宋体" w:cs="宋体"/>
          <w:b w:val="0"/>
          <w:bCs/>
          <w:color w:val="auto"/>
          <w:sz w:val="21"/>
          <w:szCs w:val="21"/>
        </w:rPr>
        <w:t>获取期限内获取</w:t>
      </w:r>
      <w:r>
        <w:rPr>
          <w:rFonts w:hint="eastAsia" w:ascii="宋体" w:hAnsi="宋体" w:eastAsia="宋体" w:cs="宋体"/>
          <w:b w:val="0"/>
          <w:bCs/>
          <w:color w:val="auto"/>
          <w:sz w:val="21"/>
          <w:szCs w:val="21"/>
          <w:lang w:eastAsia="zh-CN"/>
        </w:rPr>
        <w:t>单一来源采购文件</w:t>
      </w:r>
      <w:r>
        <w:rPr>
          <w:rFonts w:hint="eastAsia" w:ascii="宋体" w:hAnsi="宋体" w:eastAsia="宋体" w:cs="宋体"/>
          <w:b w:val="0"/>
          <w:bCs/>
          <w:color w:val="auto"/>
          <w:sz w:val="21"/>
          <w:szCs w:val="21"/>
        </w:rPr>
        <w:t>，否则投标将被拒绝。</w:t>
      </w:r>
    </w:p>
    <w:p w14:paraId="01A9BFEE">
      <w:pPr>
        <w:pStyle w:val="15"/>
        <w:ind w:left="0" w:leftChars="0" w:firstLine="420" w:firstLineChars="200"/>
        <w:jc w:val="left"/>
        <w:outlineLvl w:val="2"/>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6.3获取地点：福建省泉州市丰泽区东海泰禾广场13栋2212。</w:t>
      </w:r>
    </w:p>
    <w:p w14:paraId="4D2D3462">
      <w:pPr>
        <w:pStyle w:val="15"/>
        <w:ind w:left="0" w:leftChars="0" w:firstLine="420" w:firstLineChars="200"/>
        <w:jc w:val="left"/>
        <w:outlineLvl w:val="2"/>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6.4获取方式：通过邮件办理，将报名供应商相关信息（公司名称、联系人、公司电话、手机、传真、电子邮箱、公司地址、参与投标的项目名称及</w:t>
      </w:r>
      <w:r>
        <w:rPr>
          <w:rFonts w:hint="eastAsia" w:ascii="宋体" w:hAnsi="宋体" w:eastAsia="宋体" w:cs="宋体"/>
          <w:b w:val="0"/>
          <w:bCs/>
          <w:color w:val="auto"/>
          <w:sz w:val="21"/>
          <w:szCs w:val="21"/>
          <w:lang w:eastAsia="zh-CN"/>
        </w:rPr>
        <w:t>单一来源采购文件</w:t>
      </w:r>
      <w:r>
        <w:rPr>
          <w:rFonts w:hint="eastAsia" w:ascii="宋体" w:hAnsi="宋体" w:eastAsia="宋体" w:cs="宋体"/>
          <w:b w:val="0"/>
          <w:bCs/>
          <w:color w:val="auto"/>
          <w:sz w:val="21"/>
          <w:szCs w:val="21"/>
        </w:rPr>
        <w:t>编号）填写清楚发邮件至我司。邮箱：2578254106@qq.com。</w:t>
      </w:r>
    </w:p>
    <w:p w14:paraId="5AE8FCAD">
      <w:pPr>
        <w:pStyle w:val="15"/>
        <w:ind w:left="0" w:leftChars="0" w:firstLine="420" w:firstLineChars="200"/>
        <w:jc w:val="left"/>
        <w:outlineLvl w:val="2"/>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6.4</w:t>
      </w:r>
      <w:r>
        <w:rPr>
          <w:rFonts w:hint="eastAsia" w:ascii="宋体" w:hAnsi="宋体" w:eastAsia="宋体" w:cs="宋体"/>
          <w:b w:val="0"/>
          <w:bCs/>
          <w:color w:val="auto"/>
          <w:sz w:val="21"/>
          <w:szCs w:val="21"/>
          <w:lang w:eastAsia="zh-CN"/>
        </w:rPr>
        <w:t>单一来源采购文件</w:t>
      </w:r>
      <w:r>
        <w:rPr>
          <w:rFonts w:hint="eastAsia" w:ascii="宋体" w:hAnsi="宋体" w:eastAsia="宋体" w:cs="宋体"/>
          <w:b w:val="0"/>
          <w:bCs/>
          <w:color w:val="auto"/>
          <w:sz w:val="21"/>
          <w:szCs w:val="21"/>
        </w:rPr>
        <w:t>售价：0元。</w:t>
      </w:r>
    </w:p>
    <w:p w14:paraId="284F1647">
      <w:pPr>
        <w:pStyle w:val="15"/>
        <w:ind w:left="0" w:leftChars="0" w:firstLine="422" w:firstLineChars="20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7、提交响应文件截止时间及提交响应文件地点：</w:t>
      </w:r>
    </w:p>
    <w:p w14:paraId="1AD46771">
      <w:pPr>
        <w:pStyle w:val="15"/>
        <w:snapToGrid w:val="0"/>
        <w:spacing w:line="276" w:lineRule="auto"/>
        <w:ind w:firstLine="420" w:firstLineChars="200"/>
        <w:jc w:val="both"/>
        <w:rPr>
          <w:rFonts w:hint="default" w:ascii="宋体" w:hAnsi="宋体" w:eastAsia="宋体" w:cs="宋体"/>
          <w:bCs/>
          <w:color w:val="auto"/>
          <w:sz w:val="21"/>
          <w:szCs w:val="21"/>
        </w:rPr>
      </w:pPr>
      <w:r>
        <w:rPr>
          <w:rFonts w:ascii="宋体" w:hAnsi="宋体" w:eastAsia="宋体" w:cs="宋体"/>
          <w:bCs/>
          <w:color w:val="auto"/>
          <w:sz w:val="21"/>
          <w:szCs w:val="21"/>
          <w:lang w:eastAsia="zh-CN"/>
        </w:rPr>
        <w:t>7</w:t>
      </w:r>
      <w:r>
        <w:rPr>
          <w:rFonts w:ascii="宋体" w:hAnsi="宋体" w:eastAsia="宋体" w:cs="宋体"/>
          <w:bCs/>
          <w:color w:val="auto"/>
          <w:sz w:val="21"/>
          <w:szCs w:val="21"/>
        </w:rPr>
        <w:t>.1</w:t>
      </w:r>
      <w:r>
        <w:rPr>
          <w:rFonts w:hint="eastAsia" w:ascii="宋体" w:hAnsi="宋体" w:eastAsia="宋体" w:cs="宋体"/>
          <w:bCs/>
          <w:color w:val="auto"/>
          <w:sz w:val="21"/>
          <w:szCs w:val="21"/>
          <w:lang w:val="en-US" w:eastAsia="zh-CN"/>
        </w:rPr>
        <w:t>提交响应文件</w:t>
      </w:r>
      <w:r>
        <w:rPr>
          <w:rFonts w:ascii="宋体" w:hAnsi="宋体" w:eastAsia="宋体" w:cs="宋体"/>
          <w:bCs/>
          <w:color w:val="auto"/>
          <w:sz w:val="21"/>
          <w:szCs w:val="21"/>
        </w:rPr>
        <w:t>截止时间：202</w:t>
      </w:r>
      <w:r>
        <w:rPr>
          <w:rFonts w:hint="eastAsia" w:ascii="宋体" w:hAnsi="宋体" w:eastAsia="宋体" w:cs="宋体"/>
          <w:bCs/>
          <w:color w:val="auto"/>
          <w:sz w:val="21"/>
          <w:szCs w:val="21"/>
          <w:lang w:val="en-US" w:eastAsia="zh-CN"/>
        </w:rPr>
        <w:t>5</w:t>
      </w:r>
      <w:r>
        <w:rPr>
          <w:rFonts w:ascii="宋体" w:hAnsi="宋体" w:eastAsia="宋体" w:cs="宋体"/>
          <w:bCs/>
          <w:color w:val="auto"/>
          <w:sz w:val="21"/>
          <w:szCs w:val="21"/>
        </w:rPr>
        <w:t>年</w:t>
      </w:r>
      <w:r>
        <w:rPr>
          <w:rFonts w:hint="eastAsia" w:ascii="宋体" w:hAnsi="宋体" w:eastAsia="宋体" w:cs="宋体"/>
          <w:bCs/>
          <w:color w:val="auto"/>
          <w:sz w:val="21"/>
          <w:szCs w:val="21"/>
          <w:lang w:val="en-US" w:eastAsia="zh-CN"/>
        </w:rPr>
        <w:t>5</w:t>
      </w:r>
      <w:r>
        <w:rPr>
          <w:rFonts w:ascii="宋体" w:hAnsi="宋体" w:eastAsia="宋体" w:cs="宋体"/>
          <w:bCs/>
          <w:color w:val="auto"/>
          <w:sz w:val="21"/>
          <w:szCs w:val="21"/>
        </w:rPr>
        <w:t>月</w:t>
      </w:r>
      <w:r>
        <w:rPr>
          <w:rFonts w:hint="eastAsia" w:ascii="宋体" w:hAnsi="宋体" w:eastAsia="宋体" w:cs="宋体"/>
          <w:bCs/>
          <w:color w:val="auto"/>
          <w:sz w:val="21"/>
          <w:szCs w:val="21"/>
          <w:lang w:val="en-US" w:eastAsia="zh-CN"/>
        </w:rPr>
        <w:t>7</w:t>
      </w:r>
      <w:r>
        <w:rPr>
          <w:rFonts w:ascii="宋体" w:hAnsi="宋体" w:eastAsia="宋体" w:cs="宋体"/>
          <w:bCs/>
          <w:color w:val="auto"/>
          <w:sz w:val="21"/>
          <w:szCs w:val="21"/>
        </w:rPr>
        <w:t>日</w:t>
      </w:r>
      <w:r>
        <w:rPr>
          <w:rFonts w:hint="eastAsia" w:ascii="宋体" w:hAnsi="宋体" w:eastAsia="宋体" w:cs="宋体"/>
          <w:bCs/>
          <w:color w:val="auto"/>
          <w:sz w:val="21"/>
          <w:szCs w:val="21"/>
          <w:lang w:val="en-US" w:eastAsia="zh-CN"/>
        </w:rPr>
        <w:t>09：30</w:t>
      </w:r>
      <w:r>
        <w:rPr>
          <w:rFonts w:ascii="宋体" w:hAnsi="宋体" w:eastAsia="宋体" w:cs="宋体"/>
          <w:bCs/>
          <w:color w:val="auto"/>
          <w:sz w:val="21"/>
          <w:szCs w:val="21"/>
        </w:rPr>
        <w:t>（北京时间）。</w:t>
      </w:r>
    </w:p>
    <w:p w14:paraId="7FEEA4A3">
      <w:pPr>
        <w:pStyle w:val="15"/>
        <w:snapToGrid w:val="0"/>
        <w:spacing w:line="276" w:lineRule="auto"/>
        <w:ind w:firstLine="420" w:firstLineChars="200"/>
        <w:jc w:val="both"/>
        <w:rPr>
          <w:rFonts w:hint="default" w:ascii="宋体" w:hAnsi="宋体" w:eastAsia="宋体" w:cs="宋体"/>
          <w:bCs/>
          <w:color w:val="auto"/>
          <w:sz w:val="21"/>
          <w:szCs w:val="21"/>
        </w:rPr>
      </w:pPr>
      <w:r>
        <w:rPr>
          <w:rFonts w:ascii="宋体" w:hAnsi="宋体" w:eastAsia="宋体" w:cs="宋体"/>
          <w:bCs/>
          <w:color w:val="auto"/>
          <w:sz w:val="21"/>
          <w:szCs w:val="21"/>
          <w:lang w:eastAsia="zh-CN"/>
        </w:rPr>
        <w:t>7</w:t>
      </w:r>
      <w:r>
        <w:rPr>
          <w:rFonts w:ascii="宋体" w:hAnsi="宋体" w:eastAsia="宋体" w:cs="宋体"/>
          <w:bCs/>
          <w:color w:val="auto"/>
          <w:sz w:val="21"/>
          <w:szCs w:val="21"/>
        </w:rPr>
        <w:t>.2</w:t>
      </w:r>
      <w:r>
        <w:rPr>
          <w:rFonts w:hint="eastAsia" w:ascii="宋体" w:hAnsi="宋体" w:eastAsia="宋体" w:cs="宋体"/>
          <w:bCs/>
          <w:color w:val="auto"/>
          <w:sz w:val="21"/>
          <w:szCs w:val="21"/>
          <w:lang w:val="en-US" w:eastAsia="zh-CN"/>
        </w:rPr>
        <w:t>供应商</w:t>
      </w:r>
      <w:r>
        <w:rPr>
          <w:rFonts w:ascii="宋体" w:hAnsi="宋体" w:eastAsia="宋体" w:cs="宋体"/>
          <w:bCs/>
          <w:color w:val="auto"/>
          <w:sz w:val="21"/>
          <w:szCs w:val="21"/>
        </w:rPr>
        <w:t>应在</w:t>
      </w:r>
      <w:r>
        <w:rPr>
          <w:rFonts w:hint="eastAsia" w:ascii="宋体" w:hAnsi="宋体" w:eastAsia="宋体" w:cs="宋体"/>
          <w:bCs/>
          <w:color w:val="auto"/>
          <w:sz w:val="21"/>
          <w:szCs w:val="21"/>
          <w:lang w:val="en-US" w:eastAsia="zh-CN"/>
        </w:rPr>
        <w:t>提交响应文件</w:t>
      </w:r>
      <w:r>
        <w:rPr>
          <w:rFonts w:ascii="宋体" w:hAnsi="宋体" w:eastAsia="宋体" w:cs="宋体"/>
          <w:bCs/>
          <w:color w:val="auto"/>
          <w:sz w:val="21"/>
          <w:szCs w:val="21"/>
        </w:rPr>
        <w:t>截止时间前将密封的</w:t>
      </w:r>
      <w:r>
        <w:rPr>
          <w:rFonts w:hint="eastAsia" w:ascii="宋体" w:hAnsi="宋体" w:eastAsia="宋体" w:cs="宋体"/>
          <w:bCs/>
          <w:color w:val="auto"/>
          <w:sz w:val="21"/>
          <w:szCs w:val="21"/>
          <w:lang w:val="en-US" w:eastAsia="zh-CN"/>
        </w:rPr>
        <w:t>响应</w:t>
      </w:r>
      <w:r>
        <w:rPr>
          <w:rFonts w:ascii="宋体" w:hAnsi="宋体" w:eastAsia="宋体" w:cs="宋体"/>
          <w:bCs/>
          <w:color w:val="auto"/>
          <w:sz w:val="21"/>
          <w:szCs w:val="21"/>
        </w:rPr>
        <w:t>文件送达，否则投标将被拒绝。</w:t>
      </w:r>
    </w:p>
    <w:p w14:paraId="3E99759F">
      <w:pPr>
        <w:pStyle w:val="15"/>
        <w:ind w:left="0" w:leftChars="0" w:firstLine="422" w:firstLineChars="20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8、协商时间及协商地点：</w:t>
      </w:r>
    </w:p>
    <w:p w14:paraId="250DC002">
      <w:pPr>
        <w:pStyle w:val="15"/>
        <w:snapToGrid w:val="0"/>
        <w:spacing w:line="276" w:lineRule="auto"/>
        <w:ind w:firstLine="420" w:firstLineChars="200"/>
        <w:jc w:val="both"/>
        <w:rPr>
          <w:rFonts w:hint="default" w:ascii="宋体" w:hAnsi="宋体" w:eastAsia="宋体" w:cs="宋体"/>
          <w:bCs/>
          <w:color w:val="auto"/>
          <w:sz w:val="21"/>
          <w:szCs w:val="21"/>
        </w:rPr>
      </w:pPr>
      <w:r>
        <w:rPr>
          <w:rFonts w:hint="eastAsia" w:ascii="宋体" w:hAnsi="宋体" w:eastAsia="宋体" w:cs="宋体"/>
          <w:color w:val="auto"/>
          <w:sz w:val="21"/>
          <w:szCs w:val="21"/>
        </w:rPr>
        <w:t>协商</w:t>
      </w:r>
      <w:r>
        <w:rPr>
          <w:rFonts w:ascii="宋体" w:hAnsi="宋体" w:eastAsia="宋体" w:cs="宋体"/>
          <w:bCs/>
          <w:color w:val="auto"/>
          <w:sz w:val="21"/>
          <w:szCs w:val="21"/>
          <w:lang w:eastAsia="zh-CN"/>
        </w:rPr>
        <w:t>时间：</w:t>
      </w:r>
      <w:r>
        <w:rPr>
          <w:rFonts w:ascii="宋体" w:hAnsi="宋体" w:eastAsia="宋体" w:cs="宋体"/>
          <w:bCs/>
          <w:color w:val="auto"/>
          <w:sz w:val="21"/>
          <w:szCs w:val="21"/>
        </w:rPr>
        <w:t>202</w:t>
      </w:r>
      <w:r>
        <w:rPr>
          <w:rFonts w:hint="eastAsia" w:ascii="宋体" w:hAnsi="宋体" w:eastAsia="宋体" w:cs="宋体"/>
          <w:bCs/>
          <w:color w:val="auto"/>
          <w:sz w:val="21"/>
          <w:szCs w:val="21"/>
          <w:lang w:val="en-US" w:eastAsia="zh-CN"/>
        </w:rPr>
        <w:t>5</w:t>
      </w:r>
      <w:r>
        <w:rPr>
          <w:rFonts w:ascii="宋体" w:hAnsi="宋体" w:eastAsia="宋体" w:cs="宋体"/>
          <w:bCs/>
          <w:color w:val="auto"/>
          <w:sz w:val="21"/>
          <w:szCs w:val="21"/>
        </w:rPr>
        <w:t>年</w:t>
      </w:r>
      <w:r>
        <w:rPr>
          <w:rFonts w:hint="eastAsia" w:ascii="宋体" w:hAnsi="宋体" w:eastAsia="宋体" w:cs="宋体"/>
          <w:bCs/>
          <w:color w:val="auto"/>
          <w:sz w:val="21"/>
          <w:szCs w:val="21"/>
          <w:lang w:val="en-US" w:eastAsia="zh-CN"/>
        </w:rPr>
        <w:t>5</w:t>
      </w:r>
      <w:r>
        <w:rPr>
          <w:rFonts w:ascii="宋体" w:hAnsi="宋体" w:eastAsia="宋体" w:cs="宋体"/>
          <w:bCs/>
          <w:color w:val="auto"/>
          <w:sz w:val="21"/>
          <w:szCs w:val="21"/>
        </w:rPr>
        <w:t>月</w:t>
      </w:r>
      <w:r>
        <w:rPr>
          <w:rFonts w:hint="eastAsia" w:ascii="宋体" w:hAnsi="宋体" w:eastAsia="宋体" w:cs="宋体"/>
          <w:bCs/>
          <w:color w:val="auto"/>
          <w:sz w:val="21"/>
          <w:szCs w:val="21"/>
          <w:lang w:val="en-US" w:eastAsia="zh-CN"/>
        </w:rPr>
        <w:t>7</w:t>
      </w:r>
      <w:r>
        <w:rPr>
          <w:rFonts w:ascii="宋体" w:hAnsi="宋体" w:eastAsia="宋体" w:cs="宋体"/>
          <w:bCs/>
          <w:color w:val="auto"/>
          <w:sz w:val="21"/>
          <w:szCs w:val="21"/>
        </w:rPr>
        <w:t>日</w:t>
      </w:r>
      <w:r>
        <w:rPr>
          <w:rFonts w:hint="eastAsia" w:ascii="宋体" w:hAnsi="宋体" w:eastAsia="宋体" w:cs="宋体"/>
          <w:bCs/>
          <w:color w:val="auto"/>
          <w:sz w:val="21"/>
          <w:szCs w:val="21"/>
          <w:lang w:val="en-US" w:eastAsia="zh-CN"/>
        </w:rPr>
        <w:t>09：30</w:t>
      </w:r>
      <w:bookmarkStart w:id="0" w:name="_GoBack"/>
      <w:bookmarkEnd w:id="0"/>
      <w:r>
        <w:rPr>
          <w:rFonts w:ascii="宋体" w:hAnsi="宋体" w:eastAsia="宋体" w:cs="宋体"/>
          <w:bCs/>
          <w:color w:val="auto"/>
          <w:sz w:val="21"/>
          <w:szCs w:val="21"/>
        </w:rPr>
        <w:t>（北京时间）。</w:t>
      </w:r>
    </w:p>
    <w:p w14:paraId="480A887E">
      <w:pPr>
        <w:pStyle w:val="15"/>
        <w:snapToGrid w:val="0"/>
        <w:spacing w:line="276" w:lineRule="auto"/>
        <w:ind w:firstLine="420" w:firstLineChars="200"/>
        <w:jc w:val="both"/>
        <w:rPr>
          <w:rFonts w:hint="default" w:ascii="宋体" w:hAnsi="宋体" w:eastAsia="宋体" w:cs="宋体"/>
          <w:bCs/>
          <w:color w:val="auto"/>
          <w:sz w:val="21"/>
          <w:szCs w:val="21"/>
          <w:lang w:eastAsia="zh-CN"/>
        </w:rPr>
      </w:pPr>
      <w:r>
        <w:rPr>
          <w:rFonts w:hint="eastAsia" w:ascii="宋体" w:hAnsi="宋体" w:eastAsia="宋体" w:cs="宋体"/>
          <w:color w:val="auto"/>
          <w:sz w:val="21"/>
          <w:szCs w:val="21"/>
        </w:rPr>
        <w:t>协商</w:t>
      </w:r>
      <w:r>
        <w:rPr>
          <w:rFonts w:ascii="宋体" w:hAnsi="宋体" w:eastAsia="宋体" w:cs="宋体"/>
          <w:bCs/>
          <w:color w:val="auto"/>
          <w:sz w:val="21"/>
          <w:szCs w:val="21"/>
          <w:lang w:eastAsia="zh-CN"/>
        </w:rPr>
        <w:t>地点：福建省泉州市丰泽区东海泰禾广场13栋2212福建中实招标有限公司。</w:t>
      </w:r>
    </w:p>
    <w:p w14:paraId="2E5AF851">
      <w:pPr>
        <w:pStyle w:val="15"/>
        <w:ind w:left="0" w:leftChars="0" w:firstLine="422" w:firstLineChars="200"/>
        <w:jc w:val="left"/>
        <w:outlineLvl w:val="2"/>
        <w:rPr>
          <w:rFonts w:hint="eastAsia" w:ascii="宋体" w:hAnsi="宋体" w:eastAsia="宋体" w:cs="宋体"/>
          <w:b/>
          <w:color w:val="auto"/>
          <w:sz w:val="21"/>
          <w:szCs w:val="21"/>
        </w:rPr>
      </w:pPr>
      <w:r>
        <w:rPr>
          <w:rFonts w:hint="eastAsia" w:ascii="宋体" w:hAnsi="宋体" w:eastAsia="宋体" w:cs="宋体"/>
          <w:b/>
          <w:color w:val="auto"/>
          <w:sz w:val="21"/>
          <w:szCs w:val="21"/>
        </w:rPr>
        <w:t>9、以上如有变更，我公司将通过下列媒体通知，请各潜在</w:t>
      </w:r>
      <w:r>
        <w:rPr>
          <w:rFonts w:hint="eastAsia" w:ascii="宋体" w:hAnsi="宋体" w:eastAsia="宋体" w:cs="宋体"/>
          <w:b/>
          <w:color w:val="auto"/>
          <w:sz w:val="21"/>
          <w:szCs w:val="21"/>
          <w:lang w:eastAsia="zh-CN"/>
        </w:rPr>
        <w:t>供应商</w:t>
      </w:r>
      <w:r>
        <w:rPr>
          <w:rFonts w:hint="eastAsia" w:ascii="宋体" w:hAnsi="宋体" w:eastAsia="宋体" w:cs="宋体"/>
          <w:b/>
          <w:color w:val="auto"/>
          <w:sz w:val="21"/>
          <w:szCs w:val="21"/>
        </w:rPr>
        <w:t>及时关注：</w:t>
      </w:r>
    </w:p>
    <w:p w14:paraId="1DEA8CBD">
      <w:pPr>
        <w:pStyle w:val="15"/>
        <w:ind w:left="0" w:leftChars="0" w:firstLine="422" w:firstLineChars="20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工采通电子招投标交易平台（https://easy-prt.com）</w:t>
      </w:r>
    </w:p>
    <w:p w14:paraId="0BEB125E">
      <w:pPr>
        <w:pStyle w:val="15"/>
        <w:ind w:left="0" w:leftChars="0" w:firstLine="422" w:firstLineChars="20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10、联系方式</w:t>
      </w:r>
    </w:p>
    <w:p w14:paraId="45236A1C">
      <w:pPr>
        <w:pStyle w:val="15"/>
        <w:ind w:left="0" w:leftChars="0" w:firstLine="422" w:firstLineChars="200"/>
        <w:jc w:val="left"/>
        <w:outlineLvl w:val="2"/>
        <w:rPr>
          <w:rFonts w:hint="eastAsia" w:ascii="宋体" w:hAnsi="宋体" w:eastAsia="宋体" w:cs="宋体"/>
          <w:color w:val="auto"/>
          <w:sz w:val="21"/>
          <w:szCs w:val="21"/>
          <w:lang w:eastAsia="zh-CN"/>
        </w:rPr>
      </w:pPr>
      <w:r>
        <w:rPr>
          <w:rFonts w:hint="eastAsia" w:ascii="宋体" w:hAnsi="宋体" w:eastAsia="宋体" w:cs="宋体"/>
          <w:b/>
          <w:color w:val="auto"/>
          <w:sz w:val="21"/>
          <w:szCs w:val="21"/>
        </w:rPr>
        <w:t>采购人：</w:t>
      </w:r>
      <w:r>
        <w:rPr>
          <w:rFonts w:hint="eastAsia" w:ascii="宋体" w:hAnsi="宋体" w:eastAsia="宋体" w:cs="宋体"/>
          <w:b/>
          <w:color w:val="auto"/>
          <w:sz w:val="21"/>
          <w:szCs w:val="21"/>
          <w:lang w:eastAsia="zh-CN"/>
        </w:rPr>
        <w:t>泉州师范学院</w:t>
      </w:r>
    </w:p>
    <w:p w14:paraId="195C8B51">
      <w:pPr>
        <w:pStyle w:val="15"/>
        <w:snapToGrid w:val="0"/>
        <w:spacing w:line="276" w:lineRule="auto"/>
        <w:ind w:firstLine="420" w:firstLineChars="200"/>
        <w:rPr>
          <w:rFonts w:hint="eastAsia" w:ascii="宋体" w:hAnsi="宋体" w:eastAsia="宋体" w:cs="宋体"/>
          <w:bCs/>
          <w:color w:val="auto"/>
          <w:sz w:val="21"/>
          <w:szCs w:val="21"/>
          <w:lang w:eastAsia="zh-CN"/>
        </w:rPr>
      </w:pPr>
      <w:r>
        <w:rPr>
          <w:rFonts w:ascii="宋体" w:hAnsi="宋体" w:eastAsia="宋体" w:cs="宋体"/>
          <w:bCs/>
          <w:color w:val="auto"/>
          <w:sz w:val="21"/>
          <w:szCs w:val="21"/>
        </w:rPr>
        <w:t>地址：</w:t>
      </w:r>
      <w:r>
        <w:rPr>
          <w:rFonts w:hint="eastAsia" w:ascii="宋体" w:hAnsi="宋体" w:eastAsia="宋体" w:cs="宋体"/>
          <w:color w:val="auto"/>
          <w:lang w:eastAsia="zh-CN"/>
        </w:rPr>
        <w:t>福建省泉州市丰泽区东海大街398号</w:t>
      </w:r>
    </w:p>
    <w:p w14:paraId="2A171E05">
      <w:pPr>
        <w:pStyle w:val="15"/>
        <w:snapToGrid w:val="0"/>
        <w:spacing w:line="276" w:lineRule="auto"/>
        <w:ind w:firstLine="420" w:firstLineChars="200"/>
        <w:rPr>
          <w:rFonts w:hint="eastAsia" w:ascii="宋体" w:hAnsi="宋体" w:eastAsia="宋体" w:cs="宋体"/>
          <w:bCs/>
          <w:color w:val="auto"/>
          <w:sz w:val="21"/>
          <w:szCs w:val="21"/>
          <w:lang w:val="en-US" w:eastAsia="zh-CN"/>
        </w:rPr>
      </w:pPr>
      <w:r>
        <w:rPr>
          <w:rFonts w:ascii="宋体" w:hAnsi="宋体" w:eastAsia="宋体" w:cs="宋体"/>
          <w:bCs/>
          <w:color w:val="auto"/>
          <w:sz w:val="21"/>
          <w:szCs w:val="21"/>
        </w:rPr>
        <w:t>邮编：3</w:t>
      </w:r>
      <w:r>
        <w:rPr>
          <w:rFonts w:hint="eastAsia" w:ascii="宋体" w:hAnsi="宋体" w:eastAsia="宋体" w:cs="宋体"/>
          <w:bCs/>
          <w:color w:val="auto"/>
          <w:sz w:val="21"/>
          <w:szCs w:val="21"/>
          <w:lang w:val="en-US" w:eastAsia="zh-CN"/>
        </w:rPr>
        <w:t>62</w:t>
      </w:r>
      <w:r>
        <w:rPr>
          <w:rFonts w:ascii="宋体" w:hAnsi="宋体" w:eastAsia="宋体" w:cs="宋体"/>
          <w:bCs/>
          <w:color w:val="auto"/>
          <w:sz w:val="21"/>
          <w:szCs w:val="21"/>
        </w:rPr>
        <w:t>00</w:t>
      </w:r>
      <w:r>
        <w:rPr>
          <w:rFonts w:hint="eastAsia" w:ascii="宋体" w:hAnsi="宋体" w:eastAsia="宋体" w:cs="宋体"/>
          <w:bCs/>
          <w:color w:val="auto"/>
          <w:sz w:val="21"/>
          <w:szCs w:val="21"/>
          <w:lang w:val="en-US" w:eastAsia="zh-CN"/>
        </w:rPr>
        <w:t>0</w:t>
      </w:r>
    </w:p>
    <w:p w14:paraId="1BA3B606">
      <w:pPr>
        <w:pStyle w:val="15"/>
        <w:snapToGrid w:val="0"/>
        <w:spacing w:line="276" w:lineRule="auto"/>
        <w:ind w:firstLine="420" w:firstLineChars="200"/>
        <w:rPr>
          <w:rFonts w:hint="default" w:ascii="宋体" w:hAnsi="宋体" w:eastAsia="宋体" w:cs="宋体"/>
          <w:bCs/>
          <w:color w:val="auto"/>
          <w:sz w:val="21"/>
          <w:szCs w:val="21"/>
          <w:lang w:eastAsia="zh-CN"/>
        </w:rPr>
      </w:pPr>
      <w:r>
        <w:rPr>
          <w:rFonts w:ascii="宋体" w:hAnsi="宋体" w:eastAsia="宋体" w:cs="宋体"/>
          <w:bCs/>
          <w:color w:val="auto"/>
          <w:sz w:val="21"/>
          <w:szCs w:val="21"/>
        </w:rPr>
        <w:t>联系人：</w:t>
      </w:r>
      <w:r>
        <w:rPr>
          <w:rFonts w:hint="eastAsia" w:ascii="宋体" w:hAnsi="宋体" w:eastAsia="宋体" w:cs="宋体"/>
          <w:bCs/>
          <w:color w:val="auto"/>
          <w:sz w:val="21"/>
          <w:szCs w:val="21"/>
          <w:lang w:eastAsia="zh-CN"/>
        </w:rPr>
        <w:t>陈老师</w:t>
      </w:r>
    </w:p>
    <w:p w14:paraId="3FD15613">
      <w:pPr>
        <w:pStyle w:val="15"/>
        <w:snapToGrid w:val="0"/>
        <w:spacing w:line="276" w:lineRule="auto"/>
        <w:ind w:firstLine="420" w:firstLineChars="200"/>
        <w:rPr>
          <w:rFonts w:hint="default" w:ascii="宋体" w:hAnsi="宋体" w:cs="宋体" w:eastAsiaTheme="minorEastAsia"/>
          <w:bCs/>
          <w:color w:val="auto"/>
          <w:sz w:val="21"/>
          <w:szCs w:val="21"/>
          <w:lang w:val="en-US" w:eastAsia="zh-CN"/>
        </w:rPr>
      </w:pPr>
      <w:r>
        <w:rPr>
          <w:rFonts w:ascii="宋体" w:hAnsi="宋体" w:eastAsia="宋体" w:cs="宋体"/>
          <w:bCs/>
          <w:color w:val="auto"/>
          <w:sz w:val="21"/>
          <w:szCs w:val="21"/>
        </w:rPr>
        <w:t>联系电话：</w:t>
      </w:r>
      <w:r>
        <w:rPr>
          <w:rFonts w:ascii="宋体" w:hAnsi="宋体" w:cs="宋体"/>
          <w:color w:val="auto"/>
        </w:rPr>
        <w:t>0595-22</w:t>
      </w:r>
      <w:r>
        <w:rPr>
          <w:rFonts w:hint="eastAsia" w:ascii="宋体" w:hAnsi="宋体" w:cs="宋体"/>
          <w:color w:val="auto"/>
          <w:lang w:val="en-US" w:eastAsia="zh-CN"/>
        </w:rPr>
        <w:t>919532</w:t>
      </w:r>
    </w:p>
    <w:p w14:paraId="71D98D1C">
      <w:pPr>
        <w:pStyle w:val="15"/>
        <w:ind w:left="0" w:leftChars="0" w:firstLine="420" w:firstLineChars="200"/>
        <w:jc w:val="left"/>
        <w:rPr>
          <w:rFonts w:hint="eastAsia" w:ascii="宋体" w:hAnsi="宋体" w:eastAsia="宋体" w:cs="宋体"/>
          <w:color w:val="auto"/>
          <w:sz w:val="21"/>
          <w:szCs w:val="21"/>
        </w:rPr>
      </w:pPr>
    </w:p>
    <w:p w14:paraId="4575517E">
      <w:pPr>
        <w:pStyle w:val="15"/>
        <w:ind w:left="0" w:leftChars="0" w:firstLine="422" w:firstLineChars="20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代理机构：福建中实招标有限公司</w:t>
      </w:r>
    </w:p>
    <w:p w14:paraId="7F62526F">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地址：福州市鼓楼区温泉街道华林路201号华林大厦10层02室</w:t>
      </w:r>
    </w:p>
    <w:p w14:paraId="3F2A85F2">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邮编：350003</w:t>
      </w:r>
    </w:p>
    <w:p w14:paraId="6196E8F5">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联系人：郑玲、胡文姬、梁宇</w:t>
      </w:r>
    </w:p>
    <w:p w14:paraId="0AD7D5BB">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联系电话：0591-87767686-8612</w:t>
      </w:r>
    </w:p>
    <w:p w14:paraId="69D27BE4">
      <w:pPr>
        <w:pStyle w:val="15"/>
        <w:ind w:left="0" w:leftChars="0" w:firstLine="422" w:firstLineChars="200"/>
        <w:jc w:val="left"/>
        <w:outlineLvl w:val="2"/>
        <w:rPr>
          <w:rFonts w:hint="eastAsia" w:ascii="宋体" w:hAnsi="宋体" w:eastAsia="宋体" w:cs="宋体"/>
          <w:b/>
          <w:color w:val="auto"/>
          <w:sz w:val="21"/>
          <w:szCs w:val="21"/>
        </w:rPr>
      </w:pPr>
      <w:r>
        <w:rPr>
          <w:rFonts w:hint="eastAsia" w:ascii="宋体" w:hAnsi="宋体" w:eastAsia="宋体" w:cs="宋体"/>
          <w:b/>
          <w:color w:val="auto"/>
          <w:sz w:val="21"/>
          <w:szCs w:val="21"/>
        </w:rPr>
        <w:t>附1：账户信息</w:t>
      </w:r>
    </w:p>
    <w:p w14:paraId="3FB74C50">
      <w:pPr>
        <w:pStyle w:val="15"/>
        <w:ind w:left="0" w:leftChars="0" w:firstLine="420" w:firstLineChars="200"/>
        <w:jc w:val="left"/>
        <w:outlineLvl w:val="2"/>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开户名称：福建中实招标有限公司</w:t>
      </w:r>
    </w:p>
    <w:p w14:paraId="03E93416">
      <w:pPr>
        <w:pStyle w:val="15"/>
        <w:ind w:left="0" w:leftChars="0" w:firstLine="420" w:firstLineChars="200"/>
        <w:jc w:val="left"/>
        <w:outlineLvl w:val="2"/>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开户银行：交通银行福州华林支行</w:t>
      </w:r>
    </w:p>
    <w:p w14:paraId="779A3E2C">
      <w:pPr>
        <w:pStyle w:val="15"/>
        <w:ind w:left="0" w:leftChars="0" w:firstLine="420" w:firstLineChars="200"/>
        <w:jc w:val="left"/>
        <w:outlineLvl w:val="2"/>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银行账号：351008040018000752005</w:t>
      </w:r>
    </w:p>
    <w:p w14:paraId="1FF83C16">
      <w:pPr>
        <w:pStyle w:val="15"/>
        <w:ind w:left="0" w:leftChars="0" w:firstLine="422" w:firstLineChars="200"/>
        <w:jc w:val="left"/>
        <w:outlineLvl w:val="2"/>
        <w:rPr>
          <w:rFonts w:hint="eastAsia" w:ascii="宋体" w:hAnsi="宋体" w:eastAsia="宋体" w:cs="宋体"/>
          <w:b/>
          <w:color w:val="auto"/>
          <w:sz w:val="21"/>
          <w:szCs w:val="21"/>
        </w:rPr>
      </w:pPr>
    </w:p>
    <w:p w14:paraId="3383C153">
      <w:pPr>
        <w:pStyle w:val="15"/>
        <w:ind w:left="0" w:leftChars="0" w:firstLine="422" w:firstLineChars="20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附2：采购标的一览表</w:t>
      </w:r>
    </w:p>
    <w:p w14:paraId="33AEB0F3">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w:t>
      </w:r>
    </w:p>
    <w:p w14:paraId="04BDEBD4">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采购包预算金额（元）:</w:t>
      </w:r>
      <w:r>
        <w:rPr>
          <w:rFonts w:hint="eastAsia" w:ascii="宋体" w:hAnsi="宋体" w:eastAsia="宋体" w:cs="宋体"/>
          <w:color w:val="auto"/>
          <w:sz w:val="21"/>
          <w:szCs w:val="21"/>
          <w:lang w:val="en-US" w:eastAsia="zh-CN"/>
        </w:rPr>
        <w:t>312000</w:t>
      </w:r>
      <w:r>
        <w:rPr>
          <w:rFonts w:hint="eastAsia" w:ascii="宋体" w:hAnsi="宋体" w:eastAsia="宋体" w:cs="宋体"/>
          <w:color w:val="auto"/>
          <w:sz w:val="21"/>
          <w:szCs w:val="21"/>
        </w:rPr>
        <w:t>.00</w:t>
      </w:r>
    </w:p>
    <w:p w14:paraId="21BE0F9E">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采购包最高限价（元）:</w:t>
      </w:r>
      <w:r>
        <w:rPr>
          <w:rFonts w:hint="eastAsia" w:ascii="宋体" w:hAnsi="宋体" w:eastAsia="宋体" w:cs="宋体"/>
          <w:color w:val="auto"/>
          <w:sz w:val="21"/>
          <w:szCs w:val="21"/>
          <w:lang w:val="en-US" w:eastAsia="zh-CN"/>
        </w:rPr>
        <w:t>312000</w:t>
      </w:r>
      <w:r>
        <w:rPr>
          <w:rFonts w:hint="eastAsia" w:ascii="宋体" w:hAnsi="宋体" w:eastAsia="宋体" w:cs="宋体"/>
          <w:color w:val="auto"/>
          <w:sz w:val="21"/>
          <w:szCs w:val="21"/>
        </w:rPr>
        <w:t>.00</w:t>
      </w:r>
    </w:p>
    <w:p w14:paraId="46E3933D">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采购包保证金金额（元）:0.00</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2"/>
        <w:gridCol w:w="2038"/>
        <w:gridCol w:w="775"/>
        <w:gridCol w:w="1476"/>
        <w:gridCol w:w="1173"/>
        <w:gridCol w:w="1174"/>
        <w:gridCol w:w="1174"/>
      </w:tblGrid>
      <w:tr w14:paraId="21F0B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dxa"/>
          </w:tcPr>
          <w:p w14:paraId="14D050A0">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038" w:type="dxa"/>
          </w:tcPr>
          <w:p w14:paraId="10F742AC">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标的名称</w:t>
            </w:r>
          </w:p>
        </w:tc>
        <w:tc>
          <w:tcPr>
            <w:tcW w:w="775" w:type="dxa"/>
          </w:tcPr>
          <w:p w14:paraId="4F54287E">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1476" w:type="dxa"/>
          </w:tcPr>
          <w:p w14:paraId="50F1E8B3">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标的金额（元）</w:t>
            </w:r>
          </w:p>
        </w:tc>
        <w:tc>
          <w:tcPr>
            <w:tcW w:w="1173" w:type="dxa"/>
          </w:tcPr>
          <w:p w14:paraId="46AF5FDE">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1174" w:type="dxa"/>
          </w:tcPr>
          <w:p w14:paraId="2206D8DF">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所属行业</w:t>
            </w:r>
          </w:p>
        </w:tc>
        <w:tc>
          <w:tcPr>
            <w:tcW w:w="1174" w:type="dxa"/>
          </w:tcPr>
          <w:p w14:paraId="452C7308">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是否允许进口产品</w:t>
            </w:r>
          </w:p>
        </w:tc>
      </w:tr>
      <w:tr w14:paraId="479F2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dxa"/>
          </w:tcPr>
          <w:p w14:paraId="5056E9C4">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038" w:type="dxa"/>
          </w:tcPr>
          <w:p w14:paraId="137166FF">
            <w:pPr>
              <w:pStyle w:val="15"/>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泉州师范学院主校区电梯维保服务采购项目（奥的斯电梯）</w:t>
            </w:r>
          </w:p>
        </w:tc>
        <w:tc>
          <w:tcPr>
            <w:tcW w:w="775" w:type="dxa"/>
          </w:tcPr>
          <w:p w14:paraId="0B48BC47">
            <w:pPr>
              <w:pStyle w:val="15"/>
              <w:jc w:val="righ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476" w:type="dxa"/>
          </w:tcPr>
          <w:p w14:paraId="770606B9">
            <w:pPr>
              <w:pStyle w:val="15"/>
              <w:jc w:val="righ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312000</w:t>
            </w:r>
          </w:p>
        </w:tc>
        <w:tc>
          <w:tcPr>
            <w:tcW w:w="1173" w:type="dxa"/>
          </w:tcPr>
          <w:p w14:paraId="385B9CC8">
            <w:pPr>
              <w:pStyle w:val="15"/>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年</w:t>
            </w:r>
          </w:p>
        </w:tc>
        <w:tc>
          <w:tcPr>
            <w:tcW w:w="1174" w:type="dxa"/>
          </w:tcPr>
          <w:p w14:paraId="58BBCA6A">
            <w:pPr>
              <w:pStyle w:val="15"/>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其他未列明行业</w:t>
            </w:r>
          </w:p>
        </w:tc>
        <w:tc>
          <w:tcPr>
            <w:tcW w:w="1174" w:type="dxa"/>
          </w:tcPr>
          <w:p w14:paraId="7FBCE997">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bl>
    <w:p w14:paraId="6BC1E5F9">
      <w:pPr>
        <w:pStyle w:val="15"/>
        <w:ind w:left="420" w:leftChars="20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w:t>
      </w:r>
    </w:p>
    <w:p w14:paraId="4D6AA867">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采购包预算金额（元）:</w:t>
      </w:r>
      <w:r>
        <w:rPr>
          <w:rFonts w:hint="eastAsia" w:ascii="宋体" w:hAnsi="宋体" w:eastAsia="宋体" w:cs="宋体"/>
          <w:color w:val="auto"/>
          <w:sz w:val="21"/>
          <w:szCs w:val="21"/>
          <w:lang w:val="en-US" w:eastAsia="zh-CN"/>
        </w:rPr>
        <w:t>52800</w:t>
      </w:r>
      <w:r>
        <w:rPr>
          <w:rFonts w:hint="eastAsia" w:ascii="宋体" w:hAnsi="宋体" w:eastAsia="宋体" w:cs="宋体"/>
          <w:color w:val="auto"/>
          <w:sz w:val="21"/>
          <w:szCs w:val="21"/>
        </w:rPr>
        <w:t>.00</w:t>
      </w:r>
    </w:p>
    <w:p w14:paraId="30D5D6A4">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采购包最高限价（元）:</w:t>
      </w:r>
      <w:r>
        <w:rPr>
          <w:rFonts w:hint="eastAsia" w:ascii="宋体" w:hAnsi="宋体" w:eastAsia="宋体" w:cs="宋体"/>
          <w:color w:val="auto"/>
          <w:sz w:val="21"/>
          <w:szCs w:val="21"/>
          <w:lang w:val="en-US" w:eastAsia="zh-CN"/>
        </w:rPr>
        <w:t>52800</w:t>
      </w:r>
      <w:r>
        <w:rPr>
          <w:rFonts w:hint="eastAsia" w:ascii="宋体" w:hAnsi="宋体" w:eastAsia="宋体" w:cs="宋体"/>
          <w:color w:val="auto"/>
          <w:sz w:val="21"/>
          <w:szCs w:val="21"/>
        </w:rPr>
        <w:t>.00</w:t>
      </w:r>
    </w:p>
    <w:p w14:paraId="055F70ED">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采购包保证金金额（元）:0.00</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2"/>
        <w:gridCol w:w="2038"/>
        <w:gridCol w:w="775"/>
        <w:gridCol w:w="1476"/>
        <w:gridCol w:w="1173"/>
        <w:gridCol w:w="1174"/>
        <w:gridCol w:w="1174"/>
      </w:tblGrid>
      <w:tr w14:paraId="16A8F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dxa"/>
          </w:tcPr>
          <w:p w14:paraId="21513140">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038" w:type="dxa"/>
          </w:tcPr>
          <w:p w14:paraId="7AEF05A0">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标的名称</w:t>
            </w:r>
          </w:p>
        </w:tc>
        <w:tc>
          <w:tcPr>
            <w:tcW w:w="775" w:type="dxa"/>
          </w:tcPr>
          <w:p w14:paraId="2DBCE455">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1476" w:type="dxa"/>
          </w:tcPr>
          <w:p w14:paraId="34C1D8B7">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标的金额（元）</w:t>
            </w:r>
          </w:p>
        </w:tc>
        <w:tc>
          <w:tcPr>
            <w:tcW w:w="1173" w:type="dxa"/>
          </w:tcPr>
          <w:p w14:paraId="36E467F7">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1174" w:type="dxa"/>
          </w:tcPr>
          <w:p w14:paraId="3F4CCA00">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所属行业</w:t>
            </w:r>
          </w:p>
        </w:tc>
        <w:tc>
          <w:tcPr>
            <w:tcW w:w="1174" w:type="dxa"/>
          </w:tcPr>
          <w:p w14:paraId="6CD90168">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是否允许进口产品</w:t>
            </w:r>
          </w:p>
        </w:tc>
      </w:tr>
      <w:tr w14:paraId="7BD95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dxa"/>
          </w:tcPr>
          <w:p w14:paraId="4E25D6CD">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038" w:type="dxa"/>
          </w:tcPr>
          <w:p w14:paraId="51AE04DF">
            <w:pPr>
              <w:pStyle w:val="15"/>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泉州师范学院主校区电梯维保服务采购项目（富士达电梯）</w:t>
            </w:r>
          </w:p>
        </w:tc>
        <w:tc>
          <w:tcPr>
            <w:tcW w:w="775" w:type="dxa"/>
          </w:tcPr>
          <w:p w14:paraId="6B2662FD">
            <w:pPr>
              <w:pStyle w:val="15"/>
              <w:jc w:val="righ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476" w:type="dxa"/>
          </w:tcPr>
          <w:p w14:paraId="1837B8F3">
            <w:pPr>
              <w:pStyle w:val="15"/>
              <w:jc w:val="righ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52800</w:t>
            </w:r>
          </w:p>
        </w:tc>
        <w:tc>
          <w:tcPr>
            <w:tcW w:w="1173" w:type="dxa"/>
          </w:tcPr>
          <w:p w14:paraId="51709348">
            <w:pPr>
              <w:pStyle w:val="15"/>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年</w:t>
            </w:r>
          </w:p>
        </w:tc>
        <w:tc>
          <w:tcPr>
            <w:tcW w:w="1174" w:type="dxa"/>
          </w:tcPr>
          <w:p w14:paraId="24FDB3EB">
            <w:pPr>
              <w:pStyle w:val="15"/>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其他未列明行业</w:t>
            </w:r>
          </w:p>
        </w:tc>
        <w:tc>
          <w:tcPr>
            <w:tcW w:w="1174" w:type="dxa"/>
          </w:tcPr>
          <w:p w14:paraId="1A297FF7">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bl>
    <w:p w14:paraId="1768A8AD">
      <w:pPr>
        <w:pStyle w:val="15"/>
        <w:ind w:left="420" w:leftChars="20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p>
    <w:p w14:paraId="3FF838C4">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采购包预算金额（元）:</w:t>
      </w:r>
      <w:r>
        <w:rPr>
          <w:rFonts w:hint="eastAsia" w:ascii="宋体" w:hAnsi="宋体" w:eastAsia="宋体" w:cs="宋体"/>
          <w:color w:val="auto"/>
          <w:sz w:val="21"/>
          <w:szCs w:val="21"/>
          <w:lang w:val="en-US" w:eastAsia="zh-CN"/>
        </w:rPr>
        <w:t>77040</w:t>
      </w:r>
      <w:r>
        <w:rPr>
          <w:rFonts w:hint="eastAsia" w:ascii="宋体" w:hAnsi="宋体" w:eastAsia="宋体" w:cs="宋体"/>
          <w:color w:val="auto"/>
          <w:sz w:val="21"/>
          <w:szCs w:val="21"/>
        </w:rPr>
        <w:t>.00</w:t>
      </w:r>
    </w:p>
    <w:p w14:paraId="5EE53BA8">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采购包最高限价（元）:</w:t>
      </w:r>
      <w:r>
        <w:rPr>
          <w:rFonts w:hint="eastAsia" w:ascii="宋体" w:hAnsi="宋体" w:eastAsia="宋体" w:cs="宋体"/>
          <w:color w:val="auto"/>
          <w:sz w:val="21"/>
          <w:szCs w:val="21"/>
          <w:lang w:val="en-US" w:eastAsia="zh-CN"/>
        </w:rPr>
        <w:t>77040</w:t>
      </w:r>
      <w:r>
        <w:rPr>
          <w:rFonts w:hint="eastAsia" w:ascii="宋体" w:hAnsi="宋体" w:eastAsia="宋体" w:cs="宋体"/>
          <w:color w:val="auto"/>
          <w:sz w:val="21"/>
          <w:szCs w:val="21"/>
        </w:rPr>
        <w:t>.00</w:t>
      </w:r>
    </w:p>
    <w:p w14:paraId="4C39EDA7">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采购包保证金金额（元）:0.00</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2"/>
        <w:gridCol w:w="2038"/>
        <w:gridCol w:w="775"/>
        <w:gridCol w:w="1476"/>
        <w:gridCol w:w="1173"/>
        <w:gridCol w:w="1174"/>
        <w:gridCol w:w="1174"/>
      </w:tblGrid>
      <w:tr w14:paraId="711C4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dxa"/>
          </w:tcPr>
          <w:p w14:paraId="7912FB91">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038" w:type="dxa"/>
          </w:tcPr>
          <w:p w14:paraId="16E107EF">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标的名称</w:t>
            </w:r>
          </w:p>
        </w:tc>
        <w:tc>
          <w:tcPr>
            <w:tcW w:w="775" w:type="dxa"/>
          </w:tcPr>
          <w:p w14:paraId="054B43A4">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1476" w:type="dxa"/>
          </w:tcPr>
          <w:p w14:paraId="4D7858B7">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标的金额（元）</w:t>
            </w:r>
          </w:p>
        </w:tc>
        <w:tc>
          <w:tcPr>
            <w:tcW w:w="1173" w:type="dxa"/>
          </w:tcPr>
          <w:p w14:paraId="5AC5F7D7">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1174" w:type="dxa"/>
          </w:tcPr>
          <w:p w14:paraId="7F5D7498">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所属行业</w:t>
            </w:r>
          </w:p>
        </w:tc>
        <w:tc>
          <w:tcPr>
            <w:tcW w:w="1174" w:type="dxa"/>
          </w:tcPr>
          <w:p w14:paraId="56B3EFD0">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是否允许进口产品</w:t>
            </w:r>
          </w:p>
        </w:tc>
      </w:tr>
      <w:tr w14:paraId="449EA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dxa"/>
          </w:tcPr>
          <w:p w14:paraId="51954125">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038" w:type="dxa"/>
          </w:tcPr>
          <w:p w14:paraId="4BAA911B">
            <w:pPr>
              <w:pStyle w:val="15"/>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泉州师范学院主校区电梯维保服务采购项目（</w:t>
            </w:r>
            <w:r>
              <w:rPr>
                <w:rFonts w:hint="eastAsia" w:ascii="Times New Roman" w:eastAsia="宋体"/>
                <w:color w:val="auto"/>
                <w:lang w:val="en-US" w:eastAsia="zh-CN"/>
              </w:rPr>
              <w:t>通力</w:t>
            </w:r>
            <w:r>
              <w:rPr>
                <w:rFonts w:hint="eastAsia" w:ascii="宋体" w:hAnsi="宋体" w:eastAsia="宋体" w:cs="宋体"/>
                <w:color w:val="auto"/>
                <w:sz w:val="21"/>
                <w:szCs w:val="21"/>
                <w:lang w:eastAsia="zh-CN"/>
              </w:rPr>
              <w:t>电梯）</w:t>
            </w:r>
          </w:p>
        </w:tc>
        <w:tc>
          <w:tcPr>
            <w:tcW w:w="775" w:type="dxa"/>
          </w:tcPr>
          <w:p w14:paraId="0DB0A6C2">
            <w:pPr>
              <w:pStyle w:val="15"/>
              <w:jc w:val="righ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476" w:type="dxa"/>
          </w:tcPr>
          <w:p w14:paraId="2283CC9D">
            <w:pPr>
              <w:pStyle w:val="15"/>
              <w:jc w:val="righ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77040</w:t>
            </w:r>
          </w:p>
        </w:tc>
        <w:tc>
          <w:tcPr>
            <w:tcW w:w="1173" w:type="dxa"/>
          </w:tcPr>
          <w:p w14:paraId="0A6D51FF">
            <w:pPr>
              <w:pStyle w:val="15"/>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年</w:t>
            </w:r>
          </w:p>
        </w:tc>
        <w:tc>
          <w:tcPr>
            <w:tcW w:w="1174" w:type="dxa"/>
          </w:tcPr>
          <w:p w14:paraId="6A7EAED1">
            <w:pPr>
              <w:pStyle w:val="15"/>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其他未列明行业</w:t>
            </w:r>
          </w:p>
        </w:tc>
        <w:tc>
          <w:tcPr>
            <w:tcW w:w="1174" w:type="dxa"/>
          </w:tcPr>
          <w:p w14:paraId="64A608C5">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bl>
    <w:p w14:paraId="7E2B2A03">
      <w:pPr>
        <w:pStyle w:val="15"/>
        <w:ind w:left="420" w:leftChars="20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p>
    <w:p w14:paraId="1D4BA862">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采购包预算金额（元）:</w:t>
      </w:r>
      <w:r>
        <w:rPr>
          <w:rFonts w:hint="eastAsia" w:ascii="宋体" w:hAnsi="宋体" w:eastAsia="宋体" w:cs="宋体"/>
          <w:color w:val="auto"/>
          <w:sz w:val="21"/>
          <w:szCs w:val="21"/>
          <w:lang w:val="en-US" w:eastAsia="zh-CN"/>
        </w:rPr>
        <w:t>31680</w:t>
      </w:r>
      <w:r>
        <w:rPr>
          <w:rFonts w:hint="eastAsia" w:ascii="宋体" w:hAnsi="宋体" w:eastAsia="宋体" w:cs="宋体"/>
          <w:color w:val="auto"/>
          <w:sz w:val="21"/>
          <w:szCs w:val="21"/>
        </w:rPr>
        <w:t>.00</w:t>
      </w:r>
    </w:p>
    <w:p w14:paraId="5D03D91C">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采购包最高限价（元）:</w:t>
      </w:r>
      <w:r>
        <w:rPr>
          <w:rFonts w:hint="eastAsia" w:ascii="宋体" w:hAnsi="宋体" w:eastAsia="宋体" w:cs="宋体"/>
          <w:color w:val="auto"/>
          <w:sz w:val="21"/>
          <w:szCs w:val="21"/>
          <w:lang w:val="en-US" w:eastAsia="zh-CN"/>
        </w:rPr>
        <w:t>31680</w:t>
      </w:r>
      <w:r>
        <w:rPr>
          <w:rFonts w:hint="eastAsia" w:ascii="宋体" w:hAnsi="宋体" w:eastAsia="宋体" w:cs="宋体"/>
          <w:color w:val="auto"/>
          <w:sz w:val="21"/>
          <w:szCs w:val="21"/>
        </w:rPr>
        <w:t>.00</w:t>
      </w:r>
    </w:p>
    <w:p w14:paraId="715DCA65">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采购包保证金金额（元）:0.00</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2"/>
        <w:gridCol w:w="2038"/>
        <w:gridCol w:w="775"/>
        <w:gridCol w:w="1476"/>
        <w:gridCol w:w="1173"/>
        <w:gridCol w:w="1174"/>
        <w:gridCol w:w="1174"/>
      </w:tblGrid>
      <w:tr w14:paraId="75520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12" w:type="dxa"/>
          </w:tcPr>
          <w:p w14:paraId="7A79C774">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038" w:type="dxa"/>
          </w:tcPr>
          <w:p w14:paraId="18C91345">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标的名称</w:t>
            </w:r>
          </w:p>
        </w:tc>
        <w:tc>
          <w:tcPr>
            <w:tcW w:w="775" w:type="dxa"/>
          </w:tcPr>
          <w:p w14:paraId="5BACBC6A">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1476" w:type="dxa"/>
          </w:tcPr>
          <w:p w14:paraId="04E25E5E">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标的金额（元）</w:t>
            </w:r>
          </w:p>
        </w:tc>
        <w:tc>
          <w:tcPr>
            <w:tcW w:w="1173" w:type="dxa"/>
          </w:tcPr>
          <w:p w14:paraId="6E7EA9A6">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1174" w:type="dxa"/>
          </w:tcPr>
          <w:p w14:paraId="5F9A96EC">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所属行业</w:t>
            </w:r>
          </w:p>
        </w:tc>
        <w:tc>
          <w:tcPr>
            <w:tcW w:w="1174" w:type="dxa"/>
          </w:tcPr>
          <w:p w14:paraId="4670093C">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是否允许进口产品</w:t>
            </w:r>
          </w:p>
        </w:tc>
      </w:tr>
      <w:tr w14:paraId="6460D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dxa"/>
          </w:tcPr>
          <w:p w14:paraId="205136DD">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038" w:type="dxa"/>
          </w:tcPr>
          <w:p w14:paraId="2A4EB017">
            <w:pPr>
              <w:pStyle w:val="15"/>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泉州师范学院主校区电梯维保服务采购项目（</w:t>
            </w:r>
            <w:r>
              <w:rPr>
                <w:rFonts w:hint="eastAsia" w:ascii="Times New Roman" w:eastAsia="宋体"/>
                <w:color w:val="auto"/>
                <w:lang w:val="en-US" w:eastAsia="zh-CN"/>
              </w:rPr>
              <w:t>德奥</w:t>
            </w:r>
            <w:r>
              <w:rPr>
                <w:rFonts w:hint="eastAsia" w:ascii="宋体" w:hAnsi="宋体" w:eastAsia="宋体" w:cs="宋体"/>
                <w:color w:val="auto"/>
                <w:sz w:val="21"/>
                <w:szCs w:val="21"/>
                <w:lang w:eastAsia="zh-CN"/>
              </w:rPr>
              <w:t>电梯）</w:t>
            </w:r>
          </w:p>
        </w:tc>
        <w:tc>
          <w:tcPr>
            <w:tcW w:w="775" w:type="dxa"/>
          </w:tcPr>
          <w:p w14:paraId="09A32182">
            <w:pPr>
              <w:pStyle w:val="15"/>
              <w:jc w:val="righ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476" w:type="dxa"/>
          </w:tcPr>
          <w:p w14:paraId="5BFC8C08">
            <w:pPr>
              <w:pStyle w:val="15"/>
              <w:jc w:val="righ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31680</w:t>
            </w:r>
          </w:p>
        </w:tc>
        <w:tc>
          <w:tcPr>
            <w:tcW w:w="1173" w:type="dxa"/>
          </w:tcPr>
          <w:p w14:paraId="13A68E2E">
            <w:pPr>
              <w:pStyle w:val="15"/>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年</w:t>
            </w:r>
          </w:p>
        </w:tc>
        <w:tc>
          <w:tcPr>
            <w:tcW w:w="1174" w:type="dxa"/>
          </w:tcPr>
          <w:p w14:paraId="7C587686">
            <w:pPr>
              <w:pStyle w:val="15"/>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其他未列明行业</w:t>
            </w:r>
          </w:p>
        </w:tc>
        <w:tc>
          <w:tcPr>
            <w:tcW w:w="1174" w:type="dxa"/>
          </w:tcPr>
          <w:p w14:paraId="39CDCB2F">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bl>
    <w:p w14:paraId="24D757B6">
      <w:pPr>
        <w:pStyle w:val="15"/>
        <w:ind w:left="420" w:leftChars="20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p>
    <w:p w14:paraId="14AE95C2">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采购包预算金额（元）:</w:t>
      </w:r>
      <w:r>
        <w:rPr>
          <w:rFonts w:hint="eastAsia" w:ascii="宋体" w:hAnsi="宋体" w:eastAsia="宋体" w:cs="宋体"/>
          <w:color w:val="auto"/>
          <w:sz w:val="21"/>
          <w:szCs w:val="21"/>
          <w:lang w:val="en-US" w:eastAsia="zh-CN"/>
        </w:rPr>
        <w:t>20640</w:t>
      </w:r>
      <w:r>
        <w:rPr>
          <w:rFonts w:hint="eastAsia" w:ascii="宋体" w:hAnsi="宋体" w:eastAsia="宋体" w:cs="宋体"/>
          <w:color w:val="auto"/>
          <w:sz w:val="21"/>
          <w:szCs w:val="21"/>
        </w:rPr>
        <w:t>.00</w:t>
      </w:r>
    </w:p>
    <w:p w14:paraId="17384E83">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采购包最高限价（元）:</w:t>
      </w:r>
      <w:r>
        <w:rPr>
          <w:rFonts w:hint="eastAsia" w:ascii="宋体" w:hAnsi="宋体" w:eastAsia="宋体" w:cs="宋体"/>
          <w:color w:val="auto"/>
          <w:sz w:val="21"/>
          <w:szCs w:val="21"/>
          <w:lang w:val="en-US" w:eastAsia="zh-CN"/>
        </w:rPr>
        <w:t>20640</w:t>
      </w:r>
      <w:r>
        <w:rPr>
          <w:rFonts w:hint="eastAsia" w:ascii="宋体" w:hAnsi="宋体" w:eastAsia="宋体" w:cs="宋体"/>
          <w:color w:val="auto"/>
          <w:sz w:val="21"/>
          <w:szCs w:val="21"/>
        </w:rPr>
        <w:t>.00</w:t>
      </w:r>
    </w:p>
    <w:p w14:paraId="6AB9A4AB">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采购包保证金金额（元）:0.00</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2"/>
        <w:gridCol w:w="2038"/>
        <w:gridCol w:w="775"/>
        <w:gridCol w:w="1476"/>
        <w:gridCol w:w="1173"/>
        <w:gridCol w:w="1174"/>
        <w:gridCol w:w="1174"/>
      </w:tblGrid>
      <w:tr w14:paraId="6213F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dxa"/>
          </w:tcPr>
          <w:p w14:paraId="49175146">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038" w:type="dxa"/>
          </w:tcPr>
          <w:p w14:paraId="69C53CFA">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标的名称</w:t>
            </w:r>
          </w:p>
        </w:tc>
        <w:tc>
          <w:tcPr>
            <w:tcW w:w="775" w:type="dxa"/>
          </w:tcPr>
          <w:p w14:paraId="441A1065">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1476" w:type="dxa"/>
          </w:tcPr>
          <w:p w14:paraId="7AB69287">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标的金额（元）</w:t>
            </w:r>
          </w:p>
        </w:tc>
        <w:tc>
          <w:tcPr>
            <w:tcW w:w="1173" w:type="dxa"/>
          </w:tcPr>
          <w:p w14:paraId="12BBB072">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1174" w:type="dxa"/>
          </w:tcPr>
          <w:p w14:paraId="0EDCD45B">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所属行业</w:t>
            </w:r>
          </w:p>
        </w:tc>
        <w:tc>
          <w:tcPr>
            <w:tcW w:w="1174" w:type="dxa"/>
          </w:tcPr>
          <w:p w14:paraId="5A9301E8">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是否允许进口产品</w:t>
            </w:r>
          </w:p>
        </w:tc>
      </w:tr>
      <w:tr w14:paraId="39C9E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dxa"/>
          </w:tcPr>
          <w:p w14:paraId="34E0D116">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038" w:type="dxa"/>
          </w:tcPr>
          <w:p w14:paraId="0B722102">
            <w:pPr>
              <w:pStyle w:val="15"/>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泉州师范学院主校区电梯维保服务采购项目（</w:t>
            </w:r>
            <w:r>
              <w:rPr>
                <w:rFonts w:hint="eastAsia" w:ascii="Times New Roman" w:eastAsia="宋体"/>
                <w:color w:val="auto"/>
                <w:lang w:val="en-US" w:eastAsia="zh-CN"/>
              </w:rPr>
              <w:t>西奥</w:t>
            </w:r>
            <w:r>
              <w:rPr>
                <w:rFonts w:hint="eastAsia" w:ascii="宋体" w:hAnsi="宋体" w:eastAsia="宋体" w:cs="宋体"/>
                <w:color w:val="auto"/>
                <w:sz w:val="21"/>
                <w:szCs w:val="21"/>
                <w:lang w:eastAsia="zh-CN"/>
              </w:rPr>
              <w:t>电梯）</w:t>
            </w:r>
          </w:p>
        </w:tc>
        <w:tc>
          <w:tcPr>
            <w:tcW w:w="775" w:type="dxa"/>
          </w:tcPr>
          <w:p w14:paraId="11D3A1D5">
            <w:pPr>
              <w:pStyle w:val="15"/>
              <w:jc w:val="righ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476" w:type="dxa"/>
          </w:tcPr>
          <w:p w14:paraId="67043316">
            <w:pPr>
              <w:pStyle w:val="15"/>
              <w:jc w:val="righ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20640</w:t>
            </w:r>
          </w:p>
        </w:tc>
        <w:tc>
          <w:tcPr>
            <w:tcW w:w="1173" w:type="dxa"/>
          </w:tcPr>
          <w:p w14:paraId="7AFD9140">
            <w:pPr>
              <w:pStyle w:val="15"/>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年</w:t>
            </w:r>
          </w:p>
        </w:tc>
        <w:tc>
          <w:tcPr>
            <w:tcW w:w="1174" w:type="dxa"/>
          </w:tcPr>
          <w:p w14:paraId="54C56334">
            <w:pPr>
              <w:pStyle w:val="15"/>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其他未列明行业</w:t>
            </w:r>
          </w:p>
        </w:tc>
        <w:tc>
          <w:tcPr>
            <w:tcW w:w="1174" w:type="dxa"/>
          </w:tcPr>
          <w:p w14:paraId="08A4666E">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bl>
    <w:p w14:paraId="43DBCD22">
      <w:pPr>
        <w:pStyle w:val="15"/>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5C4E6D18">
      <w:pPr>
        <w:pStyle w:val="15"/>
        <w:jc w:val="center"/>
        <w:outlineLvl w:val="1"/>
        <w:rPr>
          <w:rFonts w:hint="eastAsia" w:ascii="宋体" w:hAnsi="宋体" w:eastAsia="宋体" w:cs="宋体"/>
          <w:b/>
          <w:color w:val="auto"/>
          <w:sz w:val="32"/>
          <w:szCs w:val="32"/>
        </w:rPr>
      </w:pPr>
      <w:r>
        <w:rPr>
          <w:rFonts w:hint="eastAsia" w:ascii="宋体" w:hAnsi="宋体" w:eastAsia="宋体" w:cs="宋体"/>
          <w:b/>
          <w:color w:val="auto"/>
          <w:sz w:val="32"/>
          <w:szCs w:val="32"/>
        </w:rPr>
        <w:t>第二章协商须知前附表</w:t>
      </w:r>
    </w:p>
    <w:p w14:paraId="39F9F4A9">
      <w:pPr>
        <w:pStyle w:val="15"/>
        <w:ind w:firstLine="480"/>
        <w:jc w:val="center"/>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一、协商须知前附表1</w:t>
      </w:r>
    </w:p>
    <w:p w14:paraId="043678F9">
      <w:pPr>
        <w:pStyle w:val="15"/>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本须知前附表的项号与采购文件内容如有矛盾，应以本须知前附表为准。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7"/>
        <w:gridCol w:w="1238"/>
        <w:gridCol w:w="6647"/>
      </w:tblGrid>
      <w:tr w14:paraId="6A5CA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41E68E9F">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238" w:type="dxa"/>
          </w:tcPr>
          <w:p w14:paraId="636249F8">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采购文件（第三章）</w:t>
            </w:r>
          </w:p>
        </w:tc>
        <w:tc>
          <w:tcPr>
            <w:tcW w:w="6647" w:type="dxa"/>
          </w:tcPr>
          <w:p w14:paraId="626A978D">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编列内容</w:t>
            </w:r>
          </w:p>
        </w:tc>
      </w:tr>
      <w:tr w14:paraId="5D159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684B0451">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38" w:type="dxa"/>
          </w:tcPr>
          <w:p w14:paraId="76EB674F">
            <w:pPr>
              <w:rPr>
                <w:rFonts w:hint="eastAsia" w:ascii="宋体" w:hAnsi="宋体" w:eastAsia="宋体" w:cs="宋体"/>
                <w:color w:val="auto"/>
                <w:sz w:val="21"/>
                <w:szCs w:val="21"/>
              </w:rPr>
            </w:pPr>
          </w:p>
        </w:tc>
        <w:tc>
          <w:tcPr>
            <w:tcW w:w="6647" w:type="dxa"/>
          </w:tcPr>
          <w:p w14:paraId="54659B9D">
            <w:pPr>
              <w:pStyle w:val="15"/>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项目编号：</w:t>
            </w:r>
            <w:r>
              <w:rPr>
                <w:rFonts w:hint="eastAsia" w:ascii="宋体" w:hAnsi="宋体" w:eastAsia="宋体" w:cs="宋体"/>
                <w:color w:val="auto"/>
                <w:sz w:val="21"/>
                <w:szCs w:val="21"/>
                <w:lang w:eastAsia="zh-CN"/>
              </w:rPr>
              <w:t>2025-FZSD081</w:t>
            </w:r>
          </w:p>
          <w:p w14:paraId="4A2187FB">
            <w:pPr>
              <w:pStyle w:val="15"/>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项目名称：</w:t>
            </w:r>
            <w:r>
              <w:rPr>
                <w:rFonts w:hint="eastAsia" w:ascii="宋体" w:hAnsi="宋体" w:eastAsia="宋体" w:cs="宋体"/>
                <w:color w:val="auto"/>
                <w:sz w:val="21"/>
                <w:szCs w:val="21"/>
                <w:lang w:eastAsia="zh-CN"/>
              </w:rPr>
              <w:t>泉州师范学院主校区电梯维保服务采购项目</w:t>
            </w:r>
          </w:p>
          <w:p w14:paraId="3B2E36EB">
            <w:pPr>
              <w:pStyle w:val="15"/>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采购人名称：</w:t>
            </w:r>
            <w:r>
              <w:rPr>
                <w:rFonts w:hint="eastAsia" w:ascii="宋体" w:hAnsi="宋体" w:eastAsia="宋体" w:cs="宋体"/>
                <w:color w:val="auto"/>
                <w:sz w:val="21"/>
                <w:szCs w:val="21"/>
                <w:lang w:eastAsia="zh-CN"/>
              </w:rPr>
              <w:t>泉州师范学院</w:t>
            </w:r>
          </w:p>
          <w:p w14:paraId="79F8819B">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项目内容：详见采购标的一览表及采购文件第四章。</w:t>
            </w:r>
          </w:p>
        </w:tc>
      </w:tr>
      <w:tr w14:paraId="3F888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169300B4">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38" w:type="dxa"/>
          </w:tcPr>
          <w:p w14:paraId="2D11397D">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6647" w:type="dxa"/>
          </w:tcPr>
          <w:p w14:paraId="7FA1D649">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资格要求：</w:t>
            </w:r>
          </w:p>
          <w:p w14:paraId="47FE58F1">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1、详见第一章《协商邀请》；</w:t>
            </w:r>
          </w:p>
          <w:p w14:paraId="2D6E65AA">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2、在专家论证阶段是否已审核过供应商资格：</w:t>
            </w:r>
          </w:p>
          <w:p w14:paraId="1B813B17">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否</w:t>
            </w:r>
          </w:p>
          <w:p w14:paraId="01027892">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注：在专家论证阶段已审核过供应商资格的，在协商阶段协商小组无须重复审查；但供应商自身资格条件出现变化的须作出说明，并向协商小组补充提供相关材料，由协商小组重新进行审查。</w:t>
            </w:r>
          </w:p>
          <w:p w14:paraId="03161B57">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采购包2、采购包3、采购包4、采购包5</w:t>
            </w:r>
            <w:r>
              <w:rPr>
                <w:rFonts w:hint="eastAsia" w:ascii="宋体" w:hAnsi="宋体" w:eastAsia="宋体" w:cs="宋体"/>
                <w:color w:val="auto"/>
                <w:sz w:val="21"/>
                <w:szCs w:val="21"/>
              </w:rPr>
              <w:t>：</w:t>
            </w:r>
          </w:p>
          <w:tbl>
            <w:tblPr>
              <w:tblStyle w:val="11"/>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4"/>
              <w:gridCol w:w="1425"/>
              <w:gridCol w:w="4406"/>
            </w:tblGrid>
            <w:tr w14:paraId="7FE72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pct"/>
                </w:tcPr>
                <w:p w14:paraId="5B35D5C9">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109" w:type="pct"/>
                </w:tcPr>
                <w:p w14:paraId="4E4928BE">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资格审查要求概况</w:t>
                  </w:r>
                </w:p>
              </w:tc>
              <w:tc>
                <w:tcPr>
                  <w:tcW w:w="3428" w:type="pct"/>
                </w:tcPr>
                <w:p w14:paraId="6FC74959">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评审点具体描述</w:t>
                  </w:r>
                </w:p>
              </w:tc>
            </w:tr>
            <w:tr w14:paraId="1C062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pct"/>
                </w:tcPr>
                <w:p w14:paraId="70E2E328">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09" w:type="pct"/>
                </w:tcPr>
                <w:p w14:paraId="4928EDD9">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协商响应申明函</w:t>
                  </w:r>
                </w:p>
              </w:tc>
              <w:tc>
                <w:tcPr>
                  <w:tcW w:w="3428" w:type="pct"/>
                </w:tcPr>
                <w:p w14:paraId="05FAC55C">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详见声明函</w:t>
                  </w:r>
                </w:p>
              </w:tc>
            </w:tr>
            <w:tr w14:paraId="2527C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pct"/>
                </w:tcPr>
                <w:p w14:paraId="6EE8F0A4">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09" w:type="pct"/>
                </w:tcPr>
                <w:p w14:paraId="63A0153F">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单位负责人授权书</w:t>
                  </w:r>
                </w:p>
              </w:tc>
              <w:tc>
                <w:tcPr>
                  <w:tcW w:w="3428" w:type="pct"/>
                </w:tcPr>
                <w:p w14:paraId="03C21819">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6CF1D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pct"/>
                </w:tcPr>
                <w:p w14:paraId="7B563359">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09" w:type="pct"/>
                </w:tcPr>
                <w:p w14:paraId="7A6F8B25">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营业执照等证明文件</w:t>
                  </w:r>
                </w:p>
              </w:tc>
              <w:tc>
                <w:tcPr>
                  <w:tcW w:w="3428" w:type="pct"/>
                </w:tcPr>
                <w:p w14:paraId="5737D60E">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7AD56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pct"/>
                </w:tcPr>
                <w:p w14:paraId="366B9EAF">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109" w:type="pct"/>
                </w:tcPr>
                <w:p w14:paraId="4834507E">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提供财务状况报告（财务报告、或资信证明）</w:t>
                  </w:r>
                </w:p>
              </w:tc>
              <w:tc>
                <w:tcPr>
                  <w:tcW w:w="3428" w:type="pct"/>
                </w:tcPr>
                <w:p w14:paraId="29604C26">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11C36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pct"/>
                </w:tcPr>
                <w:p w14:paraId="31F626A5">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109" w:type="pct"/>
                </w:tcPr>
                <w:p w14:paraId="3698003C">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依法缴纳税收的证明材料</w:t>
                  </w:r>
                </w:p>
              </w:tc>
              <w:tc>
                <w:tcPr>
                  <w:tcW w:w="3428" w:type="pct"/>
                </w:tcPr>
                <w:p w14:paraId="31AC9DCC">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①供应商提供的税收缴纳凭据复印件应符合下列规定：a.提交响应文件截止时间前（不含提交响应文件截止时间的当月）已依法缴纳税收的供应商，提供提交响应文件截止时间前六个月（不含提交响应文件截止时间的当月）中任一月份的税收缴纳凭据复印件。b.提交响应文件截止时间的当月成立的供应商,视同满足本项资格条件要求。c.若为依法免税范围的供应商，提供依法免税证明材料的，视同满足本项资格条件要求。</w:t>
                  </w:r>
                </w:p>
              </w:tc>
            </w:tr>
            <w:tr w14:paraId="7C0F2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pct"/>
                </w:tcPr>
                <w:p w14:paraId="634FC7EE">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109" w:type="pct"/>
                </w:tcPr>
                <w:p w14:paraId="0E919784">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依法缴纳社会保障资金的证明材料</w:t>
                  </w:r>
                </w:p>
              </w:tc>
              <w:tc>
                <w:tcPr>
                  <w:tcW w:w="3428" w:type="pct"/>
                </w:tcPr>
                <w:p w14:paraId="5139F110">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①供应商提供的社会保障资金缴纳凭据复印件应符合下列规定：a.提交响应文件截止时间前（不含提交响应文件截止时间的当月）已依法缴纳社会保障资金的供应商，提供提交响应文件截止时间前六个月（不含提交响应文件截止时间的当月）中任一月份的社会保障资金缴纳凭据复印件。b.提交响应文件截止时间的当月成立的供应商，视同满足本项资格条件要求。c.若为依法不需要缴纳或暂缓缴纳社会保障资金的供应商，提供依法不需要缴纳或暂缓缴纳社会保障资金证明材料的，视同满足本项资格条件要求。</w:t>
                  </w:r>
                </w:p>
              </w:tc>
            </w:tr>
            <w:tr w14:paraId="029B8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pct"/>
                </w:tcPr>
                <w:p w14:paraId="481D1E5C">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109" w:type="pct"/>
                </w:tcPr>
                <w:p w14:paraId="7D420185">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具备履行合同所必需设备和专业技术能力的声明函(若有)</w:t>
                  </w:r>
                </w:p>
              </w:tc>
              <w:tc>
                <w:tcPr>
                  <w:tcW w:w="3428" w:type="pct"/>
                </w:tcPr>
                <w:p w14:paraId="1EFAC9F3">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3AE14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pct"/>
                </w:tcPr>
                <w:p w14:paraId="1BB9EFC2">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109" w:type="pct"/>
                </w:tcPr>
                <w:p w14:paraId="53F5B051">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参加采购活动前三年内在经营活动中没有重大违法记录的声明</w:t>
                  </w:r>
                </w:p>
              </w:tc>
              <w:tc>
                <w:tcPr>
                  <w:tcW w:w="3428" w:type="pct"/>
                </w:tcPr>
                <w:p w14:paraId="450D2B52">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F326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pct"/>
                </w:tcPr>
                <w:p w14:paraId="1A6E2079">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109" w:type="pct"/>
                </w:tcPr>
                <w:p w14:paraId="19866761">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信用信息查询结果</w:t>
                  </w:r>
                </w:p>
              </w:tc>
              <w:tc>
                <w:tcPr>
                  <w:tcW w:w="3428" w:type="pct"/>
                </w:tcPr>
                <w:p w14:paraId="6F1EA017">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①信用记录查询的截止时点：信用记录查询的截止时点为本项目提交响应文件截止时间当日。②信用记录查询渠道：信用中国（www.creditchina.gov.cn）、中国政府采购网（www.ccgp.gov.cn）。③信用记录的查询：由协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2077B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pct"/>
                </w:tcPr>
                <w:p w14:paraId="61E36E82">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109" w:type="pct"/>
                </w:tcPr>
                <w:p w14:paraId="0372869D">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中小企业声明函（以资格条件落实中小企业扶持政策时适用）</w:t>
                  </w:r>
                </w:p>
              </w:tc>
              <w:tc>
                <w:tcPr>
                  <w:tcW w:w="3428" w:type="pct"/>
                </w:tcPr>
                <w:p w14:paraId="521A17CF">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306EC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pct"/>
                </w:tcPr>
                <w:p w14:paraId="01FEB3B3">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109" w:type="pct"/>
                </w:tcPr>
                <w:p w14:paraId="72248FE5">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联合体协议（若有）</w:t>
                  </w:r>
                </w:p>
              </w:tc>
              <w:tc>
                <w:tcPr>
                  <w:tcW w:w="3428" w:type="pct"/>
                </w:tcPr>
                <w:p w14:paraId="0F3387CA">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①采购文件接受联合体报价且供应商为联合体的，供应商应提供本协议；否则无须提供。②本协议由委托代理人签字或盖章的，应按照采购文件第六章载明的格式提供“单位负责人授权书”。</w:t>
                  </w:r>
                </w:p>
              </w:tc>
            </w:tr>
          </w:tbl>
          <w:p w14:paraId="44C7B70E">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注：根据协商文件第一章协商邀请“5.2特定资格条件”要求，允许供应商采用资格承诺制的并提供符合要求的资格承诺函，视为满足</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的资格要求。</w:t>
            </w:r>
          </w:p>
        </w:tc>
      </w:tr>
      <w:tr w14:paraId="373B4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49503F95">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238" w:type="dxa"/>
          </w:tcPr>
          <w:p w14:paraId="3E89CDDF">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6.4</w:t>
            </w:r>
          </w:p>
        </w:tc>
        <w:tc>
          <w:tcPr>
            <w:tcW w:w="6647" w:type="dxa"/>
          </w:tcPr>
          <w:p w14:paraId="31CABB7C">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响应文件份数：</w:t>
            </w:r>
          </w:p>
          <w:p w14:paraId="0259AC8B">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正本</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份、副本</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份，电子文本（使用PDF格式）1份。</w:t>
            </w:r>
          </w:p>
          <w:p w14:paraId="380EC282">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响应文件的编制要求详见本须知第6.5条“响应文件的格式”；</w:t>
            </w:r>
          </w:p>
        </w:tc>
      </w:tr>
      <w:tr w14:paraId="6FD92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37E4C753">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238" w:type="dxa"/>
          </w:tcPr>
          <w:p w14:paraId="47F151C2">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6.6</w:t>
            </w:r>
          </w:p>
        </w:tc>
        <w:tc>
          <w:tcPr>
            <w:tcW w:w="6647" w:type="dxa"/>
          </w:tcPr>
          <w:p w14:paraId="1C0FAF99">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最高限价：本次采购项目最高限价详见《采购标的一览表》。供应商报价超出最高限价者，按无效报价处理。</w:t>
            </w:r>
          </w:p>
        </w:tc>
      </w:tr>
      <w:tr w14:paraId="51139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29E8B0A4">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238" w:type="dxa"/>
          </w:tcPr>
          <w:p w14:paraId="1A9144D3">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6.7</w:t>
            </w:r>
          </w:p>
        </w:tc>
        <w:tc>
          <w:tcPr>
            <w:tcW w:w="6647" w:type="dxa"/>
          </w:tcPr>
          <w:p w14:paraId="7B99D7A3">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响应有效期：提交响应文件截止时间结束后90日历日。</w:t>
            </w:r>
          </w:p>
          <w:p w14:paraId="6AD5DED8">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有效期不足将导致其响应文件被拒绝。</w:t>
            </w:r>
          </w:p>
        </w:tc>
      </w:tr>
      <w:tr w14:paraId="4D290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1A2D5435">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238" w:type="dxa"/>
          </w:tcPr>
          <w:p w14:paraId="50DE3570">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11.1</w:t>
            </w:r>
          </w:p>
        </w:tc>
        <w:tc>
          <w:tcPr>
            <w:tcW w:w="6647" w:type="dxa"/>
          </w:tcPr>
          <w:p w14:paraId="318E5284">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协商标准和方法：在保证本项目质量的前提下，与供应商商定合理的成交价格。</w:t>
            </w:r>
          </w:p>
        </w:tc>
      </w:tr>
      <w:tr w14:paraId="4178C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5ACF60D1">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238" w:type="dxa"/>
          </w:tcPr>
          <w:p w14:paraId="11019384">
            <w:pPr>
              <w:rPr>
                <w:rFonts w:hint="eastAsia" w:ascii="宋体" w:hAnsi="宋体" w:eastAsia="宋体" w:cs="宋体"/>
                <w:color w:val="auto"/>
                <w:sz w:val="21"/>
                <w:szCs w:val="21"/>
              </w:rPr>
            </w:pPr>
          </w:p>
        </w:tc>
        <w:tc>
          <w:tcPr>
            <w:tcW w:w="6647" w:type="dxa"/>
          </w:tcPr>
          <w:p w14:paraId="77FBC21B">
            <w:pPr>
              <w:pStyle w:val="15"/>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监督管理部门：</w:t>
            </w:r>
            <w:r>
              <w:rPr>
                <w:rFonts w:hint="eastAsia" w:ascii="宋体" w:hAnsi="宋体" w:eastAsia="宋体" w:cs="宋体"/>
                <w:color w:val="auto"/>
                <w:sz w:val="21"/>
                <w:szCs w:val="21"/>
                <w:lang w:val="en-US" w:eastAsia="zh-CN"/>
              </w:rPr>
              <w:t>泉州师范学院</w:t>
            </w:r>
          </w:p>
        </w:tc>
      </w:tr>
      <w:tr w14:paraId="467B3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5DB79186">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238" w:type="dxa"/>
          </w:tcPr>
          <w:p w14:paraId="62C19560">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16.3</w:t>
            </w:r>
          </w:p>
        </w:tc>
        <w:tc>
          <w:tcPr>
            <w:tcW w:w="6647" w:type="dxa"/>
          </w:tcPr>
          <w:p w14:paraId="664C93F5">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合同签订时限：自中标通知书发出之日起</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0个日历日内。</w:t>
            </w:r>
          </w:p>
        </w:tc>
      </w:tr>
      <w:tr w14:paraId="02E50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429F69FC">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238" w:type="dxa"/>
          </w:tcPr>
          <w:p w14:paraId="052363CD">
            <w:pPr>
              <w:rPr>
                <w:rFonts w:hint="eastAsia" w:ascii="宋体" w:hAnsi="宋体" w:eastAsia="宋体" w:cs="宋体"/>
                <w:color w:val="auto"/>
                <w:sz w:val="21"/>
                <w:szCs w:val="21"/>
              </w:rPr>
            </w:pPr>
          </w:p>
        </w:tc>
        <w:tc>
          <w:tcPr>
            <w:tcW w:w="6647" w:type="dxa"/>
          </w:tcPr>
          <w:p w14:paraId="61AEA020">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采购信息发布媒体：</w:t>
            </w:r>
          </w:p>
          <w:p w14:paraId="693CEA61">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工采通电子招投标交易平台（https://easy-prt.com）</w:t>
            </w:r>
          </w:p>
        </w:tc>
      </w:tr>
      <w:tr w14:paraId="1E7B4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48140CC6">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238" w:type="dxa"/>
          </w:tcPr>
          <w:p w14:paraId="6249A550">
            <w:pPr>
              <w:rPr>
                <w:rFonts w:hint="eastAsia" w:ascii="宋体" w:hAnsi="宋体" w:eastAsia="宋体" w:cs="宋体"/>
                <w:color w:val="auto"/>
                <w:sz w:val="21"/>
                <w:szCs w:val="21"/>
              </w:rPr>
            </w:pPr>
          </w:p>
        </w:tc>
        <w:tc>
          <w:tcPr>
            <w:tcW w:w="6647" w:type="dxa"/>
          </w:tcPr>
          <w:p w14:paraId="155486AB">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采购代理服务费：</w:t>
            </w:r>
          </w:p>
          <w:p w14:paraId="6B2986E7">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本项目收取代理服务费</w:t>
            </w:r>
          </w:p>
          <w:p w14:paraId="30323B56">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代理服务费用收取对象：成交供应商</w:t>
            </w:r>
          </w:p>
          <w:p w14:paraId="543BF928">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代理服务费收费标准：1.收费标准以单个采购包的</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rPr>
              <w:t>总金额为准，按差额定率累进法计取，具体按以下标准计取：（0，100]万元1.50%。2.代理服务费由</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rPr>
              <w:t>人在领取</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rPr>
              <w:t>通知书的同时，以转账、电汇、现金存款等付款方式一次性缴清。3.服务费缴交账号：开户行：交通银行福州华林支行；账号：351008040018000752005；开户名：福建中实招标有限公司。</w:t>
            </w:r>
          </w:p>
        </w:tc>
      </w:tr>
      <w:tr w14:paraId="05DE9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305DC958">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238" w:type="dxa"/>
          </w:tcPr>
          <w:p w14:paraId="5277EB57">
            <w:pPr>
              <w:rPr>
                <w:rFonts w:hint="eastAsia" w:ascii="宋体" w:hAnsi="宋体" w:eastAsia="宋体" w:cs="宋体"/>
                <w:color w:val="auto"/>
                <w:sz w:val="21"/>
                <w:szCs w:val="21"/>
              </w:rPr>
            </w:pPr>
          </w:p>
        </w:tc>
        <w:tc>
          <w:tcPr>
            <w:tcW w:w="6647" w:type="dxa"/>
          </w:tcPr>
          <w:p w14:paraId="14E41B0C">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其他事项：</w:t>
            </w:r>
          </w:p>
          <w:p w14:paraId="278D6BF3">
            <w:pPr>
              <w:pStyle w:val="15"/>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bl>
    <w:p w14:paraId="5545404E">
      <w:pPr>
        <w:pStyle w:val="15"/>
        <w:rPr>
          <w:rFonts w:hint="eastAsia" w:ascii="宋体" w:hAnsi="宋体" w:eastAsia="宋体" w:cs="宋体"/>
          <w:color w:val="auto"/>
          <w:sz w:val="21"/>
          <w:szCs w:val="21"/>
        </w:rPr>
      </w:pP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br w:type="page"/>
      </w:r>
    </w:p>
    <w:p w14:paraId="32BFCEB8">
      <w:pPr>
        <w:pStyle w:val="15"/>
        <w:jc w:val="center"/>
        <w:outlineLvl w:val="1"/>
        <w:rPr>
          <w:rFonts w:hint="eastAsia" w:ascii="宋体" w:hAnsi="宋体" w:eastAsia="宋体" w:cs="宋体"/>
          <w:b/>
          <w:color w:val="auto"/>
          <w:sz w:val="32"/>
          <w:szCs w:val="32"/>
        </w:rPr>
      </w:pPr>
      <w:r>
        <w:rPr>
          <w:rFonts w:hint="eastAsia" w:ascii="宋体" w:hAnsi="宋体" w:eastAsia="宋体" w:cs="宋体"/>
          <w:b/>
          <w:color w:val="auto"/>
          <w:sz w:val="32"/>
          <w:szCs w:val="32"/>
        </w:rPr>
        <w:t>第三章协商须知正文</w:t>
      </w:r>
    </w:p>
    <w:p w14:paraId="69BA64E3">
      <w:pPr>
        <w:pStyle w:val="15"/>
        <w:ind w:left="0" w:leftChars="0" w:firstLine="422" w:firstLineChars="20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一、总则</w:t>
      </w:r>
    </w:p>
    <w:p w14:paraId="1DB56257">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1、适用范围</w:t>
      </w:r>
    </w:p>
    <w:p w14:paraId="109A88B1">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1.1适用于采购文件载明项目的采购活动（以下简称：“本次采购活动”）。</w:t>
      </w:r>
    </w:p>
    <w:p w14:paraId="7223A877">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2、定义</w:t>
      </w:r>
    </w:p>
    <w:p w14:paraId="4B2B027E">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2.1“采购标的”指采购文件载明的需要采购的货物、服务或工程。</w:t>
      </w:r>
    </w:p>
    <w:p w14:paraId="7901D3F2">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2.2“采购方”指组织采购标的采购活动的采购人（自行采购的）或采购代理机构（代理采购的）。</w:t>
      </w:r>
    </w:p>
    <w:p w14:paraId="16AFF7B9">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2.3“供应商”指采购文件第一章第4条被邀请参加本项目特定采购包协商的供应商。</w:t>
      </w:r>
    </w:p>
    <w:p w14:paraId="3C264C72">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2.4“单位负责人”指单位法定代表人（供应商为法人的）或法律、法规规定代表单位行使职权的主要负责人（供应商为其他组织的）。</w:t>
      </w:r>
    </w:p>
    <w:p w14:paraId="52A46021">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2.5“供应商代表”指供应商（供应商为法人或其他组织的）的单位负责人或由其授权的委托代理人，即单位负责人授权书中载明的接受授权方。</w:t>
      </w:r>
    </w:p>
    <w:p w14:paraId="655A89B5">
      <w:pPr>
        <w:pStyle w:val="15"/>
        <w:ind w:left="0" w:leftChars="0" w:firstLine="422" w:firstLineChars="20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二、供应商</w:t>
      </w:r>
    </w:p>
    <w:p w14:paraId="76E497FA">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3、合格供应商</w:t>
      </w:r>
    </w:p>
    <w:p w14:paraId="33C57108">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3.1一般规定</w:t>
      </w:r>
    </w:p>
    <w:p w14:paraId="47A70CEC">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供应商除了应遵守政府采购法及实施条例、政府采购非招标采购方式管理办法及财政部、福建省财政厅有关政府采购文件的规定外，还应遵守《中华人民共和国劳动合同法》有关规定和《中华人民共和国妇女权益保障法》中关于“劳动和社会保障权益”的有关要求以及其他有关法律、法规和规章的强制性规定。</w:t>
      </w:r>
    </w:p>
    <w:p w14:paraId="5B348BC3">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供应商对提供供应商资格承诺函及所承诺事项的真实性、合法性及有效性负责，并已知晓如提供资格承诺函不实，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D5D51BD">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（2）供应商的资格要求：详见采购文件第一章《协商邀请》。</w:t>
      </w:r>
    </w:p>
    <w:p w14:paraId="3DD89EA7">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4、参与协商的费用</w:t>
      </w:r>
    </w:p>
    <w:p w14:paraId="51E93CC7">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4.1除采购文件另有规定外，无论协商的结果如何，供应商应自行承担其参加本项目协商所涉及的一切费用。</w:t>
      </w:r>
    </w:p>
    <w:p w14:paraId="119DBB16">
      <w:pPr>
        <w:pStyle w:val="15"/>
        <w:ind w:left="0" w:leftChars="0" w:firstLine="422" w:firstLineChars="20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三、采购文件</w:t>
      </w:r>
    </w:p>
    <w:p w14:paraId="3081F669">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5、采购文件的组成</w:t>
      </w:r>
    </w:p>
    <w:p w14:paraId="5EEFBA7C">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5.1采购文件用以阐明所需项目协商程序和合同主要条款，由下列部分及在采购过程中发出的澄清或者修改文件组成：</w:t>
      </w:r>
    </w:p>
    <w:p w14:paraId="0E4AAAB5">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第一章协商邀请</w:t>
      </w:r>
    </w:p>
    <w:p w14:paraId="498AEAF1">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第二章协商须知前附表</w:t>
      </w:r>
    </w:p>
    <w:p w14:paraId="6DC5AE8A">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第三章协商须知正文</w:t>
      </w:r>
    </w:p>
    <w:p w14:paraId="5349DF2D">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第四章协商内容及要求</w:t>
      </w:r>
    </w:p>
    <w:p w14:paraId="0B1F10EF">
      <w:pPr>
        <w:pStyle w:val="15"/>
        <w:ind w:left="0" w:leftChars="0"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第五章</w:t>
      </w:r>
      <w:r>
        <w:rPr>
          <w:rFonts w:hint="eastAsia" w:ascii="宋体" w:hAnsi="宋体" w:eastAsia="宋体" w:cs="宋体"/>
          <w:color w:val="auto"/>
          <w:sz w:val="21"/>
          <w:szCs w:val="21"/>
          <w:lang w:eastAsia="zh-CN"/>
        </w:rPr>
        <w:t>合同</w:t>
      </w:r>
    </w:p>
    <w:p w14:paraId="446772E3">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第六章响应文件格式</w:t>
      </w:r>
    </w:p>
    <w:p w14:paraId="3C9DBBF0">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5.2采购文件的澄清或者修改</w:t>
      </w:r>
    </w:p>
    <w:p w14:paraId="4B04EEAD">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5.2.1采购方对已发出的采购文件进行必要澄清或者修改的，将以更正公告通知供应商。澄清或者修改文件作为采购文件的组成部分。</w:t>
      </w:r>
    </w:p>
    <w:p w14:paraId="54C18BAB">
      <w:pPr>
        <w:pStyle w:val="15"/>
        <w:ind w:left="0" w:leftChars="0" w:firstLine="422" w:firstLineChars="20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四、响应文件的编写</w:t>
      </w:r>
    </w:p>
    <w:p w14:paraId="36906AD3">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6、响应文件</w:t>
      </w:r>
    </w:p>
    <w:p w14:paraId="78B57F73">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6.1响应文件的编制</w:t>
      </w:r>
    </w:p>
    <w:p w14:paraId="743B09F6">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（1）供应商应仔细阅读采购文件的所有内容，按照采购文件的要求编制响应文件。</w:t>
      </w:r>
    </w:p>
    <w:p w14:paraId="6EF14A6B">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（2）响应文件应按照本章第6.2条规定编制其组成部分。</w:t>
      </w:r>
    </w:p>
    <w:p w14:paraId="45F612FB">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（3）响应文件应满足采购文件提出的实质性要求和条件，并保证其所提交的全部资料是不可割离且真实、有效、准确、完整和不具有任何误导性的，否则造成不利后果由供应商承担责任。</w:t>
      </w:r>
    </w:p>
    <w:p w14:paraId="496A8D3B">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6.2响应文件的组成：详见采购文件第六章《响应文件格式》。</w:t>
      </w:r>
    </w:p>
    <w:p w14:paraId="7B303391">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6.3响应文件的语言</w:t>
      </w:r>
    </w:p>
    <w:p w14:paraId="17750E25">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（1）除采购文件另有规定外，响应文件应使用中文文本，若有不同文本，以中文文本为准。</w:t>
      </w:r>
    </w:p>
    <w:p w14:paraId="43008326">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3C59A77">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6.4响应文件的份数：详见采购文件第二章《协商须知前附表》</w:t>
      </w:r>
    </w:p>
    <w:p w14:paraId="5AD6E09C">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6.5响应文件的格式</w:t>
      </w:r>
    </w:p>
    <w:p w14:paraId="1B11A721">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（1）除采购文件另有规定外，响应文件应使用采购文件第六章规定的格式。</w:t>
      </w:r>
    </w:p>
    <w:p w14:paraId="171E75FC">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（2）除采购文件另有规定外，响应文件的正本和全部副本均应使用不能擦去的墨料或墨水打印、书写或复印，其中副本可用正本的完整复印件，并与正本保持一致（若不一致，以正本为准）。</w:t>
      </w:r>
    </w:p>
    <w:p w14:paraId="3F30619C">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（3）除采购文件另有规定外，响应文件应使用我国法定计量单位，未列明时默认为我国法定计量单位。</w:t>
      </w:r>
    </w:p>
    <w:p w14:paraId="76C3727C">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（4）响应文件应由供应商代表签字并加盖供应商的单位公章。若供应商代表为单位负责人授权的委托代理人，应提供“单位负责人授权书”。</w:t>
      </w:r>
    </w:p>
    <w:p w14:paraId="5290FE64">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（5）响应文件应没有涂改或行间插字，除非这些改动是根据采购方的指示进行的，或是为改正响应人造成的应修改的错误而进行的。若有前述改动，应按照下列规定之一对改动处进行处理：</w:t>
      </w:r>
    </w:p>
    <w:p w14:paraId="7B7BFBA6">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①供应商代表签字确认；</w:t>
      </w:r>
    </w:p>
    <w:p w14:paraId="2D1FBE86">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②加盖供应商的单位公章或校正章。</w:t>
      </w:r>
    </w:p>
    <w:p w14:paraId="7B19C6D7">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6.6供应商报价</w:t>
      </w:r>
    </w:p>
    <w:p w14:paraId="1FE0DBDB">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（1）预算价作为最高限价。供应商报价超出最高限价者，按无效报价处理。</w:t>
      </w:r>
    </w:p>
    <w:p w14:paraId="761272E1">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（2）除采购文件另有规定外，响应文件应使用人民币作为计量货币。</w:t>
      </w:r>
    </w:p>
    <w:p w14:paraId="770D75C9">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（3）除采购文件另有规定外，响应文件不能出现任何选择性的报价，即每一个采购包和品目号的采购标的都只能有一个报价。任何选择性的报价将导致响应文件无效。</w:t>
      </w:r>
    </w:p>
    <w:p w14:paraId="500CFF77">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（4）供应商报价仅作为协商的参考，不得未经协商直接确定为成交价格。最后的成交价格应以协商后确定的价格为准。</w:t>
      </w:r>
    </w:p>
    <w:p w14:paraId="05D89931">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6.7响应有效期</w:t>
      </w:r>
    </w:p>
    <w:p w14:paraId="254A9C22">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（1）响应文件从采购文件第一章所规定的提交响应文件截止时间之后开始生效，在协商须知前附表第5项所规定的期限内保持有效。</w:t>
      </w:r>
    </w:p>
    <w:p w14:paraId="1829C94F">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（1）采购文件载明的响应有效期：详见采购文件第二章《协商须知前附表》。</w:t>
      </w:r>
    </w:p>
    <w:p w14:paraId="0E3E0B26">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（2）响应文件承诺的响应有效期不得少于采购文件载明的响应有效期，否则响应文件无效。</w:t>
      </w:r>
    </w:p>
    <w:p w14:paraId="77BF7F2F">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14:paraId="4ED8E244">
      <w:pPr>
        <w:pStyle w:val="15"/>
        <w:ind w:left="0" w:leftChars="0" w:firstLine="420" w:firstLineChars="200"/>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6.8协商保证金：</w:t>
      </w:r>
      <w:r>
        <w:rPr>
          <w:rFonts w:hint="eastAsia" w:ascii="宋体" w:hAnsi="宋体" w:eastAsia="宋体" w:cs="宋体"/>
          <w:color w:val="auto"/>
          <w:sz w:val="21"/>
          <w:szCs w:val="21"/>
          <w:lang w:val="en-US" w:eastAsia="zh-CN"/>
        </w:rPr>
        <w:t>本项目不收取协商保证金。</w:t>
      </w:r>
    </w:p>
    <w:p w14:paraId="3691F856">
      <w:pPr>
        <w:pStyle w:val="15"/>
        <w:ind w:left="0" w:leftChars="0" w:firstLine="422" w:firstLineChars="20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五、响应文件的提交</w:t>
      </w:r>
    </w:p>
    <w:p w14:paraId="38C2E713">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7.响应文件的递交</w:t>
      </w:r>
    </w:p>
    <w:p w14:paraId="7927FB48">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7.1供应商应按照协商第一章规定的时间和地点递交响应文件。</w:t>
      </w:r>
    </w:p>
    <w:p w14:paraId="7777EFAD">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7.2响应文件须由单位负责人或单位负责人正式授权的供应商代表递交，并由其参与本项目协商。</w:t>
      </w:r>
    </w:p>
    <w:p w14:paraId="66A429B0">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7.3供应商在提交响应文件截止时间前，可以对所提交的响应文件进行修改或者撤回，并书面通知采购方。修改的内容和撤回通知作为响应文件的组成部分。</w:t>
      </w:r>
    </w:p>
    <w:p w14:paraId="55ACB038">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8.响应文件未在协商邀请规定的截止时间前送达的，采购方将根据项目情况依法另行组织采购或延长响应文件提交截止时间。</w:t>
      </w:r>
    </w:p>
    <w:p w14:paraId="18A43FCB">
      <w:pPr>
        <w:pStyle w:val="15"/>
        <w:ind w:left="0" w:leftChars="0" w:firstLine="422" w:firstLineChars="20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六、协商</w:t>
      </w:r>
    </w:p>
    <w:p w14:paraId="3636F632">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9.协商小组</w:t>
      </w:r>
    </w:p>
    <w:p w14:paraId="3FA7B56D">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9.1采购方根据采购项目的特点依法组织具有相关经验的专业人员组建协商小组并在提交响应文件截止时间后的适当时间里对响应文件进行审查、评估、和供应商进行协商，并做出授予合同的建议。</w:t>
      </w:r>
    </w:p>
    <w:p w14:paraId="60BB5ADC">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9.2协商小组</w:t>
      </w:r>
    </w:p>
    <w:p w14:paraId="28B97453">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由采购人代表和评审专家两部分共3人组成，其中由专家库产生的评审专家2人，由采购人派出的采购人代表1人。</w:t>
      </w:r>
    </w:p>
    <w:p w14:paraId="0C3F71DA">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10.文件审查</w:t>
      </w:r>
    </w:p>
    <w:p w14:paraId="03E4E3B8">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10.1协商小组对响应文件进行审查。</w:t>
      </w:r>
    </w:p>
    <w:p w14:paraId="0EE27FD7">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11.协商并确定成交价格</w:t>
      </w:r>
    </w:p>
    <w:p w14:paraId="65CE066C">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11.1在项目预算范围内，协商小组与供应商就价格进行协商，在保证采购项目质量的前提下，确定合理的成交价格。</w:t>
      </w:r>
    </w:p>
    <w:p w14:paraId="74CDB4E5">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12.协商终止</w:t>
      </w:r>
    </w:p>
    <w:p w14:paraId="7242017B">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12.1出现下列情形之一的，采购方应当终止采购活动，发布项目终止公告并说明原因，重新开展采购活动：</w:t>
      </w:r>
    </w:p>
    <w:p w14:paraId="4481BA67">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(1)因情况变化，不再符合规定的单一来源采购方式适用情形的；</w:t>
      </w:r>
    </w:p>
    <w:p w14:paraId="26B7A6F4">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(2)出现影响采购公正的违法、违规行为的；</w:t>
      </w:r>
    </w:p>
    <w:p w14:paraId="0BF038B9">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(3)报价超过采购预算。</w:t>
      </w:r>
    </w:p>
    <w:p w14:paraId="79E6350D">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13.项目取消</w:t>
      </w:r>
    </w:p>
    <w:p w14:paraId="709B7573">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在采购活动中因重大变故，采购任务取消的，采购方应当终止采购活动，通知所有参加采购活动的供应商，并将项目实施情况和采购任务取消原因报送本级财政部门。</w:t>
      </w:r>
    </w:p>
    <w:p w14:paraId="4735BFE4">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14.保密要求</w:t>
      </w:r>
    </w:p>
    <w:p w14:paraId="43567DB5">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14.1协商小组以及与协商工作有关的人员对协商情况以及协商过程中获悉的国家秘密、商业秘密应当保密。</w:t>
      </w:r>
    </w:p>
    <w:p w14:paraId="71F14913">
      <w:pPr>
        <w:pStyle w:val="15"/>
        <w:ind w:left="0" w:leftChars="0" w:firstLine="422" w:firstLineChars="200"/>
        <w:jc w:val="both"/>
        <w:outlineLvl w:val="2"/>
        <w:rPr>
          <w:rFonts w:hint="eastAsia" w:ascii="宋体" w:hAnsi="宋体" w:eastAsia="宋体" w:cs="宋体"/>
          <w:color w:val="auto"/>
          <w:sz w:val="21"/>
          <w:szCs w:val="21"/>
          <w:lang w:eastAsia="zh-CN"/>
        </w:rPr>
      </w:pPr>
      <w:r>
        <w:rPr>
          <w:rFonts w:hint="eastAsia" w:ascii="宋体" w:hAnsi="宋体" w:eastAsia="宋体" w:cs="宋体"/>
          <w:b/>
          <w:color w:val="auto"/>
          <w:sz w:val="21"/>
          <w:szCs w:val="21"/>
        </w:rPr>
        <w:t>七、成交与</w:t>
      </w:r>
      <w:r>
        <w:rPr>
          <w:rFonts w:hint="eastAsia" w:ascii="宋体" w:hAnsi="宋体" w:eastAsia="宋体" w:cs="宋体"/>
          <w:b/>
          <w:color w:val="auto"/>
          <w:sz w:val="21"/>
          <w:szCs w:val="21"/>
          <w:lang w:eastAsia="zh-CN"/>
        </w:rPr>
        <w:t>合同</w:t>
      </w:r>
    </w:p>
    <w:p w14:paraId="1777360C">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15.成交</w:t>
      </w:r>
    </w:p>
    <w:p w14:paraId="490A6355">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15.1成交结果信息的公布</w:t>
      </w:r>
    </w:p>
    <w:p w14:paraId="002FEE54">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(1)成交供应商确定后2个工作日内，采购方应将成交结果信息（含采购文件）在采购文件载明的媒体上以结果公告的形式发布成交结果。</w:t>
      </w:r>
    </w:p>
    <w:p w14:paraId="4A483FE8">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(2)结果公告的公告期限为１个工作日。</w:t>
      </w:r>
    </w:p>
    <w:p w14:paraId="40BF75DB">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15.2成交通知</w:t>
      </w:r>
    </w:p>
    <w:p w14:paraId="1A32AB1A">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(1)结果公告发布的同时，采购方将以书面形式向成交供应商发出成交通知书。</w:t>
      </w:r>
    </w:p>
    <w:p w14:paraId="51C03581">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(2)成交通知书对采购人和成交供应商具有同等法律效力。成交通知书发出后，成交供应商放弃成交的，应依法承担法律责任。</w:t>
      </w:r>
    </w:p>
    <w:p w14:paraId="4D365C9B">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(3)成交通知书是合同文件的组成部分。</w:t>
      </w:r>
    </w:p>
    <w:p w14:paraId="2D2BF2E1">
      <w:pPr>
        <w:pStyle w:val="15"/>
        <w:ind w:left="0" w:leftChars="0"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16.</w:t>
      </w:r>
      <w:r>
        <w:rPr>
          <w:rFonts w:hint="eastAsia" w:ascii="宋体" w:hAnsi="宋体" w:eastAsia="宋体" w:cs="宋体"/>
          <w:color w:val="auto"/>
          <w:sz w:val="21"/>
          <w:szCs w:val="21"/>
          <w:lang w:eastAsia="zh-CN"/>
        </w:rPr>
        <w:t>合同</w:t>
      </w:r>
    </w:p>
    <w:p w14:paraId="63A801B1">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16.1履约保证金（若有）：成交供应商在收到成交通知书后，应按照采购文件的规定，向采购人提交履约保证金，具体见协商须知前附表。成交供应商没有按照本章规定提交履约保证金的，视为放弃成交资格。</w:t>
      </w:r>
    </w:p>
    <w:p w14:paraId="269F1C96">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16.2签订依据：成交通知书、采购文件、成交供应商的响应文件及其补充的响应文件等均为签订</w:t>
      </w:r>
      <w:r>
        <w:rPr>
          <w:rFonts w:hint="eastAsia" w:ascii="宋体" w:hAnsi="宋体" w:eastAsia="宋体" w:cs="宋体"/>
          <w:color w:val="auto"/>
          <w:sz w:val="21"/>
          <w:szCs w:val="21"/>
          <w:lang w:eastAsia="zh-CN"/>
        </w:rPr>
        <w:t>合同</w:t>
      </w:r>
      <w:r>
        <w:rPr>
          <w:rFonts w:hint="eastAsia" w:ascii="宋体" w:hAnsi="宋体" w:eastAsia="宋体" w:cs="宋体"/>
          <w:color w:val="auto"/>
          <w:sz w:val="21"/>
          <w:szCs w:val="21"/>
        </w:rPr>
        <w:t>的依据。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7F8310B8">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16.3合同签订时限：详见须知前附表。</w:t>
      </w:r>
    </w:p>
    <w:p w14:paraId="07CA9E2E">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16.4补充合同：</w:t>
      </w:r>
      <w:r>
        <w:rPr>
          <w:rFonts w:hint="eastAsia" w:ascii="宋体" w:hAnsi="宋体" w:eastAsia="宋体" w:cs="宋体"/>
          <w:color w:val="auto"/>
          <w:sz w:val="21"/>
          <w:szCs w:val="21"/>
          <w:lang w:eastAsia="zh-CN"/>
        </w:rPr>
        <w:t>合同</w:t>
      </w:r>
      <w:r>
        <w:rPr>
          <w:rFonts w:hint="eastAsia" w:ascii="宋体" w:hAnsi="宋体" w:eastAsia="宋体" w:cs="宋体"/>
          <w:color w:val="auto"/>
          <w:sz w:val="21"/>
          <w:szCs w:val="21"/>
        </w:rPr>
        <w:t>履行中，采购人需追加与合同标的相同的货物、工程或者服务的，在不改变合同其他条款的前提下，可以与供应商协商签订补充合同，但所有补充合同的采购金额不得超过原合同采购金额的百分之十。</w:t>
      </w:r>
    </w:p>
    <w:p w14:paraId="109092C3">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16.5</w:t>
      </w:r>
      <w:r>
        <w:rPr>
          <w:rFonts w:hint="eastAsia" w:ascii="宋体" w:hAnsi="宋体" w:eastAsia="宋体" w:cs="宋体"/>
          <w:color w:val="auto"/>
          <w:sz w:val="21"/>
          <w:szCs w:val="21"/>
          <w:lang w:eastAsia="zh-CN"/>
        </w:rPr>
        <w:t>合同</w:t>
      </w:r>
      <w:r>
        <w:rPr>
          <w:rFonts w:hint="eastAsia" w:ascii="宋体" w:hAnsi="宋体" w:eastAsia="宋体" w:cs="宋体"/>
          <w:color w:val="auto"/>
          <w:sz w:val="21"/>
          <w:szCs w:val="21"/>
        </w:rPr>
        <w:t>的履行、违约责任和解决争议的方法等适用民法典。</w:t>
      </w:r>
    </w:p>
    <w:p w14:paraId="783B2E51">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16.</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成交供应商在</w:t>
      </w:r>
      <w:r>
        <w:rPr>
          <w:rFonts w:hint="eastAsia" w:ascii="宋体" w:hAnsi="宋体" w:eastAsia="宋体" w:cs="宋体"/>
          <w:color w:val="auto"/>
          <w:sz w:val="21"/>
          <w:szCs w:val="21"/>
          <w:lang w:eastAsia="zh-CN"/>
        </w:rPr>
        <w:t>合同</w:t>
      </w:r>
      <w:r>
        <w:rPr>
          <w:rFonts w:hint="eastAsia" w:ascii="宋体" w:hAnsi="宋体" w:eastAsia="宋体" w:cs="宋体"/>
          <w:color w:val="auto"/>
          <w:sz w:val="21"/>
          <w:szCs w:val="21"/>
        </w:rPr>
        <w:t>履行过程中应遵守有关法律、法规和规章的强制性规定（即使前述强制性规定有可能在采购文件中未予列明）。</w:t>
      </w:r>
    </w:p>
    <w:p w14:paraId="208262B3">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16.</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成交供应商有下列情形之一的，应依法承担违约责任：</w:t>
      </w:r>
    </w:p>
    <w:p w14:paraId="103DB490">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（1）在成交后，无正当理由不与采购人签订合同的；</w:t>
      </w:r>
    </w:p>
    <w:p w14:paraId="281D02BD">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（2）在履行期限届满前，明确表示或以自己的行为表明不履行合同义务的；</w:t>
      </w:r>
    </w:p>
    <w:p w14:paraId="46AE273E">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（3）迟延履行合同，经催告后在合理期限内仍未履行；</w:t>
      </w:r>
    </w:p>
    <w:p w14:paraId="43CF6C54">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（4）有违反法律、法规相关规定的其他违约行为致使不能实现合同目的；</w:t>
      </w:r>
    </w:p>
    <w:p w14:paraId="39C46976">
      <w:pPr>
        <w:pStyle w:val="15"/>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（5）将合同转包，或采取分包方式履行合同的。</w:t>
      </w:r>
    </w:p>
    <w:p w14:paraId="27E08BDC">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17.供应商须保证采购人在使用该标的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14:paraId="69D2A304">
      <w:pPr>
        <w:pStyle w:val="15"/>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18.本项目中如涉及商品包装和快递包装的，其包装需求标准应不低于《关于印发〈商品包装政府采购需求标准(试行)〉、〈快递包装政府采购需求标准(试行)〉的通知》（财办库〔2020〕123号）规定的包装要求，其他包装需求详见采购文件具体规定。采购人、成交人双方签订合同及验收环节，应包含上述包装要求的条款。</w:t>
      </w:r>
    </w:p>
    <w:p w14:paraId="42C4A34C">
      <w:pPr>
        <w:pStyle w:val="15"/>
        <w:rPr>
          <w:rFonts w:hint="eastAsia" w:ascii="宋体" w:hAnsi="宋体" w:eastAsia="宋体" w:cs="宋体"/>
          <w:color w:val="auto"/>
          <w:sz w:val="21"/>
          <w:szCs w:val="21"/>
        </w:rPr>
      </w:pP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br w:type="page"/>
      </w:r>
    </w:p>
    <w:p w14:paraId="65B9EF04">
      <w:pPr>
        <w:pStyle w:val="15"/>
        <w:jc w:val="center"/>
        <w:outlineLvl w:val="1"/>
        <w:rPr>
          <w:rFonts w:hint="eastAsia" w:ascii="宋体" w:hAnsi="宋体" w:eastAsia="宋体" w:cs="宋体"/>
          <w:b/>
          <w:color w:val="auto"/>
          <w:sz w:val="32"/>
          <w:szCs w:val="32"/>
        </w:rPr>
      </w:pPr>
      <w:r>
        <w:rPr>
          <w:rFonts w:hint="eastAsia" w:ascii="宋体" w:hAnsi="宋体" w:eastAsia="宋体" w:cs="宋体"/>
          <w:b/>
          <w:color w:val="auto"/>
          <w:sz w:val="32"/>
          <w:szCs w:val="32"/>
        </w:rPr>
        <w:t>第四章协商内容及要求</w:t>
      </w:r>
    </w:p>
    <w:p w14:paraId="6F697214">
      <w:pPr>
        <w:pStyle w:val="15"/>
        <w:keepNext w:val="0"/>
        <w:keepLines w:val="0"/>
        <w:pageBreakBefore w:val="0"/>
        <w:kinsoku/>
        <w:wordWrap/>
        <w:overflowPunct/>
        <w:topLinePunct w:val="0"/>
        <w:autoSpaceDE/>
        <w:autoSpaceDN/>
        <w:bidi w:val="0"/>
        <w:adjustRightInd/>
        <w:snapToGrid w:val="0"/>
        <w:spacing w:line="360" w:lineRule="auto"/>
        <w:jc w:val="both"/>
        <w:textAlignment w:val="auto"/>
        <w:outlineLvl w:val="2"/>
        <w:rPr>
          <w:rFonts w:hint="eastAsia" w:ascii="宋体" w:hAnsi="宋体" w:eastAsia="宋体" w:cs="宋体"/>
          <w:b/>
          <w:color w:val="auto"/>
          <w:sz w:val="21"/>
          <w:szCs w:val="21"/>
        </w:rPr>
      </w:pPr>
      <w:r>
        <w:rPr>
          <w:rFonts w:hint="eastAsia" w:ascii="宋体" w:hAnsi="宋体" w:eastAsia="宋体" w:cs="宋体"/>
          <w:b/>
          <w:color w:val="auto"/>
          <w:sz w:val="21"/>
          <w:szCs w:val="21"/>
        </w:rPr>
        <w:t>一、项目概况</w:t>
      </w:r>
    </w:p>
    <w:p w14:paraId="0DF83502">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本项目拟对采购人</w:t>
      </w:r>
      <w:r>
        <w:rPr>
          <w:rFonts w:hint="eastAsia" w:ascii="宋体" w:hAnsi="宋体" w:eastAsia="宋体" w:cs="宋体"/>
          <w:color w:val="auto"/>
          <w:sz w:val="21"/>
          <w:szCs w:val="21"/>
          <w:highlight w:val="none"/>
        </w:rPr>
        <w:t>主校区19部电梯（10部奥的斯品牌电梯、2部富士达品牌电梯，3</w:t>
      </w:r>
      <w:r>
        <w:rPr>
          <w:rFonts w:hint="eastAsia" w:ascii="宋体" w:hAnsi="宋体" w:eastAsia="宋体" w:cs="宋体"/>
          <w:color w:val="auto"/>
          <w:sz w:val="21"/>
          <w:szCs w:val="21"/>
          <w:highlight w:val="none"/>
          <w:lang w:eastAsia="zh-CN"/>
        </w:rPr>
        <w:t>部通力品牌电梯，2部苏州德奥品牌电梯，2部杭州西奥品牌电梯）维保服务进行采购。</w:t>
      </w:r>
    </w:p>
    <w:p w14:paraId="6A7BB99C">
      <w:pPr>
        <w:pStyle w:val="15"/>
        <w:keepNext w:val="0"/>
        <w:keepLines w:val="0"/>
        <w:pageBreakBefore w:val="0"/>
        <w:kinsoku/>
        <w:wordWrap/>
        <w:overflowPunct/>
        <w:topLinePunct w:val="0"/>
        <w:autoSpaceDE/>
        <w:autoSpaceDN/>
        <w:bidi w:val="0"/>
        <w:adjustRightInd/>
        <w:snapToGrid w:val="0"/>
        <w:spacing w:line="360" w:lineRule="auto"/>
        <w:jc w:val="both"/>
        <w:textAlignment w:val="auto"/>
        <w:outlineLvl w:val="2"/>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二、技术要求</w:t>
      </w:r>
    </w:p>
    <w:p w14:paraId="5B36C052">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（一）维保设备清单</w:t>
      </w:r>
    </w:p>
    <w:tbl>
      <w:tblPr>
        <w:tblStyle w:val="11"/>
        <w:tblW w:w="5000" w:type="pct"/>
        <w:jc w:val="center"/>
        <w:tblLayout w:type="fixed"/>
        <w:tblCellMar>
          <w:top w:w="0" w:type="dxa"/>
          <w:left w:w="108" w:type="dxa"/>
          <w:bottom w:w="0" w:type="dxa"/>
          <w:right w:w="108" w:type="dxa"/>
        </w:tblCellMar>
      </w:tblPr>
      <w:tblGrid>
        <w:gridCol w:w="355"/>
        <w:gridCol w:w="637"/>
        <w:gridCol w:w="918"/>
        <w:gridCol w:w="994"/>
        <w:gridCol w:w="709"/>
        <w:gridCol w:w="478"/>
        <w:gridCol w:w="1036"/>
        <w:gridCol w:w="614"/>
        <w:gridCol w:w="600"/>
        <w:gridCol w:w="1051"/>
        <w:gridCol w:w="1130"/>
      </w:tblGrid>
      <w:tr w14:paraId="65DEC257">
        <w:tblPrEx>
          <w:tblCellMar>
            <w:top w:w="0" w:type="dxa"/>
            <w:left w:w="108" w:type="dxa"/>
            <w:bottom w:w="0" w:type="dxa"/>
            <w:right w:w="108" w:type="dxa"/>
          </w:tblCellMar>
        </w:tblPrEx>
        <w:trPr>
          <w:trHeight w:val="568"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9F79">
            <w:pPr>
              <w:widowControl/>
              <w:spacing w:line="220" w:lineRule="exact"/>
              <w:jc w:val="center"/>
              <w:textAlignment w:val="center"/>
              <w:rPr>
                <w:rFonts w:hint="eastAsia" w:ascii="宋体" w:hAnsi="宋体" w:eastAsia="宋体" w:cs="宋体"/>
                <w:color w:val="auto"/>
                <w:sz w:val="16"/>
                <w:szCs w:val="16"/>
                <w:lang w:eastAsia="zh-CN"/>
              </w:rPr>
            </w:pPr>
            <w:r>
              <w:rPr>
                <w:rFonts w:hint="eastAsia" w:ascii="宋体" w:hAnsi="宋体" w:eastAsia="宋体" w:cs="宋体"/>
                <w:color w:val="auto"/>
                <w:kern w:val="0"/>
                <w:sz w:val="16"/>
                <w:szCs w:val="16"/>
                <w:lang w:eastAsia="zh-CN"/>
              </w:rPr>
              <w:t>采购包</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13B6">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品牌</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4D2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电梯编号</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D0C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电梯型号</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65F1">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使用地点</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7F99">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层数</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AA266">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投入使用</w:t>
            </w:r>
          </w:p>
          <w:p w14:paraId="5247A2E2">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日期</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AF8E">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年检</w:t>
            </w:r>
          </w:p>
          <w:p w14:paraId="489B8688">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时间</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ED81D">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拟采购维保方式</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3E2D4">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单台电梯</w:t>
            </w:r>
          </w:p>
          <w:p w14:paraId="3FAEEFF6">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月维保费</w:t>
            </w:r>
          </w:p>
          <w:p w14:paraId="28DA039E">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预算（元/月）</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0FAD">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2025.7-2027.6维保费用</w:t>
            </w:r>
          </w:p>
          <w:p w14:paraId="6A071395">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预算（元/两年）</w:t>
            </w:r>
          </w:p>
        </w:tc>
      </w:tr>
      <w:tr w14:paraId="1BC91D90">
        <w:tblPrEx>
          <w:tblCellMar>
            <w:top w:w="0" w:type="dxa"/>
            <w:left w:w="108" w:type="dxa"/>
            <w:bottom w:w="0" w:type="dxa"/>
            <w:right w:w="108" w:type="dxa"/>
          </w:tblCellMar>
        </w:tblPrEx>
        <w:trPr>
          <w:trHeight w:val="624" w:hRule="atLeast"/>
          <w:jc w:val="center"/>
        </w:trPr>
        <w:tc>
          <w:tcPr>
            <w:tcW w:w="208" w:type="pct"/>
            <w:vMerge w:val="restart"/>
            <w:tcBorders>
              <w:top w:val="single" w:color="000000" w:sz="4" w:space="0"/>
              <w:left w:val="single" w:color="000000" w:sz="4" w:space="0"/>
              <w:right w:val="single" w:color="000000" w:sz="4" w:space="0"/>
            </w:tcBorders>
            <w:shd w:val="clear" w:color="auto" w:fill="auto"/>
            <w:noWrap/>
            <w:vAlign w:val="center"/>
          </w:tcPr>
          <w:p w14:paraId="4B8CCE1F">
            <w:pPr>
              <w:widowControl/>
              <w:spacing w:line="220" w:lineRule="exact"/>
              <w:jc w:val="center"/>
              <w:textAlignment w:val="center"/>
              <w:rPr>
                <w:rFonts w:hint="eastAsia"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9BBE">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奥的斯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9AD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D6NE9578</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B4E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OTIS3200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2003">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行政楼</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D840">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9</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7583">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2004.1.14</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F1C2">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9月</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BF622">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全包</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6EA2">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1300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3F16">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31200</w:t>
            </w:r>
          </w:p>
        </w:tc>
      </w:tr>
      <w:tr w14:paraId="1DE29810">
        <w:tblPrEx>
          <w:tblCellMar>
            <w:top w:w="0" w:type="dxa"/>
            <w:left w:w="108" w:type="dxa"/>
            <w:bottom w:w="0" w:type="dxa"/>
            <w:right w:w="108" w:type="dxa"/>
          </w:tblCellMar>
        </w:tblPrEx>
        <w:trPr>
          <w:trHeight w:val="624" w:hRule="atLeast"/>
          <w:jc w:val="center"/>
        </w:trPr>
        <w:tc>
          <w:tcPr>
            <w:tcW w:w="208" w:type="pct"/>
            <w:vMerge w:val="continue"/>
            <w:tcBorders>
              <w:left w:val="single" w:color="000000" w:sz="4" w:space="0"/>
              <w:right w:val="single" w:color="000000" w:sz="4" w:space="0"/>
            </w:tcBorders>
            <w:shd w:val="clear" w:color="auto" w:fill="auto"/>
            <w:noWrap/>
            <w:vAlign w:val="center"/>
          </w:tcPr>
          <w:p w14:paraId="1E54219D">
            <w:pPr>
              <w:widowControl/>
              <w:spacing w:line="220" w:lineRule="exact"/>
              <w:jc w:val="center"/>
              <w:textAlignment w:val="center"/>
              <w:rPr>
                <w:rFonts w:ascii="宋体" w:hAnsi="宋体" w:eastAsia="宋体" w:cs="宋体"/>
                <w:color w:val="auto"/>
                <w:kern w:val="0"/>
                <w:sz w:val="16"/>
                <w:szCs w:val="16"/>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5B73">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奥的斯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E8A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D6NE9579</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CD1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OTIS3200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1FB8">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行政楼</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B5B5">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9</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24BE">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2004.1.14</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9803">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9月</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A24F">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全包</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1A8C">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1300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661B3">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31200</w:t>
            </w:r>
          </w:p>
        </w:tc>
      </w:tr>
      <w:tr w14:paraId="3D958F07">
        <w:tblPrEx>
          <w:tblCellMar>
            <w:top w:w="0" w:type="dxa"/>
            <w:left w:w="108" w:type="dxa"/>
            <w:bottom w:w="0" w:type="dxa"/>
            <w:right w:w="108" w:type="dxa"/>
          </w:tblCellMar>
        </w:tblPrEx>
        <w:trPr>
          <w:trHeight w:val="624" w:hRule="atLeast"/>
          <w:jc w:val="center"/>
        </w:trPr>
        <w:tc>
          <w:tcPr>
            <w:tcW w:w="208" w:type="pct"/>
            <w:vMerge w:val="continue"/>
            <w:tcBorders>
              <w:left w:val="single" w:color="000000" w:sz="4" w:space="0"/>
              <w:right w:val="single" w:color="000000" w:sz="4" w:space="0"/>
            </w:tcBorders>
            <w:shd w:val="clear" w:color="auto" w:fill="auto"/>
            <w:noWrap/>
            <w:vAlign w:val="center"/>
          </w:tcPr>
          <w:p w14:paraId="35319C07">
            <w:pPr>
              <w:widowControl/>
              <w:spacing w:line="220" w:lineRule="exact"/>
              <w:jc w:val="center"/>
              <w:textAlignment w:val="center"/>
              <w:rPr>
                <w:rFonts w:ascii="宋体" w:hAnsi="宋体" w:eastAsia="宋体" w:cs="宋体"/>
                <w:color w:val="auto"/>
                <w:kern w:val="0"/>
                <w:sz w:val="16"/>
                <w:szCs w:val="16"/>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F9DC">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奥的斯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CBA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D6NE9576</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2AC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OTIS3200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F46E">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荣茂楼</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71E7">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1241">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2003.11.5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8AFD">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9月</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4BDC1">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全包</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C5984">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1300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8FF8">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31200</w:t>
            </w:r>
          </w:p>
        </w:tc>
      </w:tr>
      <w:tr w14:paraId="64F30D5B">
        <w:tblPrEx>
          <w:tblCellMar>
            <w:top w:w="0" w:type="dxa"/>
            <w:left w:w="108" w:type="dxa"/>
            <w:bottom w:w="0" w:type="dxa"/>
            <w:right w:w="108" w:type="dxa"/>
          </w:tblCellMar>
        </w:tblPrEx>
        <w:trPr>
          <w:trHeight w:val="624" w:hRule="atLeast"/>
          <w:jc w:val="center"/>
        </w:trPr>
        <w:tc>
          <w:tcPr>
            <w:tcW w:w="208" w:type="pct"/>
            <w:vMerge w:val="continue"/>
            <w:tcBorders>
              <w:left w:val="single" w:color="000000" w:sz="4" w:space="0"/>
              <w:right w:val="single" w:color="000000" w:sz="4" w:space="0"/>
            </w:tcBorders>
            <w:shd w:val="clear" w:color="auto" w:fill="auto"/>
            <w:noWrap/>
            <w:vAlign w:val="center"/>
          </w:tcPr>
          <w:p w14:paraId="7B2F1C89">
            <w:pPr>
              <w:widowControl/>
              <w:spacing w:line="220" w:lineRule="exact"/>
              <w:jc w:val="center"/>
              <w:textAlignment w:val="center"/>
              <w:rPr>
                <w:rFonts w:ascii="宋体" w:hAnsi="宋体" w:eastAsia="宋体" w:cs="宋体"/>
                <w:color w:val="auto"/>
                <w:kern w:val="0"/>
                <w:sz w:val="16"/>
                <w:szCs w:val="16"/>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4BCB">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奥的斯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5B6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D6NE9577</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CB4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OTIS3200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A59C">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荣茂楼</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0A47">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6E16">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2003.11.5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0A6C">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9月</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8BB17">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全包</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7829">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1300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1D1F">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31200</w:t>
            </w:r>
          </w:p>
        </w:tc>
      </w:tr>
      <w:tr w14:paraId="376D1A68">
        <w:tblPrEx>
          <w:tblCellMar>
            <w:top w:w="0" w:type="dxa"/>
            <w:left w:w="108" w:type="dxa"/>
            <w:bottom w:w="0" w:type="dxa"/>
            <w:right w:w="108" w:type="dxa"/>
          </w:tblCellMar>
        </w:tblPrEx>
        <w:trPr>
          <w:trHeight w:val="624" w:hRule="atLeast"/>
          <w:jc w:val="center"/>
        </w:trPr>
        <w:tc>
          <w:tcPr>
            <w:tcW w:w="208" w:type="pct"/>
            <w:vMerge w:val="continue"/>
            <w:tcBorders>
              <w:left w:val="single" w:color="000000" w:sz="4" w:space="0"/>
              <w:right w:val="single" w:color="000000" w:sz="4" w:space="0"/>
            </w:tcBorders>
            <w:shd w:val="clear" w:color="auto" w:fill="auto"/>
            <w:noWrap/>
            <w:vAlign w:val="center"/>
          </w:tcPr>
          <w:p w14:paraId="354F9365">
            <w:pPr>
              <w:widowControl/>
              <w:spacing w:line="220" w:lineRule="exact"/>
              <w:jc w:val="center"/>
              <w:textAlignment w:val="center"/>
              <w:rPr>
                <w:rFonts w:ascii="宋体" w:hAnsi="宋体" w:eastAsia="宋体" w:cs="宋体"/>
                <w:color w:val="auto"/>
                <w:sz w:val="16"/>
                <w:szCs w:val="16"/>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1A06">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奥的斯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003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D6NE9580</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4F5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OTIS3200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C555">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图书馆</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7F41">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3930">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2004.12.7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5179">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9月</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99A3">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全包</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03867">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1300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B8E4">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31200</w:t>
            </w:r>
          </w:p>
        </w:tc>
      </w:tr>
      <w:tr w14:paraId="3F680EB1">
        <w:tblPrEx>
          <w:tblCellMar>
            <w:top w:w="0" w:type="dxa"/>
            <w:left w:w="108" w:type="dxa"/>
            <w:bottom w:w="0" w:type="dxa"/>
            <w:right w:w="108" w:type="dxa"/>
          </w:tblCellMar>
        </w:tblPrEx>
        <w:trPr>
          <w:trHeight w:val="624" w:hRule="atLeast"/>
          <w:jc w:val="center"/>
        </w:trPr>
        <w:tc>
          <w:tcPr>
            <w:tcW w:w="208" w:type="pct"/>
            <w:vMerge w:val="continue"/>
            <w:tcBorders>
              <w:left w:val="single" w:color="000000" w:sz="4" w:space="0"/>
              <w:right w:val="single" w:color="000000" w:sz="4" w:space="0"/>
            </w:tcBorders>
            <w:shd w:val="clear" w:color="auto" w:fill="auto"/>
            <w:noWrap/>
            <w:vAlign w:val="center"/>
          </w:tcPr>
          <w:p w14:paraId="2E0BC44F">
            <w:pPr>
              <w:widowControl/>
              <w:spacing w:line="220" w:lineRule="exact"/>
              <w:jc w:val="center"/>
              <w:textAlignment w:val="center"/>
              <w:rPr>
                <w:rFonts w:ascii="宋体" w:hAnsi="宋体" w:eastAsia="宋体" w:cs="宋体"/>
                <w:color w:val="auto"/>
                <w:sz w:val="16"/>
                <w:szCs w:val="16"/>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6A9E">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奥的斯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4BA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D6NE9581</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FE6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OTIS3200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722F">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图书馆</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9D69">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D7BA">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2004.12.7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B85D">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9月</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661D">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全包</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C7B13">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1300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F3B29">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31200</w:t>
            </w:r>
          </w:p>
        </w:tc>
      </w:tr>
      <w:tr w14:paraId="101631B6">
        <w:tblPrEx>
          <w:tblCellMar>
            <w:top w:w="0" w:type="dxa"/>
            <w:left w:w="108" w:type="dxa"/>
            <w:bottom w:w="0" w:type="dxa"/>
            <w:right w:w="108" w:type="dxa"/>
          </w:tblCellMar>
        </w:tblPrEx>
        <w:trPr>
          <w:trHeight w:val="624" w:hRule="atLeast"/>
          <w:jc w:val="center"/>
        </w:trPr>
        <w:tc>
          <w:tcPr>
            <w:tcW w:w="208" w:type="pct"/>
            <w:vMerge w:val="continue"/>
            <w:tcBorders>
              <w:left w:val="single" w:color="000000" w:sz="4" w:space="0"/>
              <w:right w:val="single" w:color="000000" w:sz="4" w:space="0"/>
            </w:tcBorders>
            <w:shd w:val="clear" w:color="auto" w:fill="auto"/>
            <w:noWrap/>
            <w:vAlign w:val="center"/>
          </w:tcPr>
          <w:p w14:paraId="0168E5ED">
            <w:pPr>
              <w:widowControl/>
              <w:spacing w:line="220" w:lineRule="exact"/>
              <w:jc w:val="center"/>
              <w:textAlignment w:val="center"/>
              <w:rPr>
                <w:rFonts w:ascii="宋体" w:hAnsi="宋体" w:eastAsia="宋体" w:cs="宋体"/>
                <w:color w:val="auto"/>
                <w:sz w:val="16"/>
                <w:szCs w:val="16"/>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CC92">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奥的斯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3AF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D6NE9582</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438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OTIS3200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8ECA">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图书馆</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B740">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6721">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2004.12.7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0DDE">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9月</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03D1">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全包</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ABBC">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1300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55E2B">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31200</w:t>
            </w:r>
          </w:p>
        </w:tc>
      </w:tr>
      <w:tr w14:paraId="2414D20C">
        <w:tblPrEx>
          <w:tblCellMar>
            <w:top w:w="0" w:type="dxa"/>
            <w:left w:w="108" w:type="dxa"/>
            <w:bottom w:w="0" w:type="dxa"/>
            <w:right w:w="108" w:type="dxa"/>
          </w:tblCellMar>
        </w:tblPrEx>
        <w:trPr>
          <w:trHeight w:val="624" w:hRule="atLeast"/>
          <w:jc w:val="center"/>
        </w:trPr>
        <w:tc>
          <w:tcPr>
            <w:tcW w:w="208" w:type="pct"/>
            <w:vMerge w:val="continue"/>
            <w:tcBorders>
              <w:left w:val="single" w:color="000000" w:sz="4" w:space="0"/>
              <w:right w:val="single" w:color="000000" w:sz="4" w:space="0"/>
            </w:tcBorders>
            <w:shd w:val="clear" w:color="auto" w:fill="auto"/>
            <w:noWrap/>
            <w:vAlign w:val="center"/>
          </w:tcPr>
          <w:p w14:paraId="5E6D5719">
            <w:pPr>
              <w:widowControl/>
              <w:spacing w:line="220" w:lineRule="exact"/>
              <w:jc w:val="center"/>
              <w:textAlignment w:val="center"/>
              <w:rPr>
                <w:rFonts w:ascii="宋体" w:hAnsi="宋体" w:eastAsia="宋体" w:cs="宋体"/>
                <w:color w:val="auto"/>
                <w:sz w:val="16"/>
                <w:szCs w:val="16"/>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0B52">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奥的斯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FAF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D6NE9583</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3DB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OTIS3200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D882">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图书馆</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751E">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1ACA">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2004.12.7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06DA">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9月</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85F3">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全包</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0714">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1300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F1CB7">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31200</w:t>
            </w:r>
          </w:p>
        </w:tc>
      </w:tr>
      <w:tr w14:paraId="10579A40">
        <w:tblPrEx>
          <w:tblCellMar>
            <w:top w:w="0" w:type="dxa"/>
            <w:left w:w="108" w:type="dxa"/>
            <w:bottom w:w="0" w:type="dxa"/>
            <w:right w:w="108" w:type="dxa"/>
          </w:tblCellMar>
        </w:tblPrEx>
        <w:trPr>
          <w:trHeight w:val="624" w:hRule="atLeast"/>
          <w:jc w:val="center"/>
        </w:trPr>
        <w:tc>
          <w:tcPr>
            <w:tcW w:w="208" w:type="pct"/>
            <w:vMerge w:val="continue"/>
            <w:tcBorders>
              <w:left w:val="single" w:color="000000" w:sz="4" w:space="0"/>
              <w:right w:val="single" w:color="000000" w:sz="4" w:space="0"/>
            </w:tcBorders>
            <w:shd w:val="clear" w:color="auto" w:fill="auto"/>
            <w:noWrap/>
            <w:vAlign w:val="center"/>
          </w:tcPr>
          <w:p w14:paraId="31ECB463">
            <w:pPr>
              <w:widowControl/>
              <w:spacing w:line="220" w:lineRule="exact"/>
              <w:jc w:val="center"/>
              <w:textAlignment w:val="center"/>
              <w:rPr>
                <w:rFonts w:ascii="宋体" w:hAnsi="宋体" w:eastAsia="宋体" w:cs="宋体"/>
                <w:color w:val="auto"/>
                <w:kern w:val="0"/>
                <w:sz w:val="16"/>
                <w:szCs w:val="16"/>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AAFC">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奥的斯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DE7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D6NF4656</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880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OTIS3200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50E8">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实验楼</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C94D">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7</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C972">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2006.3.14</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804A">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4月</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DD599">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全包</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3FF10">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1300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29F4B">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31200</w:t>
            </w:r>
          </w:p>
        </w:tc>
      </w:tr>
      <w:tr w14:paraId="0914FFF8">
        <w:tblPrEx>
          <w:tblCellMar>
            <w:top w:w="0" w:type="dxa"/>
            <w:left w:w="108" w:type="dxa"/>
            <w:bottom w:w="0" w:type="dxa"/>
            <w:right w:w="108" w:type="dxa"/>
          </w:tblCellMar>
        </w:tblPrEx>
        <w:trPr>
          <w:trHeight w:val="624" w:hRule="atLeast"/>
          <w:jc w:val="center"/>
        </w:trPr>
        <w:tc>
          <w:tcPr>
            <w:tcW w:w="208" w:type="pct"/>
            <w:vMerge w:val="continue"/>
            <w:tcBorders>
              <w:left w:val="single" w:color="000000" w:sz="4" w:space="0"/>
              <w:bottom w:val="single" w:color="000000" w:sz="4" w:space="0"/>
              <w:right w:val="single" w:color="000000" w:sz="4" w:space="0"/>
            </w:tcBorders>
            <w:shd w:val="clear" w:color="auto" w:fill="auto"/>
            <w:noWrap/>
            <w:vAlign w:val="center"/>
          </w:tcPr>
          <w:p w14:paraId="521DECED">
            <w:pPr>
              <w:widowControl/>
              <w:spacing w:line="220" w:lineRule="exact"/>
              <w:jc w:val="center"/>
              <w:textAlignment w:val="center"/>
              <w:rPr>
                <w:rFonts w:ascii="宋体" w:hAnsi="宋体" w:eastAsia="宋体" w:cs="宋体"/>
                <w:color w:val="auto"/>
                <w:sz w:val="16"/>
                <w:szCs w:val="16"/>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9543">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奥的斯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D50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D6NF4657</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D2A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OTIS3200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CEDB">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实验楼</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2F6B">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7</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AD5F">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2006.3.14</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B784">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4月</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75EE">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全包</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3CFC">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1300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C469">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31200</w:t>
            </w:r>
          </w:p>
        </w:tc>
      </w:tr>
      <w:tr w14:paraId="06F69AEE">
        <w:tblPrEx>
          <w:tblCellMar>
            <w:top w:w="0" w:type="dxa"/>
            <w:left w:w="108" w:type="dxa"/>
            <w:bottom w:w="0" w:type="dxa"/>
            <w:right w:w="108" w:type="dxa"/>
          </w:tblCellMar>
        </w:tblPrEx>
        <w:trPr>
          <w:trHeight w:val="624" w:hRule="atLeast"/>
          <w:jc w:val="center"/>
        </w:trPr>
        <w:tc>
          <w:tcPr>
            <w:tcW w:w="208" w:type="pct"/>
            <w:vMerge w:val="restart"/>
            <w:tcBorders>
              <w:top w:val="single" w:color="000000" w:sz="4" w:space="0"/>
              <w:left w:val="single" w:color="000000" w:sz="4" w:space="0"/>
              <w:right w:val="single" w:color="000000" w:sz="4" w:space="0"/>
            </w:tcBorders>
            <w:shd w:val="clear" w:color="auto" w:fill="auto"/>
            <w:noWrap/>
            <w:vAlign w:val="center"/>
          </w:tcPr>
          <w:p w14:paraId="7B1BFA94">
            <w:pPr>
              <w:widowControl/>
              <w:spacing w:line="220" w:lineRule="exact"/>
              <w:jc w:val="center"/>
              <w:textAlignment w:val="center"/>
              <w:rPr>
                <w:rFonts w:hint="eastAsia" w:ascii="宋体" w:hAnsi="宋体" w:eastAsia="宋体" w:cs="宋体"/>
                <w:color w:val="auto"/>
                <w:sz w:val="16"/>
                <w:szCs w:val="16"/>
                <w:lang w:eastAsia="zh-CN"/>
              </w:rPr>
            </w:pPr>
            <w:r>
              <w:rPr>
                <w:rFonts w:hint="eastAsia" w:ascii="宋体" w:hAnsi="宋体" w:eastAsia="宋体" w:cs="宋体"/>
                <w:color w:val="auto"/>
                <w:kern w:val="0"/>
                <w:sz w:val="16"/>
                <w:szCs w:val="16"/>
                <w:lang w:val="en-US" w:eastAsia="zh-CN"/>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68E0">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富士达</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8F6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RLA1010</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09B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EXCEL-MLVF-II</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52BA">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美术大楼</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E013">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7</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C74B">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2008.5.18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102B">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4月</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CADA">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全包</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58692">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1100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A035">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26400</w:t>
            </w:r>
          </w:p>
        </w:tc>
      </w:tr>
      <w:tr w14:paraId="1AB05050">
        <w:tblPrEx>
          <w:tblCellMar>
            <w:top w:w="0" w:type="dxa"/>
            <w:left w:w="108" w:type="dxa"/>
            <w:bottom w:w="0" w:type="dxa"/>
            <w:right w:w="108" w:type="dxa"/>
          </w:tblCellMar>
        </w:tblPrEx>
        <w:trPr>
          <w:trHeight w:val="624" w:hRule="atLeast"/>
          <w:jc w:val="center"/>
        </w:trPr>
        <w:tc>
          <w:tcPr>
            <w:tcW w:w="208" w:type="pct"/>
            <w:vMerge w:val="continue"/>
            <w:tcBorders>
              <w:left w:val="single" w:color="000000" w:sz="4" w:space="0"/>
              <w:bottom w:val="single" w:color="000000" w:sz="4" w:space="0"/>
              <w:right w:val="single" w:color="000000" w:sz="4" w:space="0"/>
            </w:tcBorders>
            <w:shd w:val="clear" w:color="auto" w:fill="auto"/>
            <w:noWrap/>
            <w:vAlign w:val="center"/>
          </w:tcPr>
          <w:p w14:paraId="792E1840">
            <w:pPr>
              <w:widowControl/>
              <w:spacing w:line="220" w:lineRule="exact"/>
              <w:jc w:val="center"/>
              <w:textAlignment w:val="center"/>
              <w:rPr>
                <w:rFonts w:ascii="宋体" w:hAnsi="宋体" w:eastAsia="宋体" w:cs="宋体"/>
                <w:color w:val="auto"/>
                <w:sz w:val="16"/>
                <w:szCs w:val="16"/>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7010">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富士达</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AC3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RLA1011</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E26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EXCEL-MLVF-II</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EE81">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美术大楼</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1C0C">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7</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93E1">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2008.5.18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A713">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4月</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0115E">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全包</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CE83">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1100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348D7">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26400</w:t>
            </w:r>
          </w:p>
        </w:tc>
      </w:tr>
      <w:tr w14:paraId="29AA0A26">
        <w:tblPrEx>
          <w:tblCellMar>
            <w:top w:w="0" w:type="dxa"/>
            <w:left w:w="108" w:type="dxa"/>
            <w:bottom w:w="0" w:type="dxa"/>
            <w:right w:w="108" w:type="dxa"/>
          </w:tblCellMar>
        </w:tblPrEx>
        <w:trPr>
          <w:trHeight w:val="624" w:hRule="atLeast"/>
          <w:jc w:val="center"/>
        </w:trPr>
        <w:tc>
          <w:tcPr>
            <w:tcW w:w="208" w:type="pct"/>
            <w:vMerge w:val="restart"/>
            <w:tcBorders>
              <w:top w:val="single" w:color="000000" w:sz="4" w:space="0"/>
              <w:left w:val="single" w:color="000000" w:sz="4" w:space="0"/>
              <w:right w:val="single" w:color="000000" w:sz="4" w:space="0"/>
            </w:tcBorders>
            <w:shd w:val="clear" w:color="auto" w:fill="auto"/>
            <w:noWrap/>
            <w:vAlign w:val="center"/>
          </w:tcPr>
          <w:p w14:paraId="3C6CCAF4">
            <w:pPr>
              <w:widowControl/>
              <w:spacing w:line="220" w:lineRule="exact"/>
              <w:jc w:val="center"/>
              <w:textAlignment w:val="center"/>
              <w:rPr>
                <w:rFonts w:hint="eastAsia" w:ascii="宋体" w:hAnsi="宋体" w:eastAsia="宋体" w:cs="宋体"/>
                <w:color w:val="auto"/>
                <w:sz w:val="16"/>
                <w:szCs w:val="16"/>
                <w:lang w:eastAsia="zh-CN"/>
              </w:rPr>
            </w:pPr>
            <w:r>
              <w:rPr>
                <w:rFonts w:hint="eastAsia" w:ascii="宋体" w:hAnsi="宋体" w:eastAsia="宋体" w:cs="宋体"/>
                <w:color w:val="auto"/>
                <w:kern w:val="0"/>
                <w:sz w:val="16"/>
                <w:szCs w:val="16"/>
                <w:lang w:val="en-US" w:eastAsia="zh-CN"/>
              </w:rPr>
              <w:t>3</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9F46">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通力</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ECA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36801735</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2D5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KONE Minispace</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6CE6">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青年公寓</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A92E">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12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1D9B">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2015.4.1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838A">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4月</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62431">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全包</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174B3">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1070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A3C8">
            <w:pPr>
              <w:widowControl/>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25680</w:t>
            </w:r>
          </w:p>
        </w:tc>
      </w:tr>
      <w:tr w14:paraId="5086F547">
        <w:tblPrEx>
          <w:tblCellMar>
            <w:top w:w="0" w:type="dxa"/>
            <w:left w:w="108" w:type="dxa"/>
            <w:bottom w:w="0" w:type="dxa"/>
            <w:right w:w="108" w:type="dxa"/>
          </w:tblCellMar>
        </w:tblPrEx>
        <w:trPr>
          <w:trHeight w:val="624" w:hRule="atLeast"/>
          <w:jc w:val="center"/>
        </w:trPr>
        <w:tc>
          <w:tcPr>
            <w:tcW w:w="208" w:type="pct"/>
            <w:vMerge w:val="continue"/>
            <w:tcBorders>
              <w:left w:val="single" w:color="000000" w:sz="4" w:space="0"/>
              <w:right w:val="single" w:color="000000" w:sz="4" w:space="0"/>
            </w:tcBorders>
            <w:shd w:val="clear" w:color="auto" w:fill="auto"/>
            <w:noWrap/>
            <w:vAlign w:val="center"/>
          </w:tcPr>
          <w:p w14:paraId="7C5D92AE">
            <w:pPr>
              <w:widowControl/>
              <w:spacing w:line="220" w:lineRule="exact"/>
              <w:jc w:val="center"/>
              <w:textAlignment w:val="center"/>
              <w:rPr>
                <w:rFonts w:ascii="宋体" w:hAnsi="宋体" w:eastAsia="宋体" w:cs="宋体"/>
                <w:color w:val="auto"/>
                <w:sz w:val="16"/>
                <w:szCs w:val="16"/>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DD25">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通力</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BCA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36801736</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BE7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KONE Minispace</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0100">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青年公寓</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AC8A">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12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CE38">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2015.4.1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F979">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4月</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06EA">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全包</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F119">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1070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05933">
            <w:pPr>
              <w:widowControl/>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25680</w:t>
            </w:r>
          </w:p>
        </w:tc>
      </w:tr>
      <w:tr w14:paraId="6B7FA1BE">
        <w:tblPrEx>
          <w:tblCellMar>
            <w:top w:w="0" w:type="dxa"/>
            <w:left w:w="108" w:type="dxa"/>
            <w:bottom w:w="0" w:type="dxa"/>
            <w:right w:w="108" w:type="dxa"/>
          </w:tblCellMar>
        </w:tblPrEx>
        <w:trPr>
          <w:trHeight w:val="624" w:hRule="atLeast"/>
          <w:jc w:val="center"/>
        </w:trPr>
        <w:tc>
          <w:tcPr>
            <w:tcW w:w="208" w:type="pct"/>
            <w:vMerge w:val="continue"/>
            <w:tcBorders>
              <w:left w:val="single" w:color="000000" w:sz="4" w:space="0"/>
              <w:bottom w:val="single" w:color="000000" w:sz="4" w:space="0"/>
              <w:right w:val="single" w:color="000000" w:sz="4" w:space="0"/>
            </w:tcBorders>
            <w:shd w:val="clear" w:color="auto" w:fill="auto"/>
            <w:noWrap/>
            <w:vAlign w:val="center"/>
          </w:tcPr>
          <w:p w14:paraId="1AE9E05C">
            <w:pPr>
              <w:widowControl/>
              <w:spacing w:line="220" w:lineRule="exact"/>
              <w:jc w:val="center"/>
              <w:textAlignment w:val="center"/>
              <w:rPr>
                <w:rFonts w:ascii="宋体" w:hAnsi="宋体" w:eastAsia="宋体" w:cs="宋体"/>
                <w:color w:val="auto"/>
                <w:sz w:val="16"/>
                <w:szCs w:val="16"/>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B09F">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通力</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9A2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36801737</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AD0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KONE Minispace</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C7F2">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青年公寓</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4589">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12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B537">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2015.4.1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CC9E">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4月</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525A">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全包</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C4D1">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1070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4E98">
            <w:pPr>
              <w:widowControl/>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25680</w:t>
            </w:r>
          </w:p>
        </w:tc>
      </w:tr>
      <w:tr w14:paraId="71D96BA0">
        <w:tblPrEx>
          <w:tblCellMar>
            <w:top w:w="0" w:type="dxa"/>
            <w:left w:w="108" w:type="dxa"/>
            <w:bottom w:w="0" w:type="dxa"/>
            <w:right w:w="108" w:type="dxa"/>
          </w:tblCellMar>
        </w:tblPrEx>
        <w:trPr>
          <w:trHeight w:val="624" w:hRule="atLeast"/>
          <w:jc w:val="center"/>
        </w:trPr>
        <w:tc>
          <w:tcPr>
            <w:tcW w:w="208" w:type="pct"/>
            <w:vMerge w:val="restart"/>
            <w:tcBorders>
              <w:top w:val="single" w:color="000000" w:sz="4" w:space="0"/>
              <w:left w:val="single" w:color="000000" w:sz="4" w:space="0"/>
              <w:right w:val="single" w:color="000000" w:sz="4" w:space="0"/>
            </w:tcBorders>
            <w:shd w:val="clear" w:color="auto" w:fill="auto"/>
            <w:noWrap/>
            <w:vAlign w:val="center"/>
          </w:tcPr>
          <w:p w14:paraId="56EB9305">
            <w:pPr>
              <w:widowControl/>
              <w:spacing w:line="220" w:lineRule="exact"/>
              <w:jc w:val="center"/>
              <w:textAlignment w:val="center"/>
              <w:rPr>
                <w:rFonts w:hint="eastAsia" w:ascii="宋体" w:hAnsi="宋体" w:eastAsia="宋体" w:cs="宋体"/>
                <w:color w:val="auto"/>
                <w:sz w:val="16"/>
                <w:szCs w:val="16"/>
                <w:lang w:eastAsia="zh-CN"/>
              </w:rPr>
            </w:pPr>
            <w:r>
              <w:rPr>
                <w:rFonts w:hint="eastAsia" w:ascii="宋体" w:hAnsi="宋体" w:eastAsia="宋体" w:cs="宋体"/>
                <w:color w:val="auto"/>
                <w:kern w:val="0"/>
                <w:sz w:val="16"/>
                <w:szCs w:val="16"/>
                <w:lang w:val="en-US" w:eastAsia="zh-CN"/>
              </w:rPr>
              <w:t>4</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AF86">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德奥</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3B7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201507092</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405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DP35(1000/1.75-JXW-VVVF)</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A25E">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特教大楼</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5DF8">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C7AC">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2016.9.18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E2FF">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9月</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3DB3">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半包</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9737D">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660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FE1C">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15840</w:t>
            </w:r>
          </w:p>
        </w:tc>
      </w:tr>
      <w:tr w14:paraId="361453F7">
        <w:tblPrEx>
          <w:tblCellMar>
            <w:top w:w="0" w:type="dxa"/>
            <w:left w:w="108" w:type="dxa"/>
            <w:bottom w:w="0" w:type="dxa"/>
            <w:right w:w="108" w:type="dxa"/>
          </w:tblCellMar>
        </w:tblPrEx>
        <w:trPr>
          <w:trHeight w:val="624" w:hRule="atLeast"/>
          <w:jc w:val="center"/>
        </w:trPr>
        <w:tc>
          <w:tcPr>
            <w:tcW w:w="208" w:type="pct"/>
            <w:vMerge w:val="continue"/>
            <w:tcBorders>
              <w:left w:val="single" w:color="000000" w:sz="4" w:space="0"/>
              <w:bottom w:val="single" w:color="000000" w:sz="4" w:space="0"/>
              <w:right w:val="single" w:color="000000" w:sz="4" w:space="0"/>
            </w:tcBorders>
            <w:shd w:val="clear" w:color="auto" w:fill="auto"/>
            <w:noWrap/>
            <w:vAlign w:val="center"/>
          </w:tcPr>
          <w:p w14:paraId="5DB20CDF">
            <w:pPr>
              <w:widowControl/>
              <w:spacing w:line="220" w:lineRule="exact"/>
              <w:jc w:val="center"/>
              <w:textAlignment w:val="center"/>
              <w:rPr>
                <w:rFonts w:ascii="宋体" w:hAnsi="宋体" w:eastAsia="宋体" w:cs="宋体"/>
                <w:color w:val="auto"/>
                <w:sz w:val="16"/>
                <w:szCs w:val="16"/>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94A2">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德奥</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590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201507093</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A35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DP35(1000/1.75-JXW-VVVF)</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57BB">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特教大楼</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69D0">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2DB2">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2016.9.18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BF9C">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9月</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496C">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半包</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F475">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660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D63B">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15840</w:t>
            </w:r>
          </w:p>
        </w:tc>
      </w:tr>
      <w:tr w14:paraId="7AD7F2BF">
        <w:tblPrEx>
          <w:tblCellMar>
            <w:top w:w="0" w:type="dxa"/>
            <w:left w:w="108" w:type="dxa"/>
            <w:bottom w:w="0" w:type="dxa"/>
            <w:right w:w="108" w:type="dxa"/>
          </w:tblCellMar>
        </w:tblPrEx>
        <w:trPr>
          <w:trHeight w:val="624" w:hRule="atLeast"/>
          <w:jc w:val="center"/>
        </w:trPr>
        <w:tc>
          <w:tcPr>
            <w:tcW w:w="208" w:type="pct"/>
            <w:vMerge w:val="restart"/>
            <w:tcBorders>
              <w:top w:val="single" w:color="000000" w:sz="4" w:space="0"/>
              <w:left w:val="single" w:color="000000" w:sz="4" w:space="0"/>
              <w:right w:val="single" w:color="000000" w:sz="4" w:space="0"/>
            </w:tcBorders>
            <w:shd w:val="clear" w:color="auto" w:fill="auto"/>
            <w:noWrap/>
            <w:vAlign w:val="center"/>
          </w:tcPr>
          <w:p w14:paraId="4AF72A4E">
            <w:pPr>
              <w:widowControl/>
              <w:spacing w:line="220" w:lineRule="exact"/>
              <w:jc w:val="center"/>
              <w:textAlignment w:val="center"/>
              <w:rPr>
                <w:rFonts w:hint="eastAsia" w:ascii="宋体" w:hAnsi="宋体" w:eastAsia="宋体" w:cs="宋体"/>
                <w:color w:val="auto"/>
                <w:kern w:val="0"/>
                <w:sz w:val="16"/>
                <w:szCs w:val="16"/>
                <w:lang w:eastAsia="zh-CN"/>
              </w:rPr>
            </w:pPr>
            <w:r>
              <w:rPr>
                <w:rFonts w:hint="eastAsia" w:ascii="宋体" w:hAnsi="宋体" w:eastAsia="宋体" w:cs="宋体"/>
                <w:color w:val="auto"/>
                <w:kern w:val="0"/>
                <w:sz w:val="16"/>
                <w:szCs w:val="16"/>
                <w:lang w:val="en-US" w:eastAsia="zh-CN"/>
              </w:rPr>
              <w:t>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F490">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西奥</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636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XODTD73322</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ADB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 xml:space="preserve">XO-REZOII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D52A">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浅水湾大楼</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DA99">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7</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CB6A">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2021.10.25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82EE">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10月</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08F4">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半包</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C0FC">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430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5527">
            <w:pPr>
              <w:widowControl/>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10320</w:t>
            </w:r>
          </w:p>
        </w:tc>
      </w:tr>
      <w:tr w14:paraId="3A031BC3">
        <w:tblPrEx>
          <w:tblCellMar>
            <w:top w:w="0" w:type="dxa"/>
            <w:left w:w="108" w:type="dxa"/>
            <w:bottom w:w="0" w:type="dxa"/>
            <w:right w:w="108" w:type="dxa"/>
          </w:tblCellMar>
        </w:tblPrEx>
        <w:trPr>
          <w:trHeight w:val="624" w:hRule="atLeast"/>
          <w:jc w:val="center"/>
        </w:trPr>
        <w:tc>
          <w:tcPr>
            <w:tcW w:w="208" w:type="pct"/>
            <w:vMerge w:val="continue"/>
            <w:tcBorders>
              <w:left w:val="single" w:color="000000" w:sz="4" w:space="0"/>
              <w:bottom w:val="single" w:color="000000" w:sz="4" w:space="0"/>
              <w:right w:val="single" w:color="000000" w:sz="4" w:space="0"/>
            </w:tcBorders>
            <w:shd w:val="clear" w:color="auto" w:fill="auto"/>
            <w:noWrap/>
            <w:vAlign w:val="center"/>
          </w:tcPr>
          <w:p w14:paraId="7B44C9DD">
            <w:pPr>
              <w:widowControl/>
              <w:spacing w:line="220" w:lineRule="exact"/>
              <w:jc w:val="center"/>
              <w:textAlignment w:val="center"/>
              <w:rPr>
                <w:rFonts w:ascii="宋体" w:hAnsi="宋体" w:eastAsia="宋体" w:cs="宋体"/>
                <w:color w:val="auto"/>
                <w:kern w:val="0"/>
                <w:sz w:val="16"/>
                <w:szCs w:val="16"/>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9483">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西奥</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524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XODTD73323</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B1F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 xml:space="preserve">XO-REZOII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9939">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浅水湾大楼</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64D3">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7</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F2B3">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2021.10.25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F464">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10月</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921F">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半包</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E8B2">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430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E0C13">
            <w:pPr>
              <w:widowControl/>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10320</w:t>
            </w:r>
          </w:p>
        </w:tc>
      </w:tr>
      <w:tr w14:paraId="3698899D">
        <w:tblPrEx>
          <w:tblCellMar>
            <w:top w:w="0" w:type="dxa"/>
            <w:left w:w="108" w:type="dxa"/>
            <w:bottom w:w="0" w:type="dxa"/>
            <w:right w:w="108" w:type="dxa"/>
          </w:tblCellMar>
        </w:tblPrEx>
        <w:trPr>
          <w:trHeight w:val="624" w:hRule="atLeast"/>
          <w:jc w:val="center"/>
        </w:trPr>
        <w:tc>
          <w:tcPr>
            <w:tcW w:w="4337"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B041">
            <w:pPr>
              <w:widowControl/>
              <w:spacing w:line="220" w:lineRule="exact"/>
              <w:jc w:val="cente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rPr>
              <w:t>合计</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32D17">
            <w:pPr>
              <w:widowControl/>
              <w:jc w:val="center"/>
              <w:textAlignment w:val="center"/>
              <w:rPr>
                <w:rFonts w:ascii="宋体" w:hAnsi="宋体" w:eastAsia="宋体" w:cs="宋体"/>
                <w:color w:val="auto"/>
                <w:sz w:val="24"/>
              </w:rPr>
            </w:pPr>
            <w:r>
              <w:rPr>
                <w:rFonts w:hint="eastAsia" w:ascii="宋体" w:hAnsi="宋体" w:eastAsia="宋体" w:cs="宋体"/>
                <w:b/>
                <w:bCs/>
                <w:color w:val="auto"/>
                <w:kern w:val="0"/>
                <w:sz w:val="16"/>
                <w:szCs w:val="16"/>
              </w:rPr>
              <w:t>494160</w:t>
            </w:r>
          </w:p>
        </w:tc>
      </w:tr>
    </w:tbl>
    <w:p w14:paraId="1F26388D">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（二）服务标准和要求</w:t>
      </w:r>
    </w:p>
    <w:p w14:paraId="60613A98">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供应商应符合《中华人民共和国特种设备安全法》、《福建省电梯安全管理办法》（福建省人民政府令第115号）中关于“电梯日常维护保养单位”的相关要求。</w:t>
      </w:r>
    </w:p>
    <w:p w14:paraId="287C3B6B">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供应商应当在特种设备安装改造维修许可的范围内开展业务，不得将电梯日常维护保养业务转包或者分包。</w:t>
      </w:r>
    </w:p>
    <w:p w14:paraId="2D6AB5D4">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供应商应当按照国家相关技术规范的要求进行作业，维保项目、内容、操作应符合《特种设备安全监察条例》、《电梯监督检验和定期检验规则-曳引与强制驱动电梯(TSG T7001-2009)》、《电梯使用管理与维护保养规则(TSGT5001-2009)》《电梯、自动扶梯和自动人行道维修规范(GB/T18775-2009)》中的相关规定。当国家有关电梯安全的法规或标准发生改变时，按改变后的法规或标准执行。</w:t>
      </w:r>
    </w:p>
    <w:p w14:paraId="6221DF13">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需投保维保工作人员的人身意外保险，需严格执行有关安全技术操作规程和规章制度。供应商所属维保人员在维修保养中所导致的质量事故和在维保场地内、外导致的安全事故，与采购人无关，由供应商负责。</w:t>
      </w:r>
    </w:p>
    <w:p w14:paraId="729A7837">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供应商所属维保人员应当取得相应的《特种设备作业人员证》，具有24小时接待电梯报修服务能力，供应商应具备电梯维保资质的工程技术人员组成的维保队伍（</w:t>
      </w:r>
      <w:r>
        <w:rPr>
          <w:rFonts w:hint="eastAsia" w:ascii="宋体" w:hAnsi="宋体" w:eastAsia="宋体" w:cs="宋体"/>
          <w:b/>
          <w:bCs/>
          <w:color w:val="auto"/>
          <w:sz w:val="21"/>
          <w:szCs w:val="21"/>
          <w:highlight w:val="none"/>
          <w:lang w:eastAsia="zh-CN"/>
        </w:rPr>
        <w:t>投标时要求提供维保人员的名单及相关证明材料</w:t>
      </w:r>
      <w:r>
        <w:rPr>
          <w:rFonts w:hint="eastAsia" w:ascii="宋体" w:hAnsi="宋体" w:eastAsia="宋体" w:cs="宋体"/>
          <w:color w:val="auto"/>
          <w:sz w:val="21"/>
          <w:szCs w:val="21"/>
          <w:highlight w:val="none"/>
          <w:lang w:eastAsia="zh-CN"/>
        </w:rPr>
        <w:t>）。供应商负责投保供应商现场作业人员的人身安全意外保险，供应商现场作业人员必须按规定操作，现场作业人员的一切安全责任由供应商负责。</w:t>
      </w:r>
    </w:p>
    <w:p w14:paraId="718D3C80">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供应商须制定应急救援预案，设立24小时值班电话，保证在电梯出故障时及时反应，24小时全天候响应维修或救援。提供全天候24小时的应急召修服务。</w:t>
      </w:r>
    </w:p>
    <w:p w14:paraId="5904838B">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供应商负责在维护保养合同生效之日起15日内，到负责电梯使用登记的特种设备安全监督管理部门或者其委托的特种设备检验检测机构办理变更电梯日常维护保养单位手续。</w:t>
      </w:r>
    </w:p>
    <w:p w14:paraId="6457389B">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（三）技术要求</w:t>
      </w:r>
    </w:p>
    <w:p w14:paraId="28E68361">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 xml:space="preserve">按照TSG T5002-2017《电梯维护保养规则》并根据电梯的使用情况和设备状况，经双方协商确认后，提供全年保养计划和各项定期保养计划的具体实施时间表。每台每次保养时间不得少于合同约定的相应最少保养时间。如需调整原保养计划，应提前7日通知采购人并经采购人同意后方可调整，但应保证保养时间间隔不得超过15日； </w:t>
      </w:r>
    </w:p>
    <w:p w14:paraId="3B4247FB">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供应商实施日常维护保养后的电梯应当符合《电梯维修规范》（GB/T18775）、《电梯制造与安装安全规范》（GB 7588）和《自动扶梯、垃圾梯和自动人行道的制造与安装安全规范》（GB 16899）的相关规定。</w:t>
      </w:r>
    </w:p>
    <w:p w14:paraId="58A3A483">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提供24小时的紧急救援服务。当电梯发生困人故障，供应商应在接到采购人通知后30分钟内赶赴现场实施紧急救援；电梯发生其他故障，供应商应在接到采购人通知后30分钟内赶到现场实施抢修。若未在规定时间内赶赴现场，产生的后果由供应商承担法定责任。</w:t>
      </w:r>
    </w:p>
    <w:p w14:paraId="03E6F6DB">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现场作业人员应当取得相应的《特种设备作业人员证》。为有效实施保养计划，供应商应安排熟悉所维保电梯原理、结构、性能、安全要求的特种设备作业人员负责维保工作，并督促其严格按照产品工艺要求、安全及技术规范进行维保。</w:t>
      </w:r>
    </w:p>
    <w:p w14:paraId="6829593B">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作业过程中应服从采购人现场安全管理，落实现场安全防护措施，保证作业安全。需要安全监护作业的内容应书面告知采购人，作业时，作业人员必须持证上岗，且不得少于2人。</w:t>
      </w:r>
    </w:p>
    <w:p w14:paraId="16AD2316">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现场需采取停梯措施时，应立即通知采购人并及时组织抢修。</w:t>
      </w:r>
    </w:p>
    <w:p w14:paraId="1D9C04B6">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根据采购人的故障统计记录，供应商应至少每季度一次提出故障分析报告。报告中应包含电梯故障的统计分析、整改措施和预防措施，以及有关电梯使用管理的合理化建议。</w:t>
      </w:r>
    </w:p>
    <w:p w14:paraId="6C0F974E">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应在本合同签订后对电梯进行一次全面的年度自检，将已发现上个维保周期中电梯存在的安全隐患，并报送使用单位，及时进行维修。应当配合电梯检验检测机构对电梯的定期检验，并参与电梯安全管理活动。负责完成年检中发生的属于本合同范围内的整改工作。维保后的电梯应当符合相应的安全技术规范，并且处于正常的运行状态。负责完成每年办理政府部门的电梯年度安全检查“年检”手续，并协助政府部门进行年度安全检查，并完成定期检验（年检）中发生的属本合同范围内的整改工作，直至取得电梯使用合格证。</w:t>
      </w:r>
    </w:p>
    <w:p w14:paraId="0FF9B4FD">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供应商应在维保后3日内将规定格式的电梯维保记录，张贴在电梯轿厢，接受用户监督。此外，需将维保记录公示情况拍照留存备查。</w:t>
      </w:r>
    </w:p>
    <w:p w14:paraId="34EF88D6">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供应商应当妥善保管电梯图纸及相关资料，并在合同终止后交还采购人。应当协助采购人建立健全安全管理制度、安全技术档案、应急救援预案，配合采购人开展应急救援演练。</w:t>
      </w:r>
    </w:p>
    <w:p w14:paraId="237F0A6E">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供应商不得以任何形式将维保工作非法分包、转包。否则，采购人有权终止合同，并由供应商赔偿采购人合同总金额10%的违约金。</w:t>
      </w:r>
    </w:p>
    <w:p w14:paraId="46D3489B">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供应商提供假冒、劣质或以次充好的产品，一经证实，供应商必须承担由于产品质量、安装不当等引发的事故（财产损失、人身伤亡）责任和全部费用。</w:t>
      </w:r>
    </w:p>
    <w:p w14:paraId="65E1ABC9">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供应商应为维修保养和施工人员购买保险（如：高空作业险和人身事故险等）；维修保养和施工人员在工作过程中造成的人身事故，由供应商承担全部负责。</w:t>
      </w:r>
    </w:p>
    <w:p w14:paraId="3BD1E8F0">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供应商在作业中应当负责落实现场安全防护措施，保证作业安全，并做好相关警示标志，防止乘客进入正在维保的电梯，若因此导致的不良后果由供应商法定承担。</w:t>
      </w:r>
    </w:p>
    <w:p w14:paraId="2E6F61C5">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应完成半月、月、季度、半年、年保养项目，并做好记录。供应商应在电梯定期检验前进行安全性能自行检查，出具自行检查报告。负责完成每年办理政府部门的电梯年度安全检查“年检”手续，并协助政府部门进行年度安全检查，并完成定期检验（年检）中发生的属本合同范围内的整改工作，直至取得电梯使用合格证。政府部门每年定期检验的年检费用由采购人负责承担。</w:t>
      </w:r>
    </w:p>
    <w:p w14:paraId="12DBF9AA">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应对合同范围内的设备每季度调整一次并每年进行一次“年度安全检查”及“负荷调整试验”，确保设备得到必要的检查、测试、调整和校验。“年度安全检查”可结合政府部门的“年检”同时进行。每次例行维护保养和维修后，维保单位须填写《电梯保养报告书》交校方签字确认。供应商应确保每台电梯均应当建立独立的维护保养记录。维护保养记录应当一式两份，供应商、采购人双方各保存一份，维修、重大维修、改造协议与抢修记录均应当与维护保养记录一并保存。</w:t>
      </w:r>
    </w:p>
    <w:p w14:paraId="04BE5C65">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供应商需定期清理井底，如电梯井底受水淹时，供应商应及时清除，必要时采购人给予配合。</w:t>
      </w:r>
    </w:p>
    <w:p w14:paraId="16C14CB7">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电梯在正常使用中发生故障时，供应商应在接到报修通知30分钟内派员到达现场进行维修。如发生电梯困人事故，供应商必须在接到通知30分钟内派员到达现场放人并进行维修。</w:t>
      </w:r>
    </w:p>
    <w:p w14:paraId="69354177">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保养期内，供应商保证采购人电梯的正常运行。因供应商违反操作规程而造成电梯损坏，其维修费由供应商全额承担。因供应商保养不善而引起的事故责任和造成采购人的直接经济损失，由供应商负责承担，与采购人无关。</w:t>
      </w:r>
    </w:p>
    <w:p w14:paraId="2074C043">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保养期内，电梯出现紧急状况或采购人提出特殊紧急的维护、保养、检查要求时，供应商必须立即作出响应并采取相应措施，确保电梯的正常运行。</w:t>
      </w:r>
    </w:p>
    <w:p w14:paraId="15A5E1F2">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保养期内，采购人有重大活动或特殊情况，供应商应按采购人要求派遣2个专业维修人员到达现场，免费提供全程监护服务，确保电梯的正常运行。</w:t>
      </w:r>
    </w:p>
    <w:p w14:paraId="1E365F3E">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应张贴电梯日常维护保养标志，标明应急救援电话。建立电梯的日常维护保养记录和安全技术档案。在电梯维修、保养工作期间，供应商必须放置醒目的标牌提示、现场安全警示标志或张贴告示通知、标语。</w:t>
      </w:r>
    </w:p>
    <w:p w14:paraId="6884A38F">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（三）全包方案与半包方案要求</w:t>
      </w:r>
    </w:p>
    <w:p w14:paraId="526426F5">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1、全包方案（适用于采购包</w:t>
      </w:r>
      <w:r>
        <w:rPr>
          <w:rFonts w:hint="eastAsia" w:ascii="宋体" w:hAnsi="宋体" w:eastAsia="宋体" w:cs="宋体"/>
          <w:color w:val="auto"/>
          <w:sz w:val="21"/>
          <w:szCs w:val="21"/>
          <w:highlight w:val="none"/>
          <w:lang w:val="en-US" w:eastAsia="zh-CN"/>
        </w:rPr>
        <w:t>1、包2、包3</w:t>
      </w:r>
      <w:r>
        <w:rPr>
          <w:rFonts w:hint="eastAsia" w:ascii="宋体" w:hAnsi="宋体" w:eastAsia="宋体" w:cs="宋体"/>
          <w:color w:val="auto"/>
          <w:sz w:val="21"/>
          <w:szCs w:val="21"/>
          <w:highlight w:val="none"/>
          <w:lang w:eastAsia="zh-CN"/>
        </w:rPr>
        <w:t>）</w:t>
      </w:r>
    </w:p>
    <w:p w14:paraId="74406212">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（1）全包方案提供维保所需工具和劳务，并免费提供大部分电梯零部件。</w:t>
      </w:r>
    </w:p>
    <w:p w14:paraId="5BA45767">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下列外围设备和辅助周边设备不在范围之内：</w:t>
      </w:r>
    </w:p>
    <w:p w14:paraId="1D53BF82">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梯及液压梯：轿厢围壁、包括固定或可移动的面板、门面板、轿门、吊顶、光线散射屏、扶手、镜子、地面装饰、地毯及其它建筑装饰和配件；厅门、门框及地坎、沉箱、液缸和管道，从配电房至机房的供电装置、通讯设备、音乐装置、保安系统等（非</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）提供的设备及电梯井道机房之外的电线。</w:t>
      </w:r>
    </w:p>
    <w:p w14:paraId="182BE957">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扶梯：扶梯照明、扶手带、楔块护板、桁架包层、桁架内照明。</w:t>
      </w:r>
    </w:p>
    <w:p w14:paraId="1F0A6447">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涉及需向技监局报开工的修理项目（如控制柜、曵引轮、抱闸、主机、限速器、安全钳、上行保护装置等），政府所需收取的监检费由采购人负责承担。</w:t>
      </w:r>
    </w:p>
    <w:p w14:paraId="745A8557">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由人为破坏因素及天灾等不可抗力因素导致电梯损坏的零部件不含。</w:t>
      </w:r>
    </w:p>
    <w:p w14:paraId="1199961C">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（2）一般故障，供应商必须在24小时内修好以保证电梯正常运行；大故障（如更换变频器、主板等），供应商应无条件提供配件替代品，并在12天内恢复电梯正常运行。</w:t>
      </w:r>
    </w:p>
    <w:p w14:paraId="2716A59C">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供应商需储存合理数量的电梯原厂备件，并且24小时可随时取用，以备及时的更换，电梯配件要求更换的零部件必须使用厂家正品部件和配件，不能用仿制品和维修翻新品取代。维保期间必须免费提供电梯主板的软件升级服务。</w:t>
      </w:r>
    </w:p>
    <w:p w14:paraId="0ECF4338">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（4）政府部门每年定期检验的年检费用由采购人负责承担。</w:t>
      </w:r>
    </w:p>
    <w:p w14:paraId="5712D170">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2、半包方案（适用于采购包</w:t>
      </w:r>
      <w:r>
        <w:rPr>
          <w:rFonts w:hint="eastAsia" w:ascii="宋体" w:hAnsi="宋体" w:eastAsia="宋体" w:cs="宋体"/>
          <w:color w:val="auto"/>
          <w:sz w:val="21"/>
          <w:szCs w:val="21"/>
          <w:highlight w:val="none"/>
          <w:lang w:val="en-US" w:eastAsia="zh-CN"/>
        </w:rPr>
        <w:t>4、包5</w:t>
      </w:r>
      <w:r>
        <w:rPr>
          <w:rFonts w:hint="eastAsia" w:ascii="宋体" w:hAnsi="宋体" w:eastAsia="宋体" w:cs="宋体"/>
          <w:color w:val="auto"/>
          <w:sz w:val="21"/>
          <w:szCs w:val="21"/>
          <w:highlight w:val="none"/>
          <w:lang w:eastAsia="zh-CN"/>
        </w:rPr>
        <w:t>）</w:t>
      </w:r>
    </w:p>
    <w:p w14:paraId="773B3B4A">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（1）半包方案提供维保所需工具和劳务，并免费提供单价在人民币300 元以下（含本数）电梯零部件。</w:t>
      </w:r>
    </w:p>
    <w:p w14:paraId="3A9D164D">
      <w:pPr>
        <w:keepNext w:val="0"/>
        <w:keepLines w:val="0"/>
        <w:pageBreakBefore w:val="0"/>
        <w:tabs>
          <w:tab w:val="left" w:pos="1802"/>
        </w:tabs>
        <w:kinsoku/>
        <w:wordWrap/>
        <w:overflowPunct/>
        <w:topLinePunct w:val="0"/>
        <w:autoSpaceDE/>
        <w:autoSpaceDN/>
        <w:bidi w:val="0"/>
        <w:adjustRightInd/>
        <w:snapToGrid w:val="0"/>
        <w:spacing w:line="360" w:lineRule="auto"/>
        <w:ind w:firstLine="367" w:firstLineChars="175"/>
        <w:textAlignment w:val="auto"/>
        <w:rPr>
          <w:rFonts w:hint="eastAsia"/>
          <w:color w:val="auto"/>
          <w:lang w:eastAsia="zh-CN"/>
        </w:rPr>
      </w:pPr>
      <w:r>
        <w:rPr>
          <w:rFonts w:hint="eastAsia" w:ascii="宋体" w:hAnsi="宋体" w:eastAsia="宋体" w:cs="宋体"/>
          <w:color w:val="auto"/>
          <w:sz w:val="21"/>
          <w:szCs w:val="21"/>
          <w:highlight w:val="none"/>
          <w:lang w:eastAsia="zh-CN"/>
        </w:rPr>
        <w:t>（2）一般故障，成交供应商必须在24小时内修好以保证电梯正常运行；大故障（如更换变频器、主板等），在采购人书面确认配件报价单后进行更换，成交供应商需及时提供备用配件尽快恢复电梯正常运行。</w:t>
      </w:r>
    </w:p>
    <w:p w14:paraId="4B356BB0">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三、商务条件</w:t>
      </w:r>
    </w:p>
    <w:p w14:paraId="5075BCC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交付地点：</w:t>
      </w:r>
      <w:r>
        <w:rPr>
          <w:rFonts w:hint="eastAsia" w:ascii="宋体" w:hAnsi="宋体" w:eastAsia="宋体" w:cs="宋体"/>
          <w:color w:val="auto"/>
          <w:sz w:val="21"/>
          <w:szCs w:val="21"/>
          <w:highlight w:val="none"/>
          <w:lang w:eastAsia="zh-CN"/>
        </w:rPr>
        <w:t>福建省泉州市丰泽区东海大街398号</w:t>
      </w:r>
      <w:r>
        <w:rPr>
          <w:rFonts w:hint="eastAsia" w:ascii="宋体" w:hAnsi="宋体" w:eastAsia="宋体" w:cs="宋体"/>
          <w:color w:val="auto"/>
          <w:sz w:val="21"/>
          <w:szCs w:val="21"/>
          <w:highlight w:val="none"/>
        </w:rPr>
        <w:t xml:space="preserve">。 </w:t>
      </w:r>
    </w:p>
    <w:p w14:paraId="6B84853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服务期：</w:t>
      </w:r>
      <w:r>
        <w:rPr>
          <w:rFonts w:hint="eastAsia" w:ascii="宋体" w:hAnsi="宋体" w:eastAsia="宋体" w:cs="宋体"/>
          <w:color w:val="auto"/>
          <w:sz w:val="21"/>
          <w:szCs w:val="21"/>
          <w:highlight w:val="none"/>
          <w:lang w:val="en-US" w:eastAsia="zh-CN"/>
        </w:rPr>
        <w:t>2年，具体以合同约定时间为准</w:t>
      </w:r>
      <w:r>
        <w:rPr>
          <w:rFonts w:hint="eastAsia" w:ascii="宋体" w:hAnsi="宋体" w:eastAsia="宋体" w:cs="宋体"/>
          <w:color w:val="auto"/>
          <w:sz w:val="21"/>
          <w:szCs w:val="21"/>
          <w:highlight w:val="none"/>
          <w:lang w:eastAsia="zh-CN"/>
        </w:rPr>
        <w:t>。</w:t>
      </w:r>
    </w:p>
    <w:p w14:paraId="02D2FB8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交付条件：成交服务商按照维保合同要求完成电梯维保服务，维保人员每次完成电梯维保服务需拍照发给采购人电梯安全管理员，并进行登记，做好维保记录，采购人电梯安全管理员查看工作完成情况。采购人按照年度对成交供应商的维保服务进行验收及质量评价。</w:t>
      </w:r>
    </w:p>
    <w:p w14:paraId="2EE4B66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是否收取履约保证金：否</w:t>
      </w:r>
    </w:p>
    <w:p w14:paraId="79D244C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是否邀请供应商参与验收：否</w:t>
      </w:r>
    </w:p>
    <w:p w14:paraId="44C2862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验收方式：按采购文件、响应文件、合同以及国家、行业相关标准进行验收。</w:t>
      </w:r>
    </w:p>
    <w:p w14:paraId="15D2851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支付方式：付款周期为3个月，共分8期支付，采购人根据成交供应商开具的正式发票按季度支付维保费，每季度保养期满后无质量问题，一个月内支付维保费用。</w:t>
      </w:r>
    </w:p>
    <w:p w14:paraId="60CBF66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14:paraId="5AF4B5EB">
      <w:pPr>
        <w:pStyle w:val="15"/>
        <w:jc w:val="center"/>
        <w:outlineLvl w:val="1"/>
        <w:rPr>
          <w:rFonts w:hint="eastAsia" w:ascii="宋体" w:hAnsi="宋体" w:eastAsia="宋体" w:cs="宋体"/>
          <w:b/>
          <w:color w:val="auto"/>
          <w:sz w:val="32"/>
          <w:szCs w:val="32"/>
          <w:lang w:eastAsia="zh-CN"/>
        </w:rPr>
      </w:pPr>
      <w:r>
        <w:rPr>
          <w:rFonts w:hint="eastAsia" w:ascii="宋体" w:hAnsi="宋体" w:eastAsia="宋体" w:cs="宋体"/>
          <w:b/>
          <w:color w:val="auto"/>
          <w:sz w:val="32"/>
          <w:szCs w:val="32"/>
        </w:rPr>
        <w:t>第五章</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lang w:eastAsia="zh-CN"/>
        </w:rPr>
        <w:t>合同文本</w:t>
      </w:r>
    </w:p>
    <w:p w14:paraId="11B9DC18">
      <w:pPr>
        <w:pStyle w:val="16"/>
        <w:numPr>
          <w:ilvl w:val="0"/>
          <w:numId w:val="0"/>
        </w:numPr>
        <w:spacing w:before="0" w:after="0" w:line="360" w:lineRule="auto"/>
        <w:rPr>
          <w:rFonts w:ascii="宋体" w:hAnsi="宋体" w:eastAsia="宋体" w:cs="宋体"/>
          <w:b/>
          <w:bCs/>
          <w:color w:val="auto"/>
          <w:sz w:val="32"/>
          <w:szCs w:val="32"/>
        </w:rPr>
      </w:pPr>
      <w:r>
        <w:rPr>
          <w:rFonts w:hint="eastAsia" w:ascii="宋体" w:hAnsi="宋体" w:eastAsia="宋体" w:cs="宋体"/>
          <w:b/>
          <w:bCs/>
          <w:color w:val="auto"/>
          <w:sz w:val="32"/>
          <w:szCs w:val="32"/>
        </w:rPr>
        <w:t>202</w:t>
      </w:r>
      <w:r>
        <w:rPr>
          <w:rFonts w:hint="eastAsia" w:ascii="宋体" w:hAnsi="宋体" w:eastAsia="宋体" w:cs="宋体"/>
          <w:b/>
          <w:bCs/>
          <w:color w:val="auto"/>
          <w:sz w:val="32"/>
          <w:szCs w:val="32"/>
          <w:lang w:val="en-US" w:eastAsia="zh-CN"/>
        </w:rPr>
        <w:t>5</w:t>
      </w:r>
      <w:r>
        <w:rPr>
          <w:rFonts w:hint="eastAsia" w:ascii="宋体" w:hAnsi="宋体" w:eastAsia="宋体" w:cs="宋体"/>
          <w:b/>
          <w:bCs/>
          <w:color w:val="auto"/>
          <w:sz w:val="32"/>
          <w:szCs w:val="32"/>
        </w:rPr>
        <w:t>年-202</w:t>
      </w:r>
      <w:r>
        <w:rPr>
          <w:rFonts w:hint="eastAsia" w:ascii="宋体" w:hAnsi="宋体" w:eastAsia="宋体" w:cs="宋体"/>
          <w:b/>
          <w:bCs/>
          <w:color w:val="auto"/>
          <w:sz w:val="32"/>
          <w:szCs w:val="32"/>
          <w:lang w:val="en-US" w:eastAsia="zh-CN"/>
        </w:rPr>
        <w:t>7</w:t>
      </w:r>
      <w:r>
        <w:rPr>
          <w:rFonts w:hint="eastAsia" w:ascii="宋体" w:hAnsi="宋体" w:eastAsia="宋体" w:cs="宋体"/>
          <w:b/>
          <w:bCs/>
          <w:color w:val="auto"/>
          <w:sz w:val="32"/>
          <w:szCs w:val="32"/>
        </w:rPr>
        <w:t>年泉州师范学院</w:t>
      </w:r>
      <w:r>
        <w:rPr>
          <w:rFonts w:hint="eastAsia" w:ascii="宋体" w:hAnsi="宋体" w:eastAsia="宋体" w:cs="宋体"/>
          <w:b/>
          <w:bCs/>
          <w:color w:val="auto"/>
          <w:sz w:val="32"/>
          <w:szCs w:val="32"/>
          <w:lang w:eastAsia="zh-CN"/>
        </w:rPr>
        <w:t>主校区</w:t>
      </w:r>
      <w:r>
        <w:rPr>
          <w:rFonts w:hint="eastAsia" w:ascii="宋体" w:hAnsi="宋体" w:eastAsia="宋体" w:cs="宋体"/>
          <w:b/>
          <w:bCs/>
          <w:color w:val="auto"/>
          <w:sz w:val="32"/>
          <w:szCs w:val="32"/>
        </w:rPr>
        <w:t>电梯维保服务项目采购</w:t>
      </w:r>
      <w:r>
        <w:rPr>
          <w:rFonts w:hint="eastAsia" w:ascii="宋体" w:hAnsi="宋体" w:eastAsia="宋体" w:cs="宋体"/>
          <w:b/>
          <w:bCs/>
          <w:color w:val="auto"/>
          <w:sz w:val="32"/>
          <w:szCs w:val="32"/>
          <w:lang w:eastAsia="zh-CN"/>
        </w:rPr>
        <w:t>全包</w:t>
      </w:r>
      <w:r>
        <w:rPr>
          <w:rFonts w:hint="eastAsia" w:ascii="宋体" w:hAnsi="宋体" w:eastAsia="宋体" w:cs="宋体"/>
          <w:b/>
          <w:bCs/>
          <w:color w:val="auto"/>
          <w:sz w:val="32"/>
          <w:szCs w:val="32"/>
        </w:rPr>
        <w:t>合同（包</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rPr>
        <w:t>）</w:t>
      </w:r>
    </w:p>
    <w:p w14:paraId="5EA82F31">
      <w:pPr>
        <w:pStyle w:val="2"/>
        <w:ind w:firstLine="5520" w:firstLineChars="2300"/>
        <w:jc w:val="both"/>
        <w:rPr>
          <w:rFonts w:hint="eastAsia" w:ascii="宋体" w:hAnsi="宋体" w:eastAsia="宋体" w:cs="Times New Roman"/>
          <w:color w:val="auto"/>
          <w:kern w:val="2"/>
          <w:sz w:val="21"/>
          <w:szCs w:val="21"/>
        </w:rPr>
      </w:pPr>
      <w:r>
        <w:rPr>
          <w:rFonts w:hint="eastAsia" w:ascii="宋体" w:hAnsi="宋体"/>
          <w:color w:val="auto"/>
          <w:szCs w:val="21"/>
        </w:rPr>
        <w:t xml:space="preserve">                                        </w:t>
      </w:r>
    </w:p>
    <w:p w14:paraId="70FA1D18">
      <w:pPr>
        <w:spacing w:line="360" w:lineRule="auto"/>
        <w:rPr>
          <w:rFonts w:hint="eastAsia" w:ascii="宋体" w:hAnsi="宋体" w:eastAsia="宋体" w:cs="宋体"/>
          <w:b/>
          <w:color w:val="auto"/>
          <w:kern w:val="0"/>
          <w:szCs w:val="21"/>
        </w:rPr>
      </w:pPr>
      <w:r>
        <w:rPr>
          <w:rFonts w:hint="eastAsia" w:ascii="宋体" w:hAnsi="宋体" w:eastAsia="宋体" w:cs="宋体"/>
          <w:b/>
          <w:color w:val="auto"/>
          <w:kern w:val="0"/>
          <w:szCs w:val="21"/>
        </w:rPr>
        <w:t xml:space="preserve">使用单位（甲方）                  </w:t>
      </w:r>
    </w:p>
    <w:p w14:paraId="2584FA47">
      <w:pPr>
        <w:spacing w:line="360" w:lineRule="auto"/>
        <w:jc w:val="left"/>
        <w:rPr>
          <w:rFonts w:hint="eastAsia" w:ascii="宋体" w:hAnsi="宋体" w:eastAsia="宋体" w:cs="宋体"/>
          <w:color w:val="auto"/>
          <w:kern w:val="0"/>
          <w:szCs w:val="21"/>
          <w:u w:val="single"/>
        </w:rPr>
      </w:pPr>
      <w:r>
        <w:rPr>
          <w:rFonts w:hint="eastAsia" w:ascii="宋体" w:hAnsi="宋体" w:eastAsia="宋体" w:cs="宋体"/>
          <w:b/>
          <w:color w:val="auto"/>
          <w:kern w:val="0"/>
          <w:szCs w:val="21"/>
        </w:rPr>
        <w:t>维保单位（乙方）</w:t>
      </w:r>
    </w:p>
    <w:p w14:paraId="1A3860F5">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 xml:space="preserve">公司于 </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u w:val="single"/>
        </w:rPr>
        <w:t>年</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月</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rPr>
        <w:t>日组织的单一来源招标采购（采购编号：</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）活动中，确认乙方为</w:t>
      </w:r>
      <w:r>
        <w:rPr>
          <w:rFonts w:hint="eastAsia" w:ascii="宋体" w:hAnsi="宋体" w:eastAsia="宋体" w:cs="宋体"/>
          <w:color w:val="auto"/>
          <w:kern w:val="0"/>
          <w:szCs w:val="21"/>
          <w:lang w:eastAsia="zh-CN"/>
        </w:rPr>
        <w:t>采购包</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rPr>
        <w:t>的中标供应商，中标总金额为人民币(大写)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w:t>
      </w:r>
      <w:r>
        <w:rPr>
          <w:rFonts w:hint="eastAsia" w:ascii="宋体" w:hAnsi="宋体" w:eastAsia="宋体" w:cs="宋体"/>
          <w:color w:val="auto"/>
          <w:kern w:val="0"/>
          <w:szCs w:val="21"/>
        </w:rPr>
        <w:t>为贯彻“安全生产，预防为主”的方针，保障电梯安全运行，防止事故发生，依照《中华人民共和国民法典》、《中华人民共和国特种设备安全法》、《特种设备安全监察条例》、《电梯维护保养规则》（TSG T5002-2017）等规定，遵循平等、自愿、公平和诚实信用的原则，经甲、乙双方协商，现就有关事项达成如下合同，双方同意严格执行本合同规定的所有条款。</w:t>
      </w:r>
    </w:p>
    <w:p w14:paraId="0B1EE86B">
      <w:pPr>
        <w:spacing w:line="360" w:lineRule="auto"/>
        <w:ind w:left="1" w:firstLine="420" w:firstLineChars="199"/>
        <w:rPr>
          <w:rFonts w:hint="eastAsia" w:ascii="宋体" w:hAnsi="宋体" w:eastAsia="宋体" w:cs="宋体"/>
          <w:color w:val="auto"/>
          <w:kern w:val="0"/>
          <w:szCs w:val="21"/>
        </w:rPr>
      </w:pPr>
      <w:r>
        <w:rPr>
          <w:rFonts w:hint="eastAsia" w:ascii="宋体" w:hAnsi="宋体" w:eastAsia="宋体" w:cs="宋体"/>
          <w:b/>
          <w:color w:val="auto"/>
          <w:kern w:val="0"/>
          <w:szCs w:val="21"/>
        </w:rPr>
        <w:t xml:space="preserve">第一条  </w:t>
      </w:r>
      <w:r>
        <w:rPr>
          <w:rFonts w:hint="eastAsia" w:ascii="宋体" w:hAnsi="宋体" w:eastAsia="宋体" w:cs="宋体"/>
          <w:color w:val="auto"/>
          <w:kern w:val="0"/>
          <w:szCs w:val="21"/>
        </w:rPr>
        <w:t>乙方为本合同《电梯保养时间和保养费明细表》（附件1）中列明的电梯提供维保和紧急救援服务单位。保养项目应覆盖《电梯维护保养规则》规定的半月、季度、半年、年度保养项目和电梯制造单位技术文件所要求的特殊保养项目，以及与电梯安全运行相关的其他项目。</w:t>
      </w:r>
    </w:p>
    <w:p w14:paraId="78A3E6B7">
      <w:pPr>
        <w:spacing w:line="360" w:lineRule="auto"/>
        <w:ind w:left="1" w:firstLine="420" w:firstLineChars="199"/>
        <w:rPr>
          <w:rFonts w:hint="eastAsia" w:ascii="宋体" w:hAnsi="宋体" w:eastAsia="宋体" w:cs="宋体"/>
          <w:color w:val="auto"/>
          <w:kern w:val="0"/>
          <w:szCs w:val="21"/>
        </w:rPr>
      </w:pPr>
      <w:r>
        <w:rPr>
          <w:rFonts w:hint="eastAsia" w:ascii="宋体" w:hAnsi="宋体" w:eastAsia="宋体" w:cs="宋体"/>
          <w:b/>
          <w:color w:val="auto"/>
          <w:kern w:val="0"/>
          <w:szCs w:val="21"/>
        </w:rPr>
        <w:t xml:space="preserve">第二条  </w:t>
      </w:r>
      <w:r>
        <w:rPr>
          <w:rFonts w:hint="eastAsia" w:ascii="宋体" w:hAnsi="宋体" w:eastAsia="宋体" w:cs="宋体"/>
          <w:color w:val="auto"/>
          <w:kern w:val="0"/>
          <w:szCs w:val="21"/>
        </w:rPr>
        <w:t>乙方提供维保服务的方式：</w:t>
      </w:r>
    </w:p>
    <w:p w14:paraId="4B67D4E0">
      <w:pPr>
        <w:spacing w:line="360" w:lineRule="auto"/>
        <w:ind w:left="1" w:firstLine="470" w:firstLineChars="224"/>
        <w:rPr>
          <w:rFonts w:hint="eastAsia" w:ascii="宋体" w:hAnsi="宋体" w:eastAsia="宋体" w:cs="宋体"/>
          <w:color w:val="auto"/>
          <w:kern w:val="0"/>
          <w:szCs w:val="21"/>
        </w:rPr>
      </w:pPr>
      <w:r>
        <w:rPr>
          <w:rFonts w:hint="eastAsia" w:ascii="宋体" w:hAnsi="宋体" w:eastAsia="宋体" w:cs="宋体"/>
          <w:color w:val="auto"/>
          <w:kern w:val="0"/>
          <w:szCs w:val="21"/>
        </w:rPr>
        <w:t>全包：提供维保所需工具和劳务，并免费提供大部分电梯零部件。</w:t>
      </w:r>
    </w:p>
    <w:p w14:paraId="290FD26C">
      <w:pPr>
        <w:spacing w:line="360" w:lineRule="auto"/>
        <w:ind w:left="1" w:firstLine="470" w:firstLineChars="224"/>
        <w:rPr>
          <w:rFonts w:hint="eastAsia" w:ascii="宋体" w:hAnsi="宋体" w:eastAsia="宋体" w:cs="宋体"/>
          <w:color w:val="auto"/>
          <w:kern w:val="0"/>
          <w:szCs w:val="21"/>
        </w:rPr>
      </w:pPr>
      <w:r>
        <w:rPr>
          <w:rFonts w:hint="eastAsia" w:ascii="宋体" w:hAnsi="宋体" w:eastAsia="宋体" w:cs="宋体"/>
          <w:color w:val="auto"/>
          <w:kern w:val="0"/>
          <w:szCs w:val="21"/>
        </w:rPr>
        <w:t>下列外围设备和辅助周边设备将不在本合同之内：</w:t>
      </w:r>
    </w:p>
    <w:p w14:paraId="0E8B2CF4">
      <w:pPr>
        <w:spacing w:line="360" w:lineRule="auto"/>
        <w:ind w:left="1" w:firstLine="470" w:firstLineChars="224"/>
        <w:rPr>
          <w:rFonts w:hint="eastAsia" w:ascii="宋体" w:hAnsi="宋体" w:eastAsia="宋体" w:cs="宋体"/>
          <w:color w:val="auto"/>
          <w:kern w:val="0"/>
          <w:szCs w:val="21"/>
        </w:rPr>
      </w:pPr>
      <w:r>
        <w:rPr>
          <w:rFonts w:hint="eastAsia" w:ascii="宋体" w:hAnsi="宋体" w:eastAsia="宋体" w:cs="宋体"/>
          <w:color w:val="auto"/>
          <w:kern w:val="0"/>
          <w:szCs w:val="21"/>
        </w:rPr>
        <w:t>电梯及液压梯：轿厢围壁、包括固定或可移动的面板、门面板、轿门、吊顶、光线散射屏、扶手、镜子、地面装饰、地毯及其它建筑装饰和配件；厅门、门框及地坎、沉箱、液缸和管道，从配电房至机房的供电装置、通讯设备、音乐装置、保安系统等非</w:t>
      </w:r>
      <w:r>
        <w:rPr>
          <w:rFonts w:hint="eastAsia" w:ascii="宋体" w:hAnsi="宋体" w:eastAsia="宋体" w:cs="宋体"/>
          <w:color w:val="auto"/>
          <w:kern w:val="0"/>
          <w:szCs w:val="21"/>
          <w:u w:val="single"/>
          <w:lang w:val="en-US" w:eastAsia="zh-CN"/>
        </w:rPr>
        <w:t>（乙方品牌）</w:t>
      </w:r>
      <w:r>
        <w:rPr>
          <w:rFonts w:hint="eastAsia" w:ascii="宋体" w:hAnsi="宋体" w:eastAsia="宋体" w:cs="宋体"/>
          <w:color w:val="auto"/>
          <w:kern w:val="0"/>
          <w:szCs w:val="21"/>
        </w:rPr>
        <w:t>提供的设备及电梯井道机房之外的电线。</w:t>
      </w:r>
    </w:p>
    <w:p w14:paraId="0F51F04A">
      <w:pPr>
        <w:spacing w:line="360" w:lineRule="auto"/>
        <w:ind w:left="1" w:firstLine="470" w:firstLineChars="224"/>
        <w:rPr>
          <w:rFonts w:hint="eastAsia" w:ascii="宋体" w:hAnsi="宋体" w:eastAsia="宋体" w:cs="宋体"/>
          <w:color w:val="auto"/>
          <w:kern w:val="0"/>
          <w:szCs w:val="21"/>
        </w:rPr>
      </w:pPr>
      <w:r>
        <w:rPr>
          <w:rFonts w:hint="eastAsia" w:ascii="宋体" w:hAnsi="宋体" w:eastAsia="宋体" w:cs="宋体"/>
          <w:color w:val="auto"/>
          <w:kern w:val="0"/>
          <w:szCs w:val="21"/>
        </w:rPr>
        <w:t>扶梯：扶梯照明、扶手带、楔块护板、桁架包层、桁架内照明。</w:t>
      </w:r>
    </w:p>
    <w:p w14:paraId="28F084F4">
      <w:pPr>
        <w:spacing w:line="360" w:lineRule="auto"/>
        <w:ind w:left="1" w:firstLine="470" w:firstLineChars="224"/>
        <w:rPr>
          <w:rFonts w:hint="eastAsia" w:ascii="宋体" w:hAnsi="宋体" w:eastAsia="宋体" w:cs="宋体"/>
          <w:color w:val="auto"/>
          <w:kern w:val="0"/>
          <w:szCs w:val="21"/>
        </w:rPr>
      </w:pPr>
      <w:r>
        <w:rPr>
          <w:rFonts w:hint="eastAsia" w:ascii="宋体" w:hAnsi="宋体" w:eastAsia="宋体" w:cs="宋体"/>
          <w:color w:val="auto"/>
          <w:kern w:val="0"/>
          <w:szCs w:val="21"/>
        </w:rPr>
        <w:t>涉及需向</w:t>
      </w:r>
      <w:r>
        <w:rPr>
          <w:rFonts w:hint="eastAsia" w:ascii="宋体" w:hAnsi="宋体" w:eastAsia="宋体" w:cs="宋体"/>
          <w:color w:val="auto"/>
          <w:kern w:val="0"/>
          <w:szCs w:val="21"/>
          <w:lang w:eastAsia="zh-CN"/>
        </w:rPr>
        <w:t>质</w:t>
      </w:r>
      <w:r>
        <w:rPr>
          <w:rFonts w:hint="eastAsia" w:ascii="宋体" w:hAnsi="宋体" w:eastAsia="宋体" w:cs="宋体"/>
          <w:color w:val="auto"/>
          <w:kern w:val="0"/>
          <w:szCs w:val="21"/>
        </w:rPr>
        <w:t>监局报开工的修理项目（如控制柜、曵引轮、抱闸、主机、限速器、安全钳、上行保护装置等），政府所需收取的监检费由甲方负责承担。</w:t>
      </w:r>
    </w:p>
    <w:p w14:paraId="1A424E7D">
      <w:pPr>
        <w:spacing w:line="360" w:lineRule="auto"/>
        <w:ind w:left="1" w:firstLine="417" w:firstLineChars="199"/>
        <w:rPr>
          <w:rFonts w:hint="eastAsia" w:ascii="宋体" w:hAnsi="宋体" w:eastAsia="宋体" w:cs="宋体"/>
          <w:color w:val="auto"/>
          <w:kern w:val="0"/>
          <w:szCs w:val="21"/>
        </w:rPr>
      </w:pPr>
      <w:r>
        <w:rPr>
          <w:rFonts w:hint="eastAsia" w:ascii="宋体" w:hAnsi="宋体" w:eastAsia="宋体" w:cs="宋体"/>
          <w:color w:val="auto"/>
          <w:kern w:val="0"/>
          <w:szCs w:val="21"/>
        </w:rPr>
        <w:t>政府部门每年定期检验的年检费用由甲方负责承担。</w:t>
      </w:r>
    </w:p>
    <w:p w14:paraId="22C30244">
      <w:pPr>
        <w:widowControl/>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一般故障，乙方必须在24小时内修好以保证电梯正常运行；大故障（如更换变频器、主板等），乙方应无条件提供配件替代品，并在12天内恢复电梯正常运行。</w:t>
      </w:r>
    </w:p>
    <w:p w14:paraId="1767E5C4">
      <w:pPr>
        <w:widowControl/>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乙方需储存合理数量的电梯原厂备件，并且24小时可随时取用，以备及时的更换，电梯配件要求更换的零部件必须使用厂家正品部件和配件，不能用仿制品和维修翻新品取代。维保期间必须免费提供电梯主板的软件升级服务。</w:t>
      </w:r>
    </w:p>
    <w:p w14:paraId="295B7477">
      <w:pPr>
        <w:spacing w:line="360" w:lineRule="auto"/>
        <w:ind w:left="1" w:firstLine="420" w:firstLineChars="199"/>
        <w:rPr>
          <w:rFonts w:hint="eastAsia" w:ascii="宋体" w:hAnsi="宋体" w:eastAsia="宋体" w:cs="宋体"/>
          <w:color w:val="auto"/>
          <w:kern w:val="0"/>
          <w:szCs w:val="21"/>
        </w:rPr>
      </w:pPr>
      <w:r>
        <w:rPr>
          <w:rFonts w:hint="eastAsia" w:ascii="宋体" w:hAnsi="宋体" w:eastAsia="宋体" w:cs="宋体"/>
          <w:b/>
          <w:color w:val="auto"/>
          <w:kern w:val="0"/>
          <w:szCs w:val="21"/>
        </w:rPr>
        <w:t xml:space="preserve">第三条  </w:t>
      </w:r>
      <w:r>
        <w:rPr>
          <w:rFonts w:hint="eastAsia" w:ascii="宋体" w:hAnsi="宋体" w:eastAsia="宋体" w:cs="宋体"/>
          <w:color w:val="auto"/>
          <w:kern w:val="0"/>
          <w:szCs w:val="21"/>
        </w:rPr>
        <w:t>维保期限</w:t>
      </w:r>
    </w:p>
    <w:p w14:paraId="679827B8">
      <w:pPr>
        <w:spacing w:line="360" w:lineRule="auto"/>
        <w:ind w:left="1" w:firstLine="417" w:firstLineChars="199"/>
        <w:rPr>
          <w:rFonts w:hint="eastAsia" w:ascii="宋体" w:hAnsi="宋体" w:eastAsia="宋体" w:cs="宋体"/>
          <w:color w:val="auto"/>
          <w:kern w:val="0"/>
          <w:szCs w:val="21"/>
        </w:rPr>
      </w:pPr>
      <w:r>
        <w:rPr>
          <w:rFonts w:hint="eastAsia" w:ascii="宋体" w:hAnsi="宋体" w:eastAsia="宋体" w:cs="宋体"/>
          <w:color w:val="auto"/>
          <w:kern w:val="0"/>
          <w:szCs w:val="21"/>
        </w:rPr>
        <w:t>本合同约定维保期限自</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2025</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7</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1 </w:t>
      </w:r>
      <w:r>
        <w:rPr>
          <w:rFonts w:hint="eastAsia" w:ascii="宋体" w:hAnsi="宋体" w:eastAsia="宋体" w:cs="宋体"/>
          <w:color w:val="auto"/>
          <w:kern w:val="0"/>
          <w:szCs w:val="21"/>
        </w:rPr>
        <w:t>日起至</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2027</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6</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30 </w:t>
      </w:r>
      <w:r>
        <w:rPr>
          <w:rFonts w:hint="eastAsia" w:ascii="宋体" w:hAnsi="宋体" w:eastAsia="宋体" w:cs="宋体"/>
          <w:color w:val="auto"/>
          <w:kern w:val="0"/>
          <w:szCs w:val="21"/>
        </w:rPr>
        <w:t xml:space="preserve">日止。  </w:t>
      </w:r>
    </w:p>
    <w:p w14:paraId="509DDCB9">
      <w:pPr>
        <w:spacing w:line="360" w:lineRule="auto"/>
        <w:ind w:left="1" w:firstLine="420" w:firstLineChars="199"/>
        <w:rPr>
          <w:rFonts w:hint="eastAsia" w:ascii="宋体" w:hAnsi="宋体" w:eastAsia="宋体" w:cs="宋体"/>
          <w:color w:val="auto"/>
          <w:kern w:val="0"/>
          <w:szCs w:val="21"/>
        </w:rPr>
      </w:pPr>
      <w:r>
        <w:rPr>
          <w:rFonts w:hint="eastAsia" w:ascii="宋体" w:hAnsi="宋体" w:eastAsia="宋体" w:cs="宋体"/>
          <w:b/>
          <w:color w:val="auto"/>
          <w:kern w:val="0"/>
          <w:szCs w:val="21"/>
        </w:rPr>
        <w:t>第四条</w:t>
      </w:r>
      <w:r>
        <w:rPr>
          <w:rFonts w:hint="eastAsia" w:ascii="宋体" w:hAnsi="宋体" w:eastAsia="宋体" w:cs="宋体"/>
          <w:color w:val="auto"/>
          <w:kern w:val="0"/>
          <w:szCs w:val="21"/>
        </w:rPr>
        <w:t xml:space="preserve">  维保费用</w:t>
      </w:r>
    </w:p>
    <w:p w14:paraId="78953EF6">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共</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台电梯，合同期维保费：总计人民币</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元，大写：</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元整 </w:t>
      </w:r>
      <w:r>
        <w:rPr>
          <w:rFonts w:hint="eastAsia" w:ascii="宋体" w:hAnsi="宋体" w:eastAsia="宋体" w:cs="宋体"/>
          <w:color w:val="auto"/>
          <w:kern w:val="0"/>
          <w:szCs w:val="21"/>
        </w:rPr>
        <w:t xml:space="preserve"> 。</w:t>
      </w:r>
    </w:p>
    <w:p w14:paraId="5CE1CBD7">
      <w:pPr>
        <w:spacing w:line="360" w:lineRule="auto"/>
        <w:ind w:firstLine="422" w:firstLineChars="200"/>
        <w:rPr>
          <w:rFonts w:hint="eastAsia" w:ascii="宋体" w:hAnsi="宋体" w:eastAsia="宋体" w:cs="宋体"/>
          <w:b/>
          <w:color w:val="auto"/>
          <w:kern w:val="0"/>
          <w:szCs w:val="21"/>
        </w:rPr>
      </w:pPr>
      <w:r>
        <w:rPr>
          <w:rFonts w:hint="eastAsia" w:ascii="宋体" w:hAnsi="宋体" w:eastAsia="宋体" w:cs="宋体"/>
          <w:b/>
          <w:color w:val="auto"/>
          <w:kern w:val="0"/>
          <w:szCs w:val="21"/>
        </w:rPr>
        <w:t>第五条 结算</w:t>
      </w:r>
    </w:p>
    <w:p w14:paraId="287F38BC">
      <w:pPr>
        <w:spacing w:line="360" w:lineRule="auto"/>
        <w:ind w:firstLine="480"/>
        <w:rPr>
          <w:rFonts w:hint="eastAsia" w:ascii="宋体" w:hAnsi="宋体" w:eastAsia="宋体" w:cs="宋体"/>
          <w:color w:val="auto"/>
          <w:szCs w:val="21"/>
          <w:u w:val="single"/>
        </w:rPr>
      </w:pPr>
      <w:r>
        <w:rPr>
          <w:rFonts w:hint="eastAsia" w:ascii="宋体" w:hAnsi="宋体" w:eastAsia="宋体" w:cs="宋体"/>
          <w:color w:val="auto"/>
          <w:kern w:val="0"/>
          <w:szCs w:val="21"/>
        </w:rPr>
        <w:t>1、甲方按</w:t>
      </w:r>
      <w:r>
        <w:rPr>
          <w:rFonts w:hint="eastAsia" w:ascii="宋体" w:hAnsi="宋体" w:eastAsia="宋体" w:cs="宋体"/>
          <w:b/>
          <w:color w:val="auto"/>
          <w:kern w:val="0"/>
          <w:szCs w:val="21"/>
        </w:rPr>
        <w:t>季</w:t>
      </w:r>
      <w:r>
        <w:rPr>
          <w:rFonts w:hint="eastAsia" w:ascii="宋体" w:hAnsi="宋体" w:eastAsia="宋体" w:cs="宋体"/>
          <w:color w:val="auto"/>
          <w:kern w:val="0"/>
          <w:szCs w:val="21"/>
        </w:rPr>
        <w:t>度支付维保费， 具体支付时间和金额为：付款周期为 3个月，共分 8期支付，</w:t>
      </w:r>
      <w:r>
        <w:rPr>
          <w:rFonts w:hint="eastAsia" w:ascii="宋体" w:hAnsi="宋体" w:eastAsia="宋体" w:cs="宋体"/>
          <w:iCs/>
          <w:color w:val="auto"/>
          <w:szCs w:val="21"/>
        </w:rPr>
        <w:t>甲方根据乙方</w:t>
      </w:r>
      <w:r>
        <w:rPr>
          <w:rFonts w:hint="eastAsia" w:ascii="宋体" w:hAnsi="宋体" w:eastAsia="宋体" w:cs="宋体"/>
          <w:iCs/>
          <w:color w:val="auto"/>
          <w:szCs w:val="21"/>
          <w:lang w:eastAsia="zh-CN"/>
        </w:rPr>
        <w:t>开具</w:t>
      </w:r>
      <w:r>
        <w:rPr>
          <w:rFonts w:hint="eastAsia" w:ascii="宋体" w:hAnsi="宋体" w:eastAsia="宋体" w:cs="宋体"/>
          <w:iCs/>
          <w:color w:val="auto"/>
          <w:szCs w:val="21"/>
        </w:rPr>
        <w:t>的增值税普通发票按</w:t>
      </w:r>
      <w:r>
        <w:rPr>
          <w:rFonts w:hint="eastAsia" w:ascii="宋体" w:hAnsi="宋体" w:eastAsia="宋体" w:cs="宋体"/>
          <w:b/>
          <w:iCs/>
          <w:color w:val="auto"/>
          <w:szCs w:val="21"/>
        </w:rPr>
        <w:t>季度</w:t>
      </w:r>
      <w:r>
        <w:rPr>
          <w:rFonts w:hint="eastAsia" w:ascii="宋体" w:hAnsi="宋体" w:eastAsia="宋体" w:cs="宋体"/>
          <w:iCs/>
          <w:color w:val="auto"/>
          <w:szCs w:val="21"/>
        </w:rPr>
        <w:t>支付维保费，每季度保养期满后无质量问题，一个月内支付维保费用。</w:t>
      </w:r>
    </w:p>
    <w:p w14:paraId="0A85371A">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2、甲方需支付零部件费用的，付款方式另行协商。</w:t>
      </w:r>
    </w:p>
    <w:p w14:paraId="40AE418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3、支付方式：</w:t>
      </w:r>
      <w:r>
        <w:rPr>
          <w:rFonts w:hint="eastAsia" w:ascii="宋体" w:hAnsi="宋体" w:eastAsia="宋体" w:cs="宋体"/>
          <w:color w:val="auto"/>
          <w:szCs w:val="21"/>
        </w:rPr>
        <w:t>汇到乙方指定</w:t>
      </w:r>
      <w:r>
        <w:rPr>
          <w:rFonts w:hint="eastAsia" w:ascii="宋体" w:hAnsi="宋体" w:eastAsia="宋体" w:cs="宋体"/>
          <w:color w:val="auto"/>
          <w:szCs w:val="21"/>
          <w:lang w:eastAsia="zh-CN"/>
        </w:rPr>
        <w:t>账户</w:t>
      </w:r>
      <w:r>
        <w:rPr>
          <w:rFonts w:hint="eastAsia" w:ascii="宋体" w:hAnsi="宋体" w:eastAsia="宋体" w:cs="宋体"/>
          <w:color w:val="auto"/>
          <w:szCs w:val="21"/>
        </w:rPr>
        <w:t>。</w:t>
      </w:r>
    </w:p>
    <w:p w14:paraId="52BEE3DF">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w:t>
      </w:r>
      <w:r>
        <w:rPr>
          <w:rFonts w:hint="eastAsia" w:ascii="宋体" w:hAnsi="宋体" w:eastAsia="宋体" w:cs="宋体"/>
          <w:b/>
          <w:color w:val="auto"/>
          <w:kern w:val="0"/>
          <w:szCs w:val="21"/>
        </w:rPr>
        <w:t>六</w:t>
      </w:r>
      <w:r>
        <w:rPr>
          <w:rFonts w:hint="eastAsia" w:ascii="宋体" w:hAnsi="宋体" w:eastAsia="宋体" w:cs="宋体"/>
          <w:b/>
          <w:color w:val="auto"/>
          <w:szCs w:val="21"/>
        </w:rPr>
        <w:t>条  履约验收</w:t>
      </w:r>
    </w:p>
    <w:p w14:paraId="60F72332">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乙方按照维保合同要求完成电梯维保服务，乙方的维保人员每次完成电梯维保服务需拍照发给甲方电梯安全管理员，并进行登记，做好维保记录，甲方电梯安全管理员查看工作完成情况。甲方按照年度对乙方的维保服务进行验收及质量评价。</w:t>
      </w:r>
    </w:p>
    <w:p w14:paraId="4F89E1DA">
      <w:pPr>
        <w:spacing w:line="360" w:lineRule="auto"/>
        <w:ind w:firstLine="422" w:firstLineChars="200"/>
        <w:rPr>
          <w:rFonts w:hint="eastAsia" w:ascii="宋体" w:hAnsi="宋体" w:eastAsia="宋体" w:cs="宋体"/>
          <w:color w:val="auto"/>
          <w:szCs w:val="21"/>
        </w:rPr>
      </w:pPr>
      <w:r>
        <w:rPr>
          <w:rFonts w:hint="eastAsia" w:ascii="宋体" w:hAnsi="宋体" w:eastAsia="宋体" w:cs="宋体"/>
          <w:b/>
          <w:color w:val="auto"/>
          <w:szCs w:val="21"/>
          <w:lang w:val="en-US" w:eastAsia="zh-CN"/>
        </w:rPr>
        <w:t xml:space="preserve">第七条 </w:t>
      </w:r>
      <w:r>
        <w:rPr>
          <w:rFonts w:hint="eastAsia" w:ascii="宋体" w:hAnsi="宋体" w:eastAsia="宋体" w:cs="宋体"/>
          <w:color w:val="auto"/>
          <w:szCs w:val="21"/>
        </w:rPr>
        <w:t>甲方权利、义务</w:t>
      </w:r>
    </w:p>
    <w:p w14:paraId="6E16EA06">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1、权利</w:t>
      </w:r>
    </w:p>
    <w:p w14:paraId="4095D56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（1）有权监督检查乙方依照合同约定实施维保计划的情况，监督经乙方维保后的</w:t>
      </w:r>
      <w:r>
        <w:rPr>
          <w:rFonts w:hint="eastAsia" w:ascii="宋体" w:hAnsi="宋体" w:eastAsia="宋体" w:cs="宋体"/>
          <w:color w:val="auto"/>
          <w:kern w:val="0"/>
          <w:szCs w:val="21"/>
        </w:rPr>
        <w:t>电梯是否符合法律法规、安全技术规范、强制性标准和电梯制造单位的技术要求，监督电梯安全性能是否良好。</w:t>
      </w:r>
    </w:p>
    <w:p w14:paraId="474280C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有权检查受乙方委派为本单位电梯提供维保服务人员的持证上岗情况，有权拒绝无证人员开展维保活动。有权要求乙方人员服从本单位现场安全管理，对不服从现场安全管理的乙方人员，有权要求乙方更换人员。</w:t>
      </w:r>
    </w:p>
    <w:p w14:paraId="786FFEE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（3）乙方的维护保养达不到合同约定的维护保养标准或要求的，甲方有权拒绝在维护保养记录上签字。</w:t>
      </w:r>
    </w:p>
    <w:p w14:paraId="70609DD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（4）除国家规定的法定监督检验与定期检验外，有权委托特种设备检验机构或第三方中介机构对乙方按照合同约定实施维保工作的情况进行评定。</w:t>
      </w:r>
    </w:p>
    <w:p w14:paraId="4CF24FE6">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2、义务</w:t>
      </w:r>
    </w:p>
    <w:p w14:paraId="108D1A94">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（1）建立电梯安全运行的相关管理机构、制度，确保制度、人员、资金落实到位。</w:t>
      </w:r>
    </w:p>
    <w:p w14:paraId="6E3C6BEA">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（2）按照合同约定按期支付维保和零部件款。</w:t>
      </w:r>
    </w:p>
    <w:p w14:paraId="6D39A199">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szCs w:val="21"/>
        </w:rPr>
        <w:t>配备持有电梯安全管理员资格证件的人员</w:t>
      </w:r>
      <w:r>
        <w:rPr>
          <w:rFonts w:hint="eastAsia" w:ascii="宋体" w:hAnsi="宋体" w:eastAsia="宋体" w:cs="宋体"/>
          <w:color w:val="auto"/>
          <w:kern w:val="0"/>
          <w:szCs w:val="21"/>
        </w:rPr>
        <w:t>负责电梯的日常安全管理工作，并在更换电梯管理人员时及时通知乙方。督促</w:t>
      </w:r>
      <w:r>
        <w:rPr>
          <w:rFonts w:hint="eastAsia" w:ascii="宋体" w:hAnsi="宋体" w:eastAsia="宋体" w:cs="宋体"/>
          <w:color w:val="auto"/>
          <w:szCs w:val="21"/>
        </w:rPr>
        <w:t>电梯安全管理人员</w:t>
      </w:r>
      <w:r>
        <w:rPr>
          <w:rFonts w:hint="eastAsia" w:ascii="宋体" w:hAnsi="宋体" w:eastAsia="宋体" w:cs="宋体"/>
          <w:color w:val="auto"/>
          <w:kern w:val="0"/>
          <w:szCs w:val="21"/>
        </w:rPr>
        <w:t>按照电梯使用检查表完成电梯的日常检查工作和每月检查工作，并严格按照电梯钥匙使用管理有关要求对电梯钥匙进行管理，实行钥匙领用登记，不将电梯钥匙交给非持证人员使用。</w:t>
      </w:r>
    </w:p>
    <w:p w14:paraId="6470FB6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（4）督促</w:t>
      </w:r>
      <w:r>
        <w:rPr>
          <w:rFonts w:hint="eastAsia" w:ascii="宋体" w:hAnsi="宋体" w:eastAsia="宋体" w:cs="宋体"/>
          <w:color w:val="auto"/>
          <w:szCs w:val="21"/>
        </w:rPr>
        <w:t>电梯安全管理人员</w:t>
      </w:r>
      <w:r>
        <w:rPr>
          <w:rFonts w:hint="eastAsia" w:ascii="宋体" w:hAnsi="宋体" w:eastAsia="宋体" w:cs="宋体"/>
          <w:color w:val="auto"/>
          <w:kern w:val="0"/>
          <w:szCs w:val="21"/>
        </w:rPr>
        <w:t>现场监督检查乙方的电梯保养工作过程和结果、对乙方的维保记录、修理记录签字确认，</w:t>
      </w:r>
      <w:r>
        <w:rPr>
          <w:rFonts w:hint="eastAsia" w:ascii="宋体" w:hAnsi="宋体" w:eastAsia="宋体" w:cs="宋体"/>
          <w:color w:val="auto"/>
          <w:szCs w:val="21"/>
        </w:rPr>
        <w:t>签收乙方提交的与电梯维保工作有关的文件。</w:t>
      </w:r>
    </w:p>
    <w:p w14:paraId="0F7E3C1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kern w:val="0"/>
          <w:szCs w:val="21"/>
        </w:rPr>
        <w:t>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14:paraId="5129BA3C">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（6）</w:t>
      </w:r>
      <w:r>
        <w:rPr>
          <w:rFonts w:hint="eastAsia" w:ascii="宋体" w:hAnsi="宋体" w:eastAsia="宋体" w:cs="宋体"/>
          <w:color w:val="auto"/>
          <w:szCs w:val="21"/>
        </w:rPr>
        <w:t>制订有关电梯的应急救援预案（如：电梯困人、消防、电梯水浸、自动扶梯人身伤害等）。每年至少开展一次应急救援演练，确保应急系统运行有效。</w:t>
      </w:r>
    </w:p>
    <w:p w14:paraId="241A6A85">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（7）保证电梯供电、消防、防雷、通风等系统安全可靠，满足国家标准规定。</w:t>
      </w:r>
    </w:p>
    <w:p w14:paraId="676ABC66">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8）为乙方提供维保所需的工作环境。保证机房、井道、底坑无漏水、渗水现象。通往机房、底坑、滑轮间、井道安全门的通道畅通、照明充分；确保作业环境中应由甲方提供的安全防护措施到位，避免无关人员进入。</w:t>
      </w:r>
    </w:p>
    <w:p w14:paraId="35303473">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（9</w:t>
      </w:r>
      <w:r>
        <w:rPr>
          <w:rFonts w:hint="eastAsia" w:ascii="宋体" w:hAnsi="宋体" w:eastAsia="宋体" w:cs="宋体"/>
          <w:color w:val="auto"/>
          <w:szCs w:val="21"/>
        </w:rPr>
        <w:t>）采取有效措施监控电梯使用情况，积极主动开展文明乘梯宣传活动，及时制止乘客不文明乘梯行为或恶意破坏电梯的行为。</w:t>
      </w:r>
    </w:p>
    <w:p w14:paraId="28A5B167">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rPr>
        <w:t>（10）未经</w:t>
      </w:r>
      <w:r>
        <w:rPr>
          <w:rFonts w:hint="eastAsia" w:ascii="宋体" w:hAnsi="宋体" w:eastAsia="宋体" w:cs="宋体"/>
          <w:color w:val="auto"/>
          <w:kern w:val="0"/>
          <w:szCs w:val="21"/>
        </w:rPr>
        <w:t>乙方书面许可不得允许非乙方人员从事与电梯维保有关的工作。</w:t>
      </w:r>
    </w:p>
    <w:p w14:paraId="5B210A92">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rPr>
        <w:t>（11）应认真审核乙方</w:t>
      </w:r>
      <w:r>
        <w:rPr>
          <w:rFonts w:hint="eastAsia" w:ascii="宋体" w:hAnsi="宋体" w:eastAsia="宋体" w:cs="宋体"/>
          <w:color w:val="auto"/>
          <w:kern w:val="0"/>
          <w:szCs w:val="21"/>
        </w:rPr>
        <w:t>书面提出的更换电梯零部件要求，并在乙方书面要求的期限内书面予以答复。</w:t>
      </w:r>
    </w:p>
    <w:p w14:paraId="6C766BF3">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（12）在电梯使用标志所标注的下次检验日期前１个月，向特种设备检验机构提出定期检验申请。</w:t>
      </w:r>
    </w:p>
    <w:p w14:paraId="6826B9F2">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（13）电梯因不可抗拒因素（如战争、火灾、水浸、风暴和地震等）所造成设备损坏、丢失的，自行承担全部责任。</w:t>
      </w:r>
    </w:p>
    <w:p w14:paraId="64968A14">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（14）2017年10月新执行的《电梯监督检验和定期检验规则--曳引与强制驱动电梯》 TSG T7001-2009第2号修改单、《电梯监督检验和定期检验规则--自动扶梯与自动人行道》 TSG T7005-2012 第2号修改单、《电梯监督检验和定期检验规则--杂物电梯》 TSG T7006-2012第2号修改单、《电梯监督检验和定期检验规则--液压电梯》 TSG T7004-2012 第2号修改单、《电梯监督检验和定期检验规则--防爆电梯》 TSG T7003-2011 第2号修改单、《电梯监督检验和定期检验规则--消防员电梯》 TSG T7002-2011 第2号修改单中因</w:t>
      </w:r>
      <w:r>
        <w:rPr>
          <w:rFonts w:hint="eastAsia" w:ascii="宋体" w:hAnsi="宋体" w:eastAsia="宋体" w:cs="宋体"/>
          <w:color w:val="auto"/>
          <w:kern w:val="0"/>
          <w:szCs w:val="21"/>
          <w:lang w:eastAsia="zh-CN"/>
        </w:rPr>
        <w:t>质</w:t>
      </w:r>
      <w:r>
        <w:rPr>
          <w:rFonts w:hint="eastAsia" w:ascii="宋体" w:hAnsi="宋体" w:eastAsia="宋体" w:cs="宋体"/>
          <w:color w:val="auto"/>
          <w:kern w:val="0"/>
          <w:szCs w:val="21"/>
        </w:rPr>
        <w:t>监局新增检测项目（包括曳引与强制驱动电梯中8.6运行试验C、2.9限速器B、8.13制动试验A（B）、自动扶梯与自动人行道4.2条扶手防爬/阻挡/防滑行装置B等）所增加的费用由甲方承担。</w:t>
      </w:r>
    </w:p>
    <w:p w14:paraId="4F290897">
      <w:pPr>
        <w:spacing w:line="360" w:lineRule="auto"/>
        <w:ind w:firstLine="413" w:firstLineChars="196"/>
        <w:rPr>
          <w:rFonts w:hint="eastAsia" w:ascii="宋体" w:hAnsi="宋体" w:eastAsia="宋体" w:cs="宋体"/>
          <w:b/>
          <w:color w:val="auto"/>
          <w:szCs w:val="21"/>
        </w:rPr>
      </w:pPr>
      <w:r>
        <w:rPr>
          <w:rFonts w:hint="eastAsia" w:ascii="宋体" w:hAnsi="宋体" w:eastAsia="宋体" w:cs="宋体"/>
          <w:b/>
          <w:color w:val="auto"/>
          <w:szCs w:val="21"/>
        </w:rPr>
        <w:t>第</w:t>
      </w:r>
      <w:r>
        <w:rPr>
          <w:rFonts w:hint="eastAsia" w:ascii="宋体" w:hAnsi="宋体" w:eastAsia="宋体" w:cs="宋体"/>
          <w:b/>
          <w:color w:val="auto"/>
          <w:szCs w:val="21"/>
          <w:lang w:val="en-US" w:eastAsia="zh-CN"/>
        </w:rPr>
        <w:t>八</w:t>
      </w:r>
      <w:r>
        <w:rPr>
          <w:rFonts w:hint="eastAsia" w:ascii="宋体" w:hAnsi="宋体" w:eastAsia="宋体" w:cs="宋体"/>
          <w:b/>
          <w:color w:val="auto"/>
          <w:szCs w:val="21"/>
        </w:rPr>
        <w:t>条 乙方权利、义务</w:t>
      </w:r>
    </w:p>
    <w:p w14:paraId="099ABF65">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kern w:val="0"/>
          <w:szCs w:val="21"/>
        </w:rPr>
        <w:t>1、</w:t>
      </w:r>
      <w:r>
        <w:rPr>
          <w:rFonts w:hint="eastAsia" w:ascii="宋体" w:hAnsi="宋体" w:eastAsia="宋体" w:cs="宋体"/>
          <w:b/>
          <w:color w:val="auto"/>
          <w:szCs w:val="21"/>
        </w:rPr>
        <w:t>权利</w:t>
      </w:r>
    </w:p>
    <w:p w14:paraId="7DD7029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（1）有权要求甲方提供维保所需的工作环境，查询电梯相关资料。</w:t>
      </w:r>
    </w:p>
    <w:p w14:paraId="48A4FA3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（2）当电梯存在事故隐患时，乙方有权采取停梯措施及阻止冒险作业的权利。</w:t>
      </w:r>
    </w:p>
    <w:p w14:paraId="4DA37CF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（3）有权拒绝甲方提出的影响电梯安全运行的要求。</w:t>
      </w:r>
    </w:p>
    <w:p w14:paraId="3B1E87A0">
      <w:pPr>
        <w:spacing w:line="360" w:lineRule="auto"/>
        <w:ind w:left="795" w:leftChars="228" w:hanging="316" w:hangingChars="150"/>
        <w:rPr>
          <w:rFonts w:hint="eastAsia" w:ascii="宋体" w:hAnsi="宋体" w:eastAsia="宋体" w:cs="宋体"/>
          <w:b/>
          <w:color w:val="auto"/>
          <w:szCs w:val="21"/>
        </w:rPr>
      </w:pPr>
      <w:r>
        <w:rPr>
          <w:rFonts w:hint="eastAsia" w:ascii="宋体" w:hAnsi="宋体" w:eastAsia="宋体" w:cs="宋体"/>
          <w:b/>
          <w:color w:val="auto"/>
          <w:szCs w:val="21"/>
        </w:rPr>
        <w:t>2、义务</w:t>
      </w:r>
    </w:p>
    <w:p w14:paraId="31EAD21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kern w:val="0"/>
          <w:szCs w:val="21"/>
        </w:rPr>
        <w:t>按照《电梯维护保养规则》（TSG T5002-2017）并根据</w:t>
      </w:r>
      <w:r>
        <w:rPr>
          <w:rFonts w:hint="eastAsia" w:ascii="宋体" w:hAnsi="宋体" w:eastAsia="宋体" w:cs="宋体"/>
          <w:color w:val="auto"/>
          <w:szCs w:val="21"/>
        </w:rPr>
        <w:t>电梯的使用情况和设备状况，经双方协商确认后，提供全年保养计划和各项定期保养计划的具体实施时间表。每台每次保养时间不得少于合同约定的相应最少保养时间(2小时)。如需调整原保养计划，应提前</w:t>
      </w:r>
      <w:r>
        <w:rPr>
          <w:rFonts w:hint="eastAsia" w:ascii="宋体" w:hAnsi="宋体" w:eastAsia="宋体" w:cs="宋体"/>
          <w:color w:val="auto"/>
          <w:szCs w:val="21"/>
          <w:u w:val="single"/>
        </w:rPr>
        <w:t xml:space="preserve"> 7 </w:t>
      </w:r>
      <w:r>
        <w:rPr>
          <w:rFonts w:hint="eastAsia" w:ascii="宋体" w:hAnsi="宋体" w:eastAsia="宋体" w:cs="宋体"/>
          <w:color w:val="auto"/>
          <w:szCs w:val="21"/>
        </w:rPr>
        <w:t>日通知甲方并经甲方同意后方可调整，但应保证保养时间间隔不得超过15日；</w:t>
      </w:r>
    </w:p>
    <w:p w14:paraId="0C0F9E44">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 xml:space="preserve">（2）乙方实施日常维护保养后的电梯应当符合《电梯维修规范》（GB/T18775）、《电梯制造与安装安全规范》（GB 7588）和《自动扶梯、垃圾梯和自动人行道的制造与安装安全规范》（GB 16899）的相关规定。 </w:t>
      </w:r>
    </w:p>
    <w:p w14:paraId="609EAB84">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乙方对其维保的电梯安全性能负责。应当在本合同签订后对电梯是否符合安全技术规范要求进行确认，发现上个维保周期中电梯存在安全隐患的，应书面通知使用单位，并及时进行维修。维保后的电梯应当符合相应的安全技术规范，并且处于正常的运行状态。</w:t>
      </w:r>
    </w:p>
    <w:p w14:paraId="6DB5EBDD">
      <w:pPr>
        <w:spacing w:line="360" w:lineRule="auto"/>
        <w:ind w:right="-169"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（4）乙方提供24小时的紧急救援服务。</w:t>
      </w:r>
    </w:p>
    <w:p w14:paraId="6E8FAD7F">
      <w:pPr>
        <w:spacing w:line="360" w:lineRule="auto"/>
        <w:ind w:left="594" w:leftChars="283" w:right="-169"/>
        <w:rPr>
          <w:rFonts w:hint="eastAsia" w:ascii="宋体" w:hAnsi="宋体" w:eastAsia="宋体" w:cs="宋体"/>
          <w:color w:val="auto"/>
          <w:kern w:val="0"/>
          <w:szCs w:val="21"/>
        </w:rPr>
      </w:pPr>
      <w:r>
        <w:rPr>
          <w:rFonts w:hint="eastAsia" w:ascii="宋体" w:hAnsi="宋体" w:eastAsia="宋体" w:cs="宋体"/>
          <w:color w:val="auto"/>
          <w:szCs w:val="21"/>
        </w:rPr>
        <w:t>乙方维保负责人: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，联系电话: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。24</w:t>
      </w:r>
      <w:r>
        <w:rPr>
          <w:rFonts w:hint="eastAsia" w:ascii="宋体" w:hAnsi="宋体" w:eastAsia="宋体" w:cs="宋体"/>
          <w:color w:val="auto"/>
          <w:kern w:val="0"/>
          <w:szCs w:val="21"/>
        </w:rPr>
        <w:t>小时紧急救援服务热线电话：</w:t>
      </w:r>
    </w:p>
    <w:p w14:paraId="6637C0B5">
      <w:pPr>
        <w:spacing w:line="360" w:lineRule="auto"/>
        <w:ind w:right="-169"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rPr>
        <w:t xml:space="preserve">，手机用户可拨打: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rPr>
        <w:t>。当电梯发生困人故障，乙方应在接到甲方通知后30分钟内赶赴现场实施紧急救援；电梯发生其他故障，乙方应在接到甲方通知后</w:t>
      </w:r>
      <w:r>
        <w:rPr>
          <w:rFonts w:hint="eastAsia" w:ascii="宋体" w:hAnsi="宋体" w:eastAsia="宋体" w:cs="宋体"/>
          <w:color w:val="auto"/>
          <w:kern w:val="0"/>
          <w:szCs w:val="21"/>
          <w:u w:val="single"/>
        </w:rPr>
        <w:t xml:space="preserve"> 30  </w:t>
      </w:r>
      <w:r>
        <w:rPr>
          <w:rFonts w:hint="eastAsia" w:ascii="宋体" w:hAnsi="宋体" w:eastAsia="宋体" w:cs="宋体"/>
          <w:color w:val="auto"/>
          <w:kern w:val="0"/>
          <w:szCs w:val="21"/>
        </w:rPr>
        <w:t>分钟内赶到现场实施抢修。</w:t>
      </w:r>
    </w:p>
    <w:p w14:paraId="5C6FE6B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kern w:val="0"/>
          <w:szCs w:val="21"/>
        </w:rPr>
        <w:t>现场作业人员应当取得相应的《特种设备作业人员证》。</w:t>
      </w:r>
      <w:r>
        <w:rPr>
          <w:rFonts w:hint="eastAsia" w:ascii="宋体" w:hAnsi="宋体" w:eastAsia="宋体" w:cs="宋体"/>
          <w:color w:val="auto"/>
          <w:szCs w:val="21"/>
        </w:rPr>
        <w:t>为有效实施保养计划，乙方应安排熟悉所维保电梯原理、结构、性能、安全要求的特种设备作业人员负责维保工作，并督促其严格按照产品工艺要求、安全及技术规范进行维保。</w:t>
      </w:r>
    </w:p>
    <w:p w14:paraId="0290F636">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rPr>
        <w:t>（6）</w:t>
      </w:r>
      <w:r>
        <w:rPr>
          <w:rFonts w:hint="eastAsia" w:ascii="宋体" w:hAnsi="宋体" w:eastAsia="宋体" w:cs="宋体"/>
          <w:color w:val="auto"/>
          <w:kern w:val="0"/>
          <w:szCs w:val="21"/>
        </w:rPr>
        <w:t>作业过程中应服从甲方现场安全管理，落实现场安全防护措施，保证作业安全。需要安全监护作业的内容应书面告知甲方，作业时，作业人员不得少于二人。</w:t>
      </w:r>
    </w:p>
    <w:p w14:paraId="2FB1F6C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（7）现场需采取停梯措施时，应立即通知甲方并及时组织抢修。</w:t>
      </w:r>
    </w:p>
    <w:p w14:paraId="56FC836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（8）</w:t>
      </w:r>
      <w:r>
        <w:rPr>
          <w:rFonts w:hint="eastAsia" w:ascii="宋体" w:hAnsi="宋体" w:eastAsia="宋体" w:cs="宋体"/>
          <w:color w:val="auto"/>
          <w:szCs w:val="21"/>
        </w:rPr>
        <w:t>根据甲方的故障统计记录，乙方应至少每季度一次提出故障分析报告。报告中应包含电梯故障的统计分析、整改措施和预防措施，以及有关电梯使用管理的合理化建议。</w:t>
      </w:r>
    </w:p>
    <w:p w14:paraId="318923A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乙方在本合同签订后对电梯进行一次全面的年度自检，将已发现上个维保周期中电梯存在的安全隐患，并报送使用单位，及时进行维修。应当配合电梯检验检测机构对电梯的定期检验，并参与电梯安全管理活动。负责完成年检中发生的属于本合同范围内的整改工作。维保后的电梯应当符合相应的安全技术规范，并且处于正常的运行状态。负责完成每年办理政府部门的电梯年度安全检查“年检”手续，并协助政府部门进行年度安全检查，并完成定期检验（年检）中发生的属本合同范围内的整改工作，直至取得电梯使用合格证。</w:t>
      </w:r>
    </w:p>
    <w:p w14:paraId="3BA8EC99">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（10）乙方应当配合电梯检验检测机构开展电梯定期检验，并</w:t>
      </w:r>
      <w:r>
        <w:rPr>
          <w:rFonts w:hint="eastAsia" w:ascii="宋体" w:hAnsi="宋体" w:eastAsia="宋体" w:cs="宋体"/>
          <w:color w:val="auto"/>
          <w:szCs w:val="21"/>
        </w:rPr>
        <w:t>参与电梯安全管理活动。</w:t>
      </w:r>
      <w:r>
        <w:rPr>
          <w:rFonts w:hint="eastAsia" w:ascii="宋体" w:hAnsi="宋体" w:eastAsia="宋体" w:cs="宋体"/>
          <w:color w:val="auto"/>
          <w:kern w:val="0"/>
          <w:szCs w:val="21"/>
        </w:rPr>
        <w:t>负责完成年检中发现的属于电梯本体安全隐患的整改工作。</w:t>
      </w:r>
    </w:p>
    <w:p w14:paraId="7BD355E3">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（11）乙方应在每年1月31日前向所在地市级特种设备监察机构报备本单位所承担维保电梯清单，如维保情况有变动，在变动后5个工作日内申报变动情况。</w:t>
      </w:r>
    </w:p>
    <w:p w14:paraId="2C1F53AD">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（12）乙方应在维保后3日内将规定格式的电梯维保记录，张贴在电梯轿厢、电梯过道、小区公告栏或在轿厢内电子显示屏内滚动公示，接受用户监督。此外，需将维保记录公示情况拍照留存备查。</w:t>
      </w:r>
    </w:p>
    <w:p w14:paraId="1BBCA2E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（13）乙方应当妥善保管电梯图纸及相关资料，并在合同终止后交还甲方。应当协助甲方建立健全安全管理制度、安全技术档案、应急救援预案，配合甲方开展应急救援演练。</w:t>
      </w:r>
    </w:p>
    <w:p w14:paraId="1A792136">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kern w:val="0"/>
          <w:szCs w:val="21"/>
        </w:rPr>
        <w:t>（14</w:t>
      </w:r>
      <w:r>
        <w:rPr>
          <w:rFonts w:hint="eastAsia" w:ascii="宋体" w:hAnsi="宋体" w:eastAsia="宋体" w:cs="宋体"/>
          <w:color w:val="auto"/>
          <w:szCs w:val="21"/>
        </w:rPr>
        <w:t>）乙方不得以任何形式将维保工作非法分包、转包。否则，甲方有权终止合同，并由乙方赔偿甲方合同总金额10%的违约金。</w:t>
      </w:r>
    </w:p>
    <w:p w14:paraId="7B98CDB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(15)乙方在作业中应当负责落实现场安全防护措施，保证作业安全，并做好相关警示标志，防止乘客进入正在维保的电梯，若因此导致的不良后果由乙方法定承担。</w:t>
      </w:r>
    </w:p>
    <w:p w14:paraId="13385CE1">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（16）乙方提供假冒、劣质或以次充好的产品，一经证实，乙方必须承担由于产品质量、安装不当等引发的事故（财产损失、人身伤亡）责任和全部费用。</w:t>
      </w:r>
    </w:p>
    <w:p w14:paraId="27552CFB">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（17）乙方应为维修保养和施工人员购买保险（如：高空作业险和人身事故险等）；维修保养和施工人员在工作过程中造成的人身事故，由乙方承担全部负责。</w:t>
      </w:r>
    </w:p>
    <w:p w14:paraId="465C046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乙方应完成半月、月、季度、半年、年保养项目，并做好记录。乙方应在电梯定期检验前进行安全性能自行检查，出具自行检查报告。负责完成每年办理政府部门的电梯年度安全检查“年检”手续，并协助政府部门进行年度安全检查，并完成定期检验（年检）中发生的属本合同范围内的整改工作，直至取得电梯使用合格证。政府部门每年定期检验的年检费用由甲方负责承担。</w:t>
      </w:r>
    </w:p>
    <w:p w14:paraId="47645168">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19）乙方应对合同范围内的设备每季度调整一次并每年进行一次“年度安全检查”及“负荷调整试验”，确保设备得到必要的检查、测试、调整和校验。“年度安全检查”可结合政府部门的“年检”同时进行。每次例行维护保养和维修后，维保单位须填写《电梯保养报告书》交校方签字确认。乙方应确保每台电梯均应当建立独立的维护保养记录。维护保养记录应当一式两份，乙方、甲方双方各保存一份，维修、重大维修、改造协议与抢修记录均应当与维护保养记录一并保存。</w:t>
      </w:r>
    </w:p>
    <w:p w14:paraId="540AF5B7">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（20）乙方需定期清理井底，如电梯井底受水淹时，乙方应及时清除，必要时甲方给予配合。</w:t>
      </w:r>
    </w:p>
    <w:p w14:paraId="63F5F867">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（21）保养期内，乙方保证甲方电梯的正常运行。因乙方违反操作规程而造成电梯损坏，其维修费由乙方全额承担。因乙方保养不善而引起的事故责任和造成甲方的直接经济损失，由乙方负责承担，与甲方无关。</w:t>
      </w:r>
    </w:p>
    <w:p w14:paraId="30B7DCE3">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（22）保养期内，电梯出现紧急状况或甲方提出特殊紧急的维护、保养、检查要求时，乙方必须立即作出响应并采取相应措施，确保电梯的正常运行。</w:t>
      </w:r>
    </w:p>
    <w:p w14:paraId="411C00BD">
      <w:pPr>
        <w:pStyle w:val="2"/>
        <w:spacing w:line="360" w:lineRule="auto"/>
        <w:rPr>
          <w:rFonts w:hint="eastAsia" w:ascii="宋体" w:hAnsi="宋体" w:eastAsia="宋体" w:cs="宋体"/>
          <w:color w:val="auto"/>
          <w:sz w:val="21"/>
          <w:szCs w:val="21"/>
        </w:rPr>
      </w:pPr>
      <w:r>
        <w:rPr>
          <w:rFonts w:hint="eastAsia"/>
          <w:color w:val="auto"/>
        </w:rPr>
        <w:t xml:space="preserve">    </w:t>
      </w:r>
      <w:r>
        <w:rPr>
          <w:rFonts w:hint="eastAsia" w:ascii="宋体" w:hAnsi="宋体" w:eastAsia="宋体" w:cs="宋体"/>
          <w:color w:val="auto"/>
          <w:kern w:val="2"/>
          <w:sz w:val="21"/>
          <w:szCs w:val="21"/>
        </w:rPr>
        <w:t>（23）乙方应张贴电梯日常维护保养标志，标明应急救援电话。建立电梯的日常维护保养记录和安全技术档案。在电梯维修、保养工作期间，乙方必须放置醒目的标牌提示、现场安全警示标志或张贴告示通知、标语。</w:t>
      </w:r>
    </w:p>
    <w:p w14:paraId="298561A6">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w:t>
      </w:r>
      <w:r>
        <w:rPr>
          <w:rFonts w:hint="eastAsia" w:ascii="宋体" w:hAnsi="宋体" w:eastAsia="宋体" w:cs="宋体"/>
          <w:b/>
          <w:color w:val="auto"/>
          <w:szCs w:val="21"/>
          <w:lang w:val="en-US" w:eastAsia="zh-CN"/>
        </w:rPr>
        <w:t>九</w:t>
      </w:r>
      <w:r>
        <w:rPr>
          <w:rFonts w:hint="eastAsia" w:ascii="宋体" w:hAnsi="宋体" w:eastAsia="宋体" w:cs="宋体"/>
          <w:b/>
          <w:color w:val="auto"/>
          <w:szCs w:val="21"/>
        </w:rPr>
        <w:t xml:space="preserve">条  </w:t>
      </w:r>
      <w:r>
        <w:rPr>
          <w:rFonts w:hint="eastAsia" w:ascii="宋体" w:hAnsi="宋体" w:eastAsia="宋体" w:cs="宋体"/>
          <w:color w:val="auto"/>
          <w:szCs w:val="21"/>
        </w:rPr>
        <w:t>其他约定</w:t>
      </w:r>
    </w:p>
    <w:p w14:paraId="10D8827D">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1、乙方已于</w:t>
      </w:r>
      <w:r>
        <w:rPr>
          <w:rFonts w:hint="eastAsia" w:ascii="宋体" w:hAnsi="宋体" w:eastAsia="宋体" w:cs="宋体"/>
          <w:color w:val="auto"/>
          <w:kern w:val="0"/>
          <w:szCs w:val="21"/>
          <w:u w:val="single"/>
        </w:rPr>
        <w:t xml:space="preserve">  /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日对本合同约定的电梯进行了详细的检查，检查结果应经甲方签字确认，并作为电梯现状记录由甲、乙双方保存。</w:t>
      </w:r>
    </w:p>
    <w:p w14:paraId="08C4331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2、</w:t>
      </w:r>
      <w:r>
        <w:rPr>
          <w:rFonts w:hint="eastAsia" w:ascii="宋体" w:hAnsi="宋体" w:eastAsia="宋体" w:cs="宋体"/>
          <w:color w:val="auto"/>
          <w:szCs w:val="21"/>
        </w:rPr>
        <w:t>甲方要求乙方提供本合同约定内容以外服务的，如强化保养、增加保养频次、安全保障需求、</w:t>
      </w:r>
      <w:r>
        <w:rPr>
          <w:rFonts w:hint="eastAsia" w:ascii="宋体" w:hAnsi="宋体" w:eastAsia="宋体" w:cs="宋体"/>
          <w:color w:val="auto"/>
          <w:kern w:val="0"/>
          <w:szCs w:val="21"/>
        </w:rPr>
        <w:t>驻场作业服务、</w:t>
      </w:r>
      <w:r>
        <w:rPr>
          <w:rFonts w:hint="eastAsia" w:ascii="宋体" w:hAnsi="宋体" w:eastAsia="宋体" w:cs="宋体"/>
          <w:color w:val="auto"/>
          <w:szCs w:val="21"/>
        </w:rPr>
        <w:t>增加检测内容和频次</w:t>
      </w:r>
      <w:r>
        <w:rPr>
          <w:rFonts w:hint="eastAsia" w:ascii="宋体" w:hAnsi="宋体" w:eastAsia="宋体" w:cs="宋体"/>
          <w:color w:val="auto"/>
          <w:kern w:val="0"/>
          <w:szCs w:val="21"/>
        </w:rPr>
        <w:t>等，</w:t>
      </w:r>
      <w:r>
        <w:rPr>
          <w:rFonts w:hint="eastAsia" w:ascii="宋体" w:hAnsi="宋体" w:eastAsia="宋体" w:cs="宋体"/>
          <w:color w:val="auto"/>
          <w:szCs w:val="21"/>
        </w:rPr>
        <w:t>双方均应以书面形式另行约定。</w:t>
      </w:r>
    </w:p>
    <w:p w14:paraId="0F5C2308">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szCs w:val="21"/>
        </w:rPr>
        <w:t>维保记录是记载电梯运行、维护、保养的依据。每台电梯均应当建立独立的</w:t>
      </w:r>
      <w:r>
        <w:rPr>
          <w:rFonts w:hint="eastAsia" w:ascii="宋体" w:hAnsi="宋体" w:eastAsia="宋体" w:cs="宋体"/>
          <w:color w:val="auto"/>
          <w:kern w:val="0"/>
          <w:szCs w:val="21"/>
        </w:rPr>
        <w:t>维保记录。维保记录应当一式两份，甲乙双方各保存一份，保存时间为4 年。维修与抢修记录均应当长期保存。</w:t>
      </w:r>
    </w:p>
    <w:p w14:paraId="33A4416E">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4、乙方将确保在维保期内,所有电梯在正常使用情况下月故障次数累计不超过10次（不包括人为因素损坏），如故障次数超过标准一次, 甲方将扣除乙方单台电梯当月维保费的百分之十作为处罚;如故障次数超过标准二次, 甲方将扣除乙方当月单台电梯的维保费用的百分之二十;如故障次数超过标准三次, 甲方将扣除乙方单台电梯当月维保费的百分之三十。如故障次数超过标准四次, 甲方将扣除乙方单台电梯一个月的维保费,如故障次数超过标准五次, 甲方将扣除乙方单台电梯两个月的维保费用。如故障次数超过标准六次,甲方有权终止合同。</w:t>
      </w:r>
    </w:p>
    <w:p w14:paraId="784803C7">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5、电梯出现故障更换配件恢复时间如小配件（一般配件如接触器、开关等）恢复时间为24小时内，大配件（如主机、较顶返绳轮、钢丝绳、齿轮箱等）在12天内完成更换并恢复电梯正常运行。变频器故障恢复时间因视实际维修情况而定。</w:t>
      </w:r>
    </w:p>
    <w:p w14:paraId="175162EE">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6、保养期内，甲方有重大活动或特殊情况，乙方应按甲方要求派遣2个专业人员到达现场，免费提供全程监护服务，确保电梯正常运行。</w:t>
      </w:r>
    </w:p>
    <w:p w14:paraId="0F606269">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7、根据特种设备安全法规，乙方应提供现场维保人员相应的《特种设备作业人员证》复印件并加盖公司公章给甲方存档，乙方负责投保乙方现场作业人员的人身安全意外保险，乙方现场作业人员必须按规定操作，现场作业人员的一切安全责任由乙方负责。</w:t>
      </w:r>
    </w:p>
    <w:p w14:paraId="3476A1CD">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w:t>
      </w:r>
      <w:r>
        <w:rPr>
          <w:rFonts w:hint="eastAsia" w:ascii="宋体" w:hAnsi="宋体" w:eastAsia="宋体" w:cs="宋体"/>
          <w:b/>
          <w:color w:val="auto"/>
          <w:szCs w:val="21"/>
          <w:lang w:val="en-US" w:eastAsia="zh-CN"/>
        </w:rPr>
        <w:t>十</w:t>
      </w:r>
      <w:r>
        <w:rPr>
          <w:rFonts w:hint="eastAsia" w:ascii="宋体" w:hAnsi="宋体" w:eastAsia="宋体" w:cs="宋体"/>
          <w:b/>
          <w:color w:val="auto"/>
          <w:szCs w:val="21"/>
        </w:rPr>
        <w:t xml:space="preserve">条  </w:t>
      </w:r>
      <w:r>
        <w:rPr>
          <w:rFonts w:hint="eastAsia" w:ascii="宋体" w:hAnsi="宋体" w:eastAsia="宋体" w:cs="宋体"/>
          <w:color w:val="auto"/>
          <w:szCs w:val="21"/>
        </w:rPr>
        <w:t>违约责任</w:t>
      </w:r>
    </w:p>
    <w:p w14:paraId="4D49FE4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1、一方当事人未按约定履行义务给对方造成直接损失的，应当承担相应责任。</w:t>
      </w:r>
    </w:p>
    <w:p w14:paraId="5F4A2A0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2、一方当事人无法继续履行合同，应当及时通知对方，并承担因合同解除而给对方造成的直接经济损失。</w:t>
      </w:r>
    </w:p>
    <w:p w14:paraId="4541BBD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3、甲方无正当理由未按照约定期限支付费用的，经双方确认为无正当理由每延误一日应当向乙方支付延误部分费用</w:t>
      </w:r>
      <w:r>
        <w:rPr>
          <w:rFonts w:hint="eastAsia" w:ascii="宋体" w:hAnsi="宋体" w:eastAsia="宋体" w:cs="宋体"/>
          <w:color w:val="auto"/>
          <w:szCs w:val="21"/>
          <w:u w:val="single"/>
        </w:rPr>
        <w:t>千分之</w:t>
      </w:r>
      <w:r>
        <w:rPr>
          <w:rFonts w:hint="eastAsia" w:ascii="宋体" w:hAnsi="宋体" w:eastAsia="宋体" w:cs="宋体"/>
          <w:color w:val="auto"/>
          <w:szCs w:val="21"/>
          <w:u w:val="single"/>
          <w:lang w:eastAsia="zh-CN"/>
        </w:rPr>
        <w:t>一</w:t>
      </w:r>
      <w:r>
        <w:rPr>
          <w:rFonts w:hint="eastAsia" w:ascii="宋体" w:hAnsi="宋体" w:eastAsia="宋体" w:cs="宋体"/>
          <w:color w:val="auto"/>
          <w:szCs w:val="21"/>
        </w:rPr>
        <w:t>的违约金。超过双方约定期限</w:t>
      </w:r>
      <w:r>
        <w:rPr>
          <w:rFonts w:hint="eastAsia" w:ascii="宋体" w:hAnsi="宋体" w:eastAsia="宋体" w:cs="宋体"/>
          <w:color w:val="auto"/>
          <w:szCs w:val="21"/>
          <w:u w:val="single"/>
        </w:rPr>
        <w:t xml:space="preserve"> 90</w:t>
      </w:r>
      <w:r>
        <w:rPr>
          <w:rFonts w:hint="eastAsia" w:ascii="宋体" w:hAnsi="宋体" w:eastAsia="宋体" w:cs="宋体"/>
          <w:color w:val="auto"/>
          <w:szCs w:val="21"/>
        </w:rPr>
        <w:t>日时，本合同自动终止，赔偿事项依照合同法规定执行。</w:t>
      </w:r>
    </w:p>
    <w:p w14:paraId="0AABD5F4">
      <w:pPr>
        <w:spacing w:line="360" w:lineRule="auto"/>
        <w:ind w:right="34" w:rightChars="16"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4、甲方违反约定</w:t>
      </w:r>
      <w:r>
        <w:rPr>
          <w:rFonts w:hint="eastAsia" w:ascii="宋体" w:hAnsi="宋体" w:eastAsia="宋体" w:cs="宋体"/>
          <w:color w:val="auto"/>
          <w:kern w:val="0"/>
          <w:szCs w:val="21"/>
        </w:rPr>
        <w:t>允许非乙方人员从事电梯维保工作的，应当按照</w:t>
      </w:r>
      <w:r>
        <w:rPr>
          <w:rFonts w:hint="eastAsia" w:ascii="宋体" w:hAnsi="宋体" w:eastAsia="宋体" w:cs="宋体"/>
          <w:color w:val="auto"/>
          <w:kern w:val="0"/>
          <w:szCs w:val="21"/>
          <w:u w:val="single"/>
        </w:rPr>
        <w:t>合同金额的20%</w:t>
      </w:r>
      <w:r>
        <w:rPr>
          <w:rFonts w:hint="eastAsia" w:ascii="宋体" w:hAnsi="宋体" w:eastAsia="宋体" w:cs="宋体"/>
          <w:color w:val="auto"/>
          <w:szCs w:val="21"/>
        </w:rPr>
        <w:t>标准支付违约金。</w:t>
      </w:r>
    </w:p>
    <w:p w14:paraId="70BB1D8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5、因电梯使用管理原因（非电梯维保原因）导致人身伤亡或设备损坏、零部件丢失的，由甲方自行承担全部责任。</w:t>
      </w:r>
    </w:p>
    <w:p w14:paraId="5695E8F3">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6、若未按乙方的书面要求同意更换应该更换的电梯零部件而导致电梯故障或存在安全隐患的，</w:t>
      </w:r>
      <w:r>
        <w:rPr>
          <w:rFonts w:hint="eastAsia" w:ascii="宋体" w:hAnsi="宋体" w:eastAsia="宋体" w:cs="宋体"/>
          <w:color w:val="auto"/>
          <w:szCs w:val="21"/>
        </w:rPr>
        <w:t>由甲方</w:t>
      </w:r>
      <w:r>
        <w:rPr>
          <w:rFonts w:hint="eastAsia" w:ascii="宋体" w:hAnsi="宋体" w:eastAsia="宋体" w:cs="宋体"/>
          <w:color w:val="auto"/>
          <w:kern w:val="0"/>
          <w:szCs w:val="21"/>
        </w:rPr>
        <w:t>自行承担责任。</w:t>
      </w:r>
    </w:p>
    <w:p w14:paraId="09CB4F9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7、乙方违反约定，</w:t>
      </w:r>
      <w:r>
        <w:rPr>
          <w:rFonts w:hint="eastAsia" w:ascii="宋体" w:hAnsi="宋体" w:eastAsia="宋体" w:cs="宋体"/>
          <w:color w:val="auto"/>
          <w:kern w:val="0"/>
          <w:szCs w:val="21"/>
        </w:rPr>
        <w:t>作业过程中未服从甲方现场安全管理落实现场安全防护措施，或需要安全监护的作业时作业人员只有一人，或保养时间不足，甲方可拒付当次作业或保养的当台当月保养费。</w:t>
      </w:r>
    </w:p>
    <w:p w14:paraId="30930D28">
      <w:pPr>
        <w:spacing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8、乙方维保工作不符合合同约定的维保标准或要求的，乙方应当返工，并按照</w:t>
      </w:r>
      <w:r>
        <w:rPr>
          <w:rFonts w:hint="eastAsia" w:ascii="宋体" w:hAnsi="宋体" w:eastAsia="宋体" w:cs="宋体"/>
          <w:color w:val="auto"/>
          <w:szCs w:val="21"/>
          <w:u w:val="single"/>
        </w:rPr>
        <w:t>当台当月保养费20%</w:t>
      </w:r>
      <w:r>
        <w:rPr>
          <w:rFonts w:hint="eastAsia" w:ascii="宋体" w:hAnsi="宋体" w:eastAsia="宋体" w:cs="宋体"/>
          <w:color w:val="auto"/>
          <w:szCs w:val="21"/>
        </w:rPr>
        <w:t>标准支付违约金。</w:t>
      </w:r>
    </w:p>
    <w:p w14:paraId="40A485E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9、在电梯维保作业过程中因维保原因导致人身伤亡或设备损坏、零部件丢失的，由乙方承担全部民事责任。</w:t>
      </w:r>
    </w:p>
    <w:p w14:paraId="0805D81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10、因维保原因导致电梯检验不合格的，由乙方承担电梯复检费用。</w:t>
      </w:r>
    </w:p>
    <w:p w14:paraId="595A032C">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11、所有罚款和违约金最高不超过合同总额的20%。</w:t>
      </w:r>
    </w:p>
    <w:p w14:paraId="23A28E2B">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12、因电梯设备属于特种设备，客户同意将保养时（包括另行维修、改造中）更换下的涉及</w:t>
      </w:r>
      <w:r>
        <w:rPr>
          <w:rFonts w:hint="eastAsia" w:ascii="宋体" w:hAnsi="宋体" w:eastAsia="宋体" w:cs="宋体"/>
          <w:color w:val="auto"/>
          <w:szCs w:val="21"/>
          <w:u w:val="single"/>
          <w:lang w:val="en-US" w:eastAsia="zh-CN"/>
        </w:rPr>
        <w:t xml:space="preserve">      （乙方品牌）</w:t>
      </w:r>
      <w:r>
        <w:rPr>
          <w:rFonts w:hint="eastAsia" w:ascii="宋体" w:hAnsi="宋体" w:eastAsia="宋体" w:cs="宋体"/>
          <w:color w:val="auto"/>
          <w:szCs w:val="21"/>
        </w:rPr>
        <w:t>技术专利或专有技术部件，在甲方见证下现场销毁，避免流入市场。</w:t>
      </w:r>
    </w:p>
    <w:p w14:paraId="27FF466D">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w:t>
      </w:r>
      <w:r>
        <w:rPr>
          <w:rFonts w:hint="eastAsia" w:ascii="宋体" w:hAnsi="宋体" w:eastAsia="宋体" w:cs="宋体"/>
          <w:b/>
          <w:color w:val="auto"/>
          <w:szCs w:val="21"/>
          <w:lang w:val="en-US" w:eastAsia="zh-CN"/>
        </w:rPr>
        <w:t>十一</w:t>
      </w:r>
      <w:r>
        <w:rPr>
          <w:rFonts w:hint="eastAsia" w:ascii="宋体" w:hAnsi="宋体" w:eastAsia="宋体" w:cs="宋体"/>
          <w:b/>
          <w:color w:val="auto"/>
          <w:szCs w:val="21"/>
        </w:rPr>
        <w:t xml:space="preserve">条  </w:t>
      </w:r>
      <w:r>
        <w:rPr>
          <w:rFonts w:hint="eastAsia" w:ascii="宋体" w:hAnsi="宋体" w:eastAsia="宋体" w:cs="宋体"/>
          <w:color w:val="auto"/>
          <w:szCs w:val="21"/>
        </w:rPr>
        <w:t>合同的解除</w:t>
      </w:r>
    </w:p>
    <w:p w14:paraId="758AC4D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1、甲乙双方协商一致，可以解除合同。</w:t>
      </w:r>
    </w:p>
    <w:p w14:paraId="577E677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2、任何一方违约导致合同无法继续履行的，另一方可以解除合同。此外，任何一方不得单方解除合同。</w:t>
      </w:r>
    </w:p>
    <w:p w14:paraId="545F8F34">
      <w:pPr>
        <w:pStyle w:val="2"/>
        <w:rPr>
          <w:rFonts w:hint="default" w:eastAsia="MYuen PRC SemiBold"/>
          <w:color w:val="auto"/>
          <w:lang w:val="en-US" w:eastAsia="zh-CN"/>
        </w:rPr>
      </w:pPr>
      <w:r>
        <w:rPr>
          <w:rFonts w:hint="eastAsia" w:ascii="宋体" w:hAnsi="宋体" w:cs="宋体"/>
          <w:color w:val="auto"/>
          <w:szCs w:val="21"/>
          <w:lang w:val="en-US" w:eastAsia="zh-CN"/>
        </w:rPr>
        <w:t xml:space="preserve">   </w:t>
      </w:r>
      <w:r>
        <w:rPr>
          <w:rFonts w:hint="eastAsia" w:ascii="宋体" w:hAnsi="宋体" w:eastAsia="宋体" w:cs="宋体"/>
          <w:color w:val="auto"/>
          <w:kern w:val="2"/>
          <w:sz w:val="21"/>
          <w:szCs w:val="21"/>
          <w:lang w:val="en-US" w:eastAsia="zh-CN" w:bidi="ar-SA"/>
        </w:rPr>
        <w:t>3、如甲方更换新梯，维保合同剔除相应电梯，费用据实结算。甲方提前一个月发函告知乙方具体停保日期，告知函作为合同补充附页。</w:t>
      </w:r>
    </w:p>
    <w:p w14:paraId="7669FDA2">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第十</w:t>
      </w:r>
      <w:r>
        <w:rPr>
          <w:rFonts w:hint="eastAsia" w:ascii="宋体" w:hAnsi="宋体" w:eastAsia="宋体" w:cs="宋体"/>
          <w:b/>
          <w:color w:val="auto"/>
          <w:szCs w:val="21"/>
          <w:lang w:val="en-US" w:eastAsia="zh-CN"/>
        </w:rPr>
        <w:t>二</w:t>
      </w:r>
      <w:r>
        <w:rPr>
          <w:rFonts w:hint="eastAsia" w:ascii="宋体" w:hAnsi="宋体" w:eastAsia="宋体" w:cs="宋体"/>
          <w:b/>
          <w:color w:val="auto"/>
          <w:szCs w:val="21"/>
        </w:rPr>
        <w:t xml:space="preserve">条  </w:t>
      </w:r>
      <w:r>
        <w:rPr>
          <w:rFonts w:hint="eastAsia" w:ascii="宋体" w:hAnsi="宋体" w:eastAsia="宋体" w:cs="宋体"/>
          <w:color w:val="auto"/>
          <w:szCs w:val="21"/>
        </w:rPr>
        <w:t>争议解决方式</w:t>
      </w:r>
    </w:p>
    <w:p w14:paraId="7552CD7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本合同在履行过程中发生的争议，由双方当事人协商解决或向有关部门申请调解，协商、调解不成的,依法向维保电梯所在地人民法院起诉。</w:t>
      </w:r>
    </w:p>
    <w:p w14:paraId="6032AF27">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第十</w:t>
      </w:r>
      <w:r>
        <w:rPr>
          <w:rFonts w:hint="eastAsia" w:ascii="宋体" w:hAnsi="宋体" w:eastAsia="宋体" w:cs="宋体"/>
          <w:b/>
          <w:color w:val="auto"/>
          <w:szCs w:val="21"/>
          <w:lang w:val="en-US" w:eastAsia="zh-CN"/>
        </w:rPr>
        <w:t>三</w:t>
      </w:r>
      <w:r>
        <w:rPr>
          <w:rFonts w:hint="eastAsia" w:ascii="宋体" w:hAnsi="宋体" w:eastAsia="宋体" w:cs="宋体"/>
          <w:b/>
          <w:color w:val="auto"/>
          <w:szCs w:val="21"/>
        </w:rPr>
        <w:t xml:space="preserve">条 </w:t>
      </w:r>
      <w:r>
        <w:rPr>
          <w:rFonts w:hint="eastAsia" w:ascii="宋体" w:hAnsi="宋体" w:eastAsia="宋体" w:cs="宋体"/>
          <w:color w:val="auto"/>
          <w:szCs w:val="21"/>
        </w:rPr>
        <w:t xml:space="preserve"> 附则</w:t>
      </w:r>
    </w:p>
    <w:p w14:paraId="1817D026">
      <w:pPr>
        <w:spacing w:line="360" w:lineRule="auto"/>
        <w:ind w:left="1" w:firstLine="417" w:firstLineChars="199"/>
        <w:rPr>
          <w:rFonts w:hint="eastAsia" w:ascii="宋体" w:hAnsi="宋体" w:eastAsia="宋体" w:cs="宋体"/>
          <w:color w:val="auto"/>
          <w:szCs w:val="21"/>
          <w:u w:val="single"/>
        </w:rPr>
      </w:pPr>
      <w:r>
        <w:rPr>
          <w:rFonts w:hint="eastAsia" w:ascii="宋体" w:hAnsi="宋体" w:eastAsia="宋体" w:cs="宋体"/>
          <w:color w:val="auto"/>
          <w:szCs w:val="21"/>
        </w:rPr>
        <w:t>本合同生效后，双方对合同内容的变更或补充应采取书面形式，并经双方签字盖章确认，作为本合同的附件。附件与本合同具有同等的法律效力。</w:t>
      </w:r>
    </w:p>
    <w:p w14:paraId="53206CE2">
      <w:pPr>
        <w:spacing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本合同一式</w:t>
      </w:r>
      <w:r>
        <w:rPr>
          <w:rFonts w:hint="eastAsia" w:ascii="宋体" w:hAnsi="宋体" w:eastAsia="宋体" w:cs="宋体"/>
          <w:color w:val="auto"/>
          <w:szCs w:val="21"/>
          <w:u w:val="single"/>
        </w:rPr>
        <w:t xml:space="preserve">  陆 </w:t>
      </w:r>
      <w:r>
        <w:rPr>
          <w:rFonts w:hint="eastAsia" w:ascii="宋体" w:hAnsi="宋体" w:eastAsia="宋体" w:cs="宋体"/>
          <w:color w:val="auto"/>
          <w:szCs w:val="21"/>
        </w:rPr>
        <w:t>份，甲方执</w:t>
      </w:r>
      <w:r>
        <w:rPr>
          <w:rFonts w:hint="eastAsia" w:ascii="宋体" w:hAnsi="宋体" w:eastAsia="宋体" w:cs="宋体"/>
          <w:color w:val="auto"/>
          <w:szCs w:val="21"/>
          <w:u w:val="single"/>
        </w:rPr>
        <w:t xml:space="preserve"> 肆 </w:t>
      </w:r>
      <w:r>
        <w:rPr>
          <w:rFonts w:hint="eastAsia" w:ascii="宋体" w:hAnsi="宋体" w:eastAsia="宋体" w:cs="宋体"/>
          <w:color w:val="auto"/>
          <w:szCs w:val="21"/>
        </w:rPr>
        <w:t>份，乙方执</w:t>
      </w:r>
      <w:r>
        <w:rPr>
          <w:rFonts w:hint="eastAsia" w:ascii="宋体" w:hAnsi="宋体" w:eastAsia="宋体" w:cs="宋体"/>
          <w:color w:val="auto"/>
          <w:szCs w:val="21"/>
          <w:u w:val="single"/>
        </w:rPr>
        <w:t xml:space="preserve"> 贰 </w:t>
      </w:r>
      <w:r>
        <w:rPr>
          <w:rFonts w:hint="eastAsia" w:ascii="宋体" w:hAnsi="宋体" w:eastAsia="宋体" w:cs="宋体"/>
          <w:color w:val="auto"/>
          <w:szCs w:val="21"/>
        </w:rPr>
        <w:t>份。</w:t>
      </w:r>
    </w:p>
    <w:p w14:paraId="4D93BB94">
      <w:pPr>
        <w:spacing w:line="360" w:lineRule="auto"/>
        <w:rPr>
          <w:rFonts w:hint="eastAsia" w:ascii="宋体" w:hAnsi="宋体" w:eastAsia="宋体" w:cs="宋体"/>
          <w:b/>
          <w:color w:val="auto"/>
          <w:szCs w:val="21"/>
        </w:rPr>
      </w:pP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2838"/>
        <w:gridCol w:w="1311"/>
        <w:gridCol w:w="3078"/>
      </w:tblGrid>
      <w:tr w14:paraId="55A9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jc w:val="center"/>
        </w:trPr>
        <w:tc>
          <w:tcPr>
            <w:tcW w:w="758" w:type="pct"/>
            <w:noWrap w:val="0"/>
            <w:vAlign w:val="center"/>
          </w:tcPr>
          <w:p w14:paraId="643C88D7">
            <w:pPr>
              <w:pStyle w:val="2"/>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甲方</w:t>
            </w:r>
          </w:p>
        </w:tc>
        <w:tc>
          <w:tcPr>
            <w:tcW w:w="1665" w:type="pct"/>
            <w:noWrap w:val="0"/>
            <w:vAlign w:val="center"/>
          </w:tcPr>
          <w:p w14:paraId="61A9B52B">
            <w:pPr>
              <w:pStyle w:val="2"/>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泉州师范学院</w:t>
            </w:r>
          </w:p>
        </w:tc>
        <w:tc>
          <w:tcPr>
            <w:tcW w:w="769" w:type="pct"/>
            <w:noWrap w:val="0"/>
            <w:vAlign w:val="center"/>
          </w:tcPr>
          <w:p w14:paraId="4387662F">
            <w:pPr>
              <w:pStyle w:val="2"/>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乙方</w:t>
            </w:r>
          </w:p>
        </w:tc>
        <w:tc>
          <w:tcPr>
            <w:tcW w:w="1805" w:type="pct"/>
            <w:noWrap w:val="0"/>
            <w:vAlign w:val="center"/>
          </w:tcPr>
          <w:p w14:paraId="7724F029">
            <w:pPr>
              <w:pStyle w:val="2"/>
              <w:spacing w:line="360" w:lineRule="auto"/>
              <w:jc w:val="both"/>
              <w:rPr>
                <w:rFonts w:hint="eastAsia" w:ascii="宋体" w:hAnsi="宋体" w:eastAsia="宋体" w:cs="宋体"/>
                <w:color w:val="auto"/>
                <w:sz w:val="21"/>
                <w:szCs w:val="21"/>
              </w:rPr>
            </w:pPr>
          </w:p>
        </w:tc>
      </w:tr>
      <w:tr w14:paraId="6975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58" w:type="pct"/>
            <w:noWrap w:val="0"/>
            <w:vAlign w:val="center"/>
          </w:tcPr>
          <w:p w14:paraId="6151E071">
            <w:pPr>
              <w:pStyle w:val="2"/>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经营地址</w:t>
            </w:r>
          </w:p>
        </w:tc>
        <w:tc>
          <w:tcPr>
            <w:tcW w:w="1665" w:type="pct"/>
            <w:noWrap w:val="0"/>
            <w:vAlign w:val="center"/>
          </w:tcPr>
          <w:p w14:paraId="4DC82716">
            <w:pPr>
              <w:pStyle w:val="2"/>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泉州市丰泽区东海大街398号</w:t>
            </w:r>
          </w:p>
        </w:tc>
        <w:tc>
          <w:tcPr>
            <w:tcW w:w="769" w:type="pct"/>
            <w:noWrap w:val="0"/>
            <w:vAlign w:val="center"/>
          </w:tcPr>
          <w:p w14:paraId="318C2F28">
            <w:pPr>
              <w:pStyle w:val="2"/>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经营地址</w:t>
            </w:r>
          </w:p>
        </w:tc>
        <w:tc>
          <w:tcPr>
            <w:tcW w:w="1805" w:type="pct"/>
            <w:noWrap w:val="0"/>
            <w:vAlign w:val="center"/>
          </w:tcPr>
          <w:p w14:paraId="4D7EE631">
            <w:pPr>
              <w:pStyle w:val="2"/>
              <w:spacing w:line="360" w:lineRule="auto"/>
              <w:jc w:val="both"/>
              <w:rPr>
                <w:rFonts w:hint="eastAsia" w:ascii="宋体" w:hAnsi="宋体" w:eastAsia="宋体" w:cs="宋体"/>
                <w:color w:val="auto"/>
                <w:sz w:val="21"/>
                <w:szCs w:val="21"/>
              </w:rPr>
            </w:pPr>
          </w:p>
        </w:tc>
      </w:tr>
      <w:tr w14:paraId="37EE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8" w:type="pct"/>
            <w:noWrap w:val="0"/>
            <w:vAlign w:val="center"/>
          </w:tcPr>
          <w:p w14:paraId="7FB69ABC">
            <w:pPr>
              <w:pStyle w:val="2"/>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1665" w:type="pct"/>
            <w:noWrap w:val="0"/>
            <w:vAlign w:val="center"/>
          </w:tcPr>
          <w:p w14:paraId="66FA65C6">
            <w:pPr>
              <w:pStyle w:val="2"/>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陈昌萍</w:t>
            </w:r>
          </w:p>
        </w:tc>
        <w:tc>
          <w:tcPr>
            <w:tcW w:w="769" w:type="pct"/>
            <w:noWrap w:val="0"/>
            <w:vAlign w:val="center"/>
          </w:tcPr>
          <w:p w14:paraId="1A444C0A">
            <w:pPr>
              <w:pStyle w:val="2"/>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1805" w:type="pct"/>
            <w:noWrap w:val="0"/>
            <w:vAlign w:val="center"/>
          </w:tcPr>
          <w:p w14:paraId="09F432BE">
            <w:pPr>
              <w:pStyle w:val="2"/>
              <w:spacing w:line="360" w:lineRule="auto"/>
              <w:jc w:val="both"/>
              <w:rPr>
                <w:rFonts w:hint="eastAsia" w:ascii="宋体" w:hAnsi="宋体" w:eastAsia="宋体" w:cs="宋体"/>
                <w:color w:val="auto"/>
                <w:sz w:val="21"/>
                <w:szCs w:val="21"/>
              </w:rPr>
            </w:pPr>
          </w:p>
        </w:tc>
      </w:tr>
      <w:tr w14:paraId="2C98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8" w:type="pct"/>
            <w:noWrap w:val="0"/>
            <w:vAlign w:val="center"/>
          </w:tcPr>
          <w:p w14:paraId="65A5F227">
            <w:pPr>
              <w:pStyle w:val="2"/>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委托代理人</w:t>
            </w:r>
          </w:p>
        </w:tc>
        <w:tc>
          <w:tcPr>
            <w:tcW w:w="1665" w:type="pct"/>
            <w:noWrap w:val="0"/>
            <w:vAlign w:val="center"/>
          </w:tcPr>
          <w:p w14:paraId="4B90892A">
            <w:pPr>
              <w:pStyle w:val="2"/>
              <w:spacing w:line="360" w:lineRule="auto"/>
              <w:rPr>
                <w:rFonts w:hint="eastAsia" w:ascii="宋体" w:hAnsi="宋体" w:eastAsia="宋体" w:cs="宋体"/>
                <w:color w:val="auto"/>
                <w:sz w:val="21"/>
                <w:szCs w:val="21"/>
              </w:rPr>
            </w:pPr>
          </w:p>
        </w:tc>
        <w:tc>
          <w:tcPr>
            <w:tcW w:w="769" w:type="pct"/>
            <w:noWrap w:val="0"/>
            <w:vAlign w:val="center"/>
          </w:tcPr>
          <w:p w14:paraId="4805FA11">
            <w:pPr>
              <w:pStyle w:val="2"/>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委托代理人</w:t>
            </w:r>
          </w:p>
        </w:tc>
        <w:tc>
          <w:tcPr>
            <w:tcW w:w="1805" w:type="pct"/>
            <w:noWrap w:val="0"/>
            <w:vAlign w:val="center"/>
          </w:tcPr>
          <w:p w14:paraId="7BDA0A99">
            <w:pPr>
              <w:pStyle w:val="2"/>
              <w:spacing w:line="360" w:lineRule="auto"/>
              <w:jc w:val="both"/>
              <w:rPr>
                <w:rFonts w:hint="eastAsia" w:ascii="宋体" w:hAnsi="宋体" w:eastAsia="宋体" w:cs="宋体"/>
                <w:color w:val="auto"/>
                <w:sz w:val="21"/>
                <w:szCs w:val="21"/>
              </w:rPr>
            </w:pPr>
          </w:p>
        </w:tc>
      </w:tr>
      <w:tr w14:paraId="1B13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8" w:type="pct"/>
            <w:noWrap w:val="0"/>
            <w:vAlign w:val="center"/>
          </w:tcPr>
          <w:p w14:paraId="6D8786E8">
            <w:pPr>
              <w:pStyle w:val="2"/>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1665" w:type="pct"/>
            <w:noWrap w:val="0"/>
            <w:vAlign w:val="center"/>
          </w:tcPr>
          <w:p w14:paraId="56EA04A1">
            <w:pPr>
              <w:pStyle w:val="2"/>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0595-22919532</w:t>
            </w:r>
          </w:p>
        </w:tc>
        <w:tc>
          <w:tcPr>
            <w:tcW w:w="769" w:type="pct"/>
            <w:noWrap w:val="0"/>
            <w:vAlign w:val="center"/>
          </w:tcPr>
          <w:p w14:paraId="7262456C">
            <w:pPr>
              <w:pStyle w:val="2"/>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1805" w:type="pct"/>
            <w:noWrap w:val="0"/>
            <w:vAlign w:val="center"/>
          </w:tcPr>
          <w:p w14:paraId="32EDC489">
            <w:pPr>
              <w:pStyle w:val="2"/>
              <w:spacing w:line="360" w:lineRule="auto"/>
              <w:jc w:val="both"/>
              <w:rPr>
                <w:rFonts w:hint="eastAsia" w:ascii="宋体" w:hAnsi="宋体" w:eastAsia="宋体" w:cs="宋体"/>
                <w:color w:val="auto"/>
                <w:sz w:val="21"/>
                <w:szCs w:val="21"/>
              </w:rPr>
            </w:pPr>
          </w:p>
        </w:tc>
      </w:tr>
      <w:tr w14:paraId="4299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8" w:type="pct"/>
            <w:noWrap w:val="0"/>
            <w:vAlign w:val="center"/>
          </w:tcPr>
          <w:p w14:paraId="6108AD55">
            <w:pPr>
              <w:pStyle w:val="2"/>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1665" w:type="pct"/>
            <w:noWrap w:val="0"/>
            <w:vAlign w:val="center"/>
          </w:tcPr>
          <w:p w14:paraId="3BE9D437">
            <w:pPr>
              <w:pStyle w:val="2"/>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泉州市建行丰泽支行</w:t>
            </w:r>
          </w:p>
        </w:tc>
        <w:tc>
          <w:tcPr>
            <w:tcW w:w="769" w:type="pct"/>
            <w:noWrap w:val="0"/>
            <w:vAlign w:val="center"/>
          </w:tcPr>
          <w:p w14:paraId="2C31FE0B">
            <w:pPr>
              <w:pStyle w:val="2"/>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1805" w:type="pct"/>
            <w:noWrap w:val="0"/>
            <w:vAlign w:val="center"/>
          </w:tcPr>
          <w:p w14:paraId="48681651">
            <w:pPr>
              <w:pStyle w:val="2"/>
              <w:spacing w:line="360" w:lineRule="auto"/>
              <w:rPr>
                <w:rFonts w:hint="eastAsia" w:ascii="宋体" w:hAnsi="宋体" w:eastAsia="宋体" w:cs="宋体"/>
                <w:color w:val="auto"/>
                <w:sz w:val="21"/>
                <w:szCs w:val="21"/>
              </w:rPr>
            </w:pPr>
          </w:p>
        </w:tc>
      </w:tr>
      <w:tr w14:paraId="6EDD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8" w:type="pct"/>
            <w:noWrap w:val="0"/>
            <w:vAlign w:val="center"/>
          </w:tcPr>
          <w:p w14:paraId="2E91D3E0">
            <w:pPr>
              <w:pStyle w:val="2"/>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账号</w:t>
            </w:r>
          </w:p>
        </w:tc>
        <w:tc>
          <w:tcPr>
            <w:tcW w:w="1665" w:type="pct"/>
            <w:noWrap w:val="0"/>
            <w:vAlign w:val="center"/>
          </w:tcPr>
          <w:p w14:paraId="6FBDA5A6">
            <w:pPr>
              <w:pStyle w:val="2"/>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35001656007059000262</w:t>
            </w:r>
          </w:p>
        </w:tc>
        <w:tc>
          <w:tcPr>
            <w:tcW w:w="769" w:type="pct"/>
            <w:noWrap w:val="0"/>
            <w:vAlign w:val="center"/>
          </w:tcPr>
          <w:p w14:paraId="4DADDFD6">
            <w:pPr>
              <w:pStyle w:val="2"/>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账号</w:t>
            </w:r>
          </w:p>
        </w:tc>
        <w:tc>
          <w:tcPr>
            <w:tcW w:w="1805" w:type="pct"/>
            <w:noWrap w:val="0"/>
            <w:vAlign w:val="center"/>
          </w:tcPr>
          <w:p w14:paraId="1A41478B">
            <w:pPr>
              <w:pStyle w:val="2"/>
              <w:spacing w:line="360" w:lineRule="auto"/>
              <w:jc w:val="both"/>
              <w:rPr>
                <w:rFonts w:hint="eastAsia" w:ascii="宋体" w:hAnsi="宋体" w:eastAsia="宋体" w:cs="宋体"/>
                <w:color w:val="auto"/>
                <w:sz w:val="21"/>
                <w:szCs w:val="21"/>
              </w:rPr>
            </w:pPr>
          </w:p>
        </w:tc>
      </w:tr>
    </w:tbl>
    <w:p w14:paraId="256D70EF">
      <w:pPr>
        <w:spacing w:line="360" w:lineRule="auto"/>
        <w:ind w:right="640"/>
        <w:jc w:val="center"/>
        <w:rPr>
          <w:rFonts w:hint="eastAsia" w:ascii="宋体" w:hAnsi="宋体" w:eastAsia="宋体" w:cs="宋体"/>
          <w:color w:val="auto"/>
          <w:szCs w:val="21"/>
        </w:rPr>
      </w:pPr>
    </w:p>
    <w:p w14:paraId="6343CF94">
      <w:pPr>
        <w:shd w:val="clear" w:color="auto" w:fill="FFFFFF"/>
        <w:spacing w:line="360" w:lineRule="auto"/>
        <w:ind w:right="0"/>
        <w:jc w:val="left"/>
        <w:rPr>
          <w:rFonts w:hint="eastAsia" w:ascii="宋体" w:hAnsi="宋体" w:eastAsia="宋体" w:cs="宋体"/>
          <w:color w:val="auto"/>
          <w:szCs w:val="21"/>
        </w:rPr>
      </w:pPr>
      <w:r>
        <w:rPr>
          <w:rFonts w:hint="eastAsia" w:ascii="宋体" w:hAnsi="Times New Roman" w:eastAsia="宋体" w:cs="宋体"/>
          <w:color w:val="auto"/>
          <w:szCs w:val="21"/>
        </w:rPr>
        <w:t>签订地点：泉州师范学院</w:t>
      </w:r>
      <w:r>
        <w:rPr>
          <w:rFonts w:hint="eastAsia" w:ascii="宋体" w:hAnsi="Times New Roman" w:eastAsia="宋体" w:cs="宋体"/>
          <w:color w:val="auto"/>
          <w:szCs w:val="21"/>
          <w:lang w:val="en-US" w:eastAsia="zh-CN"/>
        </w:rPr>
        <w:t>主校区</w:t>
      </w:r>
      <w:r>
        <w:rPr>
          <w:rFonts w:hint="eastAsia" w:ascii="宋体" w:hAnsi="Times New Roman" w:eastAsia="宋体" w:cs="宋体"/>
          <w:color w:val="auto"/>
          <w:szCs w:val="21"/>
        </w:rPr>
        <w:t xml:space="preserve">                      签订日期：</w:t>
      </w:r>
    </w:p>
    <w:p w14:paraId="0CD21B90">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7E259ECC">
      <w:pPr>
        <w:spacing w:line="360" w:lineRule="auto"/>
        <w:ind w:right="640"/>
        <w:rPr>
          <w:rFonts w:hint="eastAsia" w:ascii="宋体" w:hAnsi="宋体" w:eastAsia="宋体" w:cs="宋体"/>
          <w:color w:val="auto"/>
          <w:sz w:val="28"/>
          <w:szCs w:val="28"/>
        </w:rPr>
      </w:pPr>
      <w:r>
        <w:rPr>
          <w:rFonts w:hint="eastAsia" w:ascii="宋体" w:hAnsi="宋体" w:eastAsia="宋体" w:cs="宋体"/>
          <w:b/>
          <w:bCs/>
          <w:color w:val="auto"/>
          <w:sz w:val="28"/>
          <w:szCs w:val="28"/>
        </w:rPr>
        <w:t>附件</w:t>
      </w: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1</w:t>
      </w:r>
      <w:r>
        <w:rPr>
          <w:rFonts w:hint="eastAsia" w:ascii="宋体" w:hAnsi="宋体" w:eastAsia="宋体" w:cs="宋体"/>
          <w:color w:val="auto"/>
          <w:sz w:val="28"/>
          <w:szCs w:val="28"/>
        </w:rPr>
        <w:t>：</w:t>
      </w:r>
    </w:p>
    <w:p w14:paraId="57B7D4E8">
      <w:pPr>
        <w:spacing w:line="360" w:lineRule="auto"/>
        <w:ind w:right="64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电梯维保清单</w:t>
      </w:r>
    </w:p>
    <w:p w14:paraId="263B9BC7">
      <w:pPr>
        <w:pStyle w:val="2"/>
        <w:rPr>
          <w:rFonts w:hint="eastAsia"/>
          <w:color w:val="auto"/>
        </w:rPr>
      </w:pPr>
    </w:p>
    <w:tbl>
      <w:tblPr>
        <w:tblStyle w:val="11"/>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075"/>
        <w:gridCol w:w="1117"/>
        <w:gridCol w:w="990"/>
        <w:gridCol w:w="742"/>
        <w:gridCol w:w="1490"/>
        <w:gridCol w:w="992"/>
        <w:gridCol w:w="1492"/>
      </w:tblGrid>
      <w:tr w14:paraId="2D84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0" w:hRule="atLeast"/>
          <w:jc w:val="center"/>
        </w:trPr>
        <w:tc>
          <w:tcPr>
            <w:tcW w:w="957" w:type="dxa"/>
            <w:noWrap/>
            <w:vAlign w:val="center"/>
          </w:tcPr>
          <w:p w14:paraId="471EA8DB">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电梯品牌</w:t>
            </w:r>
          </w:p>
        </w:tc>
        <w:tc>
          <w:tcPr>
            <w:tcW w:w="1075" w:type="dxa"/>
            <w:noWrap/>
            <w:vAlign w:val="center"/>
          </w:tcPr>
          <w:p w14:paraId="171E505A">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电梯编号</w:t>
            </w:r>
          </w:p>
        </w:tc>
        <w:tc>
          <w:tcPr>
            <w:tcW w:w="1117" w:type="dxa"/>
            <w:noWrap/>
            <w:vAlign w:val="center"/>
          </w:tcPr>
          <w:p w14:paraId="22F63A50">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电梯型号</w:t>
            </w:r>
          </w:p>
        </w:tc>
        <w:tc>
          <w:tcPr>
            <w:tcW w:w="990" w:type="dxa"/>
            <w:noWrap/>
            <w:vAlign w:val="center"/>
          </w:tcPr>
          <w:p w14:paraId="5C720D35">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安装地点</w:t>
            </w:r>
          </w:p>
        </w:tc>
        <w:tc>
          <w:tcPr>
            <w:tcW w:w="742" w:type="dxa"/>
            <w:noWrap/>
            <w:vAlign w:val="center"/>
          </w:tcPr>
          <w:p w14:paraId="71DC0A10">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层数</w:t>
            </w:r>
          </w:p>
        </w:tc>
        <w:tc>
          <w:tcPr>
            <w:tcW w:w="1490" w:type="dxa"/>
            <w:noWrap/>
            <w:vAlign w:val="center"/>
          </w:tcPr>
          <w:p w14:paraId="4735E8D0">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维保服务期202</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.7.1至202</w:t>
            </w: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.6.30</w:t>
            </w:r>
          </w:p>
        </w:tc>
        <w:tc>
          <w:tcPr>
            <w:tcW w:w="992" w:type="dxa"/>
            <w:noWrap/>
            <w:vAlign w:val="center"/>
          </w:tcPr>
          <w:p w14:paraId="73F1CAE0">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维保服务方案</w:t>
            </w:r>
          </w:p>
        </w:tc>
        <w:tc>
          <w:tcPr>
            <w:tcW w:w="1492" w:type="dxa"/>
            <w:noWrap/>
            <w:vAlign w:val="center"/>
          </w:tcPr>
          <w:p w14:paraId="59B45006">
            <w:pPr>
              <w:widowControl/>
              <w:spacing w:line="360" w:lineRule="auto"/>
              <w:ind w:left="105" w:hanging="105" w:hangingChars="50"/>
              <w:rPr>
                <w:rFonts w:hint="eastAsia" w:ascii="宋体" w:hAnsi="宋体" w:eastAsia="宋体" w:cs="宋体"/>
                <w:color w:val="auto"/>
                <w:kern w:val="0"/>
                <w:szCs w:val="21"/>
              </w:rPr>
            </w:pPr>
            <w:r>
              <w:rPr>
                <w:rFonts w:hint="eastAsia" w:ascii="宋体" w:hAnsi="宋体" w:eastAsia="宋体" w:cs="宋体"/>
                <w:color w:val="auto"/>
                <w:kern w:val="0"/>
                <w:szCs w:val="21"/>
              </w:rPr>
              <w:t>保养金额 （元/月）</w:t>
            </w:r>
          </w:p>
        </w:tc>
      </w:tr>
      <w:tr w14:paraId="0C3F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57" w:type="dxa"/>
            <w:noWrap/>
            <w:vAlign w:val="center"/>
          </w:tcPr>
          <w:p w14:paraId="18CA9364">
            <w:pPr>
              <w:widowControl/>
              <w:spacing w:line="360" w:lineRule="auto"/>
              <w:jc w:val="center"/>
              <w:rPr>
                <w:rFonts w:hint="eastAsia" w:ascii="宋体" w:hAnsi="宋体" w:eastAsia="宋体" w:cs="宋体"/>
                <w:color w:val="auto"/>
                <w:kern w:val="0"/>
                <w:szCs w:val="21"/>
              </w:rPr>
            </w:pPr>
          </w:p>
        </w:tc>
        <w:tc>
          <w:tcPr>
            <w:tcW w:w="1075" w:type="dxa"/>
            <w:noWrap/>
            <w:vAlign w:val="center"/>
          </w:tcPr>
          <w:p w14:paraId="560ADC77">
            <w:pPr>
              <w:widowControl/>
              <w:spacing w:line="360" w:lineRule="auto"/>
              <w:jc w:val="center"/>
              <w:rPr>
                <w:rFonts w:hint="eastAsia" w:ascii="宋体" w:hAnsi="宋体" w:eastAsia="宋体" w:cs="宋体"/>
                <w:color w:val="auto"/>
                <w:kern w:val="0"/>
                <w:szCs w:val="21"/>
              </w:rPr>
            </w:pPr>
          </w:p>
        </w:tc>
        <w:tc>
          <w:tcPr>
            <w:tcW w:w="1117" w:type="dxa"/>
            <w:noWrap/>
            <w:vAlign w:val="center"/>
          </w:tcPr>
          <w:p w14:paraId="64BE278D">
            <w:pPr>
              <w:widowControl/>
              <w:spacing w:line="360" w:lineRule="auto"/>
              <w:jc w:val="center"/>
              <w:rPr>
                <w:rFonts w:hint="eastAsia" w:ascii="宋体" w:hAnsi="宋体" w:eastAsia="宋体" w:cs="宋体"/>
                <w:color w:val="auto"/>
                <w:kern w:val="0"/>
                <w:szCs w:val="21"/>
              </w:rPr>
            </w:pPr>
          </w:p>
        </w:tc>
        <w:tc>
          <w:tcPr>
            <w:tcW w:w="990" w:type="dxa"/>
            <w:noWrap/>
            <w:vAlign w:val="center"/>
          </w:tcPr>
          <w:p w14:paraId="151F9876">
            <w:pPr>
              <w:widowControl/>
              <w:spacing w:line="360" w:lineRule="auto"/>
              <w:jc w:val="center"/>
              <w:rPr>
                <w:rFonts w:hint="eastAsia" w:ascii="宋体" w:hAnsi="宋体" w:eastAsia="宋体" w:cs="宋体"/>
                <w:color w:val="auto"/>
                <w:kern w:val="0"/>
                <w:szCs w:val="21"/>
              </w:rPr>
            </w:pPr>
          </w:p>
        </w:tc>
        <w:tc>
          <w:tcPr>
            <w:tcW w:w="742" w:type="dxa"/>
            <w:noWrap/>
            <w:vAlign w:val="center"/>
          </w:tcPr>
          <w:p w14:paraId="0B1FEF43">
            <w:pPr>
              <w:widowControl/>
              <w:spacing w:line="360" w:lineRule="auto"/>
              <w:jc w:val="center"/>
              <w:rPr>
                <w:rFonts w:hint="eastAsia" w:ascii="宋体" w:hAnsi="宋体" w:eastAsia="宋体" w:cs="宋体"/>
                <w:color w:val="auto"/>
                <w:kern w:val="0"/>
                <w:szCs w:val="21"/>
              </w:rPr>
            </w:pPr>
          </w:p>
        </w:tc>
        <w:tc>
          <w:tcPr>
            <w:tcW w:w="1490" w:type="dxa"/>
            <w:noWrap/>
            <w:vAlign w:val="center"/>
          </w:tcPr>
          <w:p w14:paraId="6628B163">
            <w:pPr>
              <w:widowControl/>
              <w:spacing w:line="360" w:lineRule="auto"/>
              <w:rPr>
                <w:rFonts w:hint="eastAsia" w:ascii="宋体" w:hAnsi="宋体" w:eastAsia="宋体" w:cs="宋体"/>
                <w:color w:val="auto"/>
                <w:kern w:val="0"/>
                <w:szCs w:val="21"/>
              </w:rPr>
            </w:pPr>
          </w:p>
        </w:tc>
        <w:tc>
          <w:tcPr>
            <w:tcW w:w="992" w:type="dxa"/>
            <w:noWrap/>
            <w:vAlign w:val="center"/>
          </w:tcPr>
          <w:p w14:paraId="7CFBF805">
            <w:pPr>
              <w:widowControl/>
              <w:spacing w:line="360" w:lineRule="auto"/>
              <w:jc w:val="center"/>
              <w:rPr>
                <w:rFonts w:hint="eastAsia" w:ascii="宋体" w:hAnsi="宋体" w:eastAsia="宋体" w:cs="宋体"/>
                <w:color w:val="auto"/>
                <w:kern w:val="0"/>
                <w:szCs w:val="21"/>
              </w:rPr>
            </w:pPr>
          </w:p>
        </w:tc>
        <w:tc>
          <w:tcPr>
            <w:tcW w:w="1492" w:type="dxa"/>
            <w:noWrap/>
            <w:vAlign w:val="center"/>
          </w:tcPr>
          <w:p w14:paraId="59631BF9">
            <w:pPr>
              <w:widowControl/>
              <w:spacing w:line="360" w:lineRule="auto"/>
              <w:ind w:left="105" w:hanging="105" w:hangingChars="50"/>
              <w:rPr>
                <w:rFonts w:hint="eastAsia" w:ascii="宋体" w:hAnsi="宋体" w:eastAsia="宋体" w:cs="宋体"/>
                <w:color w:val="auto"/>
                <w:kern w:val="0"/>
                <w:szCs w:val="21"/>
              </w:rPr>
            </w:pPr>
          </w:p>
        </w:tc>
      </w:tr>
      <w:tr w14:paraId="044C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57" w:type="dxa"/>
            <w:noWrap/>
            <w:vAlign w:val="center"/>
          </w:tcPr>
          <w:p w14:paraId="789299B1">
            <w:pPr>
              <w:widowControl/>
              <w:spacing w:line="360" w:lineRule="auto"/>
              <w:jc w:val="center"/>
              <w:rPr>
                <w:rFonts w:hint="eastAsia" w:ascii="宋体" w:hAnsi="宋体" w:eastAsia="宋体" w:cs="宋体"/>
                <w:color w:val="auto"/>
                <w:kern w:val="0"/>
                <w:szCs w:val="21"/>
              </w:rPr>
            </w:pPr>
          </w:p>
        </w:tc>
        <w:tc>
          <w:tcPr>
            <w:tcW w:w="1075" w:type="dxa"/>
            <w:noWrap/>
            <w:vAlign w:val="center"/>
          </w:tcPr>
          <w:p w14:paraId="76E86C98">
            <w:pPr>
              <w:widowControl/>
              <w:spacing w:line="360" w:lineRule="auto"/>
              <w:jc w:val="center"/>
              <w:rPr>
                <w:rFonts w:hint="eastAsia" w:ascii="宋体" w:hAnsi="宋体" w:eastAsia="宋体" w:cs="宋体"/>
                <w:color w:val="auto"/>
                <w:kern w:val="0"/>
                <w:szCs w:val="21"/>
              </w:rPr>
            </w:pPr>
          </w:p>
        </w:tc>
        <w:tc>
          <w:tcPr>
            <w:tcW w:w="1117" w:type="dxa"/>
            <w:noWrap/>
            <w:vAlign w:val="center"/>
          </w:tcPr>
          <w:p w14:paraId="75A78410">
            <w:pPr>
              <w:widowControl/>
              <w:spacing w:line="360" w:lineRule="auto"/>
              <w:jc w:val="center"/>
              <w:rPr>
                <w:rFonts w:hint="eastAsia" w:ascii="宋体" w:hAnsi="宋体" w:eastAsia="宋体" w:cs="宋体"/>
                <w:color w:val="auto"/>
                <w:kern w:val="0"/>
                <w:szCs w:val="21"/>
              </w:rPr>
            </w:pPr>
          </w:p>
        </w:tc>
        <w:tc>
          <w:tcPr>
            <w:tcW w:w="990" w:type="dxa"/>
            <w:noWrap/>
            <w:vAlign w:val="center"/>
          </w:tcPr>
          <w:p w14:paraId="3B76C34D">
            <w:pPr>
              <w:widowControl/>
              <w:spacing w:line="360" w:lineRule="auto"/>
              <w:jc w:val="center"/>
              <w:rPr>
                <w:rFonts w:hint="eastAsia" w:ascii="宋体" w:hAnsi="宋体" w:eastAsia="宋体" w:cs="宋体"/>
                <w:color w:val="auto"/>
                <w:kern w:val="0"/>
                <w:szCs w:val="21"/>
              </w:rPr>
            </w:pPr>
          </w:p>
        </w:tc>
        <w:tc>
          <w:tcPr>
            <w:tcW w:w="742" w:type="dxa"/>
            <w:noWrap/>
            <w:vAlign w:val="center"/>
          </w:tcPr>
          <w:p w14:paraId="632687AD">
            <w:pPr>
              <w:widowControl/>
              <w:spacing w:line="360" w:lineRule="auto"/>
              <w:jc w:val="center"/>
              <w:rPr>
                <w:rFonts w:hint="eastAsia" w:ascii="宋体" w:hAnsi="宋体" w:eastAsia="宋体" w:cs="宋体"/>
                <w:color w:val="auto"/>
                <w:kern w:val="0"/>
                <w:szCs w:val="21"/>
              </w:rPr>
            </w:pPr>
          </w:p>
        </w:tc>
        <w:tc>
          <w:tcPr>
            <w:tcW w:w="1490" w:type="dxa"/>
            <w:noWrap/>
            <w:vAlign w:val="center"/>
          </w:tcPr>
          <w:p w14:paraId="3A33E780">
            <w:pPr>
              <w:widowControl/>
              <w:spacing w:line="360" w:lineRule="auto"/>
              <w:rPr>
                <w:rFonts w:hint="eastAsia" w:ascii="宋体" w:hAnsi="宋体" w:eastAsia="宋体" w:cs="宋体"/>
                <w:color w:val="auto"/>
                <w:kern w:val="0"/>
                <w:szCs w:val="21"/>
              </w:rPr>
            </w:pPr>
          </w:p>
        </w:tc>
        <w:tc>
          <w:tcPr>
            <w:tcW w:w="992" w:type="dxa"/>
            <w:noWrap/>
            <w:vAlign w:val="center"/>
          </w:tcPr>
          <w:p w14:paraId="634ECD2E">
            <w:pPr>
              <w:widowControl/>
              <w:spacing w:line="360" w:lineRule="auto"/>
              <w:jc w:val="center"/>
              <w:rPr>
                <w:rFonts w:hint="eastAsia" w:ascii="宋体" w:hAnsi="宋体" w:eastAsia="宋体" w:cs="宋体"/>
                <w:color w:val="auto"/>
                <w:kern w:val="0"/>
                <w:szCs w:val="21"/>
              </w:rPr>
            </w:pPr>
          </w:p>
        </w:tc>
        <w:tc>
          <w:tcPr>
            <w:tcW w:w="1492" w:type="dxa"/>
            <w:noWrap/>
            <w:vAlign w:val="center"/>
          </w:tcPr>
          <w:p w14:paraId="17DA4AD9">
            <w:pPr>
              <w:widowControl/>
              <w:spacing w:line="360" w:lineRule="auto"/>
              <w:ind w:left="105" w:hanging="105" w:hangingChars="50"/>
              <w:rPr>
                <w:rFonts w:hint="eastAsia" w:ascii="宋体" w:hAnsi="宋体" w:eastAsia="宋体" w:cs="宋体"/>
                <w:color w:val="auto"/>
                <w:kern w:val="0"/>
                <w:szCs w:val="21"/>
              </w:rPr>
            </w:pPr>
          </w:p>
        </w:tc>
      </w:tr>
    </w:tbl>
    <w:p w14:paraId="5C62D35B">
      <w:pPr>
        <w:pStyle w:val="2"/>
        <w:rPr>
          <w:rFonts w:hint="eastAsia" w:ascii="宋体" w:hAnsi="宋体" w:eastAsia="宋体" w:cs="宋体"/>
          <w:b/>
          <w:bCs/>
          <w:color w:val="auto"/>
          <w:kern w:val="2"/>
        </w:rPr>
      </w:pPr>
    </w:p>
    <w:p w14:paraId="5553234D">
      <w:pPr>
        <w:pStyle w:val="2"/>
        <w:rPr>
          <w:rFonts w:hint="eastAsia" w:ascii="Calibri" w:hAnsi="Calibri" w:eastAsia="宋体" w:cs="Times New Roman"/>
          <w:b/>
          <w:bCs/>
          <w:color w:val="auto"/>
          <w:kern w:val="2"/>
          <w:sz w:val="21"/>
          <w:szCs w:val="22"/>
        </w:rPr>
      </w:pPr>
      <w:r>
        <w:rPr>
          <w:rFonts w:hint="eastAsia" w:ascii="宋体" w:hAnsi="宋体" w:eastAsia="宋体" w:cs="宋体"/>
          <w:b/>
          <w:bCs/>
          <w:color w:val="auto"/>
          <w:kern w:val="2"/>
        </w:rPr>
        <w:t>附件</w:t>
      </w:r>
      <w:r>
        <w:rPr>
          <w:rFonts w:hint="eastAsia" w:hAnsi="宋体" w:cs="宋体"/>
          <w:b/>
          <w:bCs/>
          <w:color w:val="auto"/>
          <w:kern w:val="2"/>
          <w:lang w:val="en-US" w:eastAsia="zh-CN"/>
        </w:rPr>
        <w:t>1-</w:t>
      </w:r>
      <w:r>
        <w:rPr>
          <w:rFonts w:hint="eastAsia" w:ascii="宋体" w:hAnsi="宋体" w:eastAsia="宋体" w:cs="宋体"/>
          <w:b/>
          <w:bCs/>
          <w:color w:val="auto"/>
          <w:kern w:val="2"/>
        </w:rPr>
        <w:t>2：</w:t>
      </w:r>
      <w:r>
        <w:rPr>
          <w:rFonts w:hint="eastAsia" w:ascii="Calibri" w:hAnsi="Calibri" w:eastAsia="宋体" w:cs="Times New Roman"/>
          <w:b/>
          <w:bCs/>
          <w:color w:val="auto"/>
          <w:kern w:val="2"/>
          <w:sz w:val="21"/>
          <w:szCs w:val="22"/>
        </w:rPr>
        <w:t xml:space="preserve">  </w:t>
      </w:r>
    </w:p>
    <w:p w14:paraId="327AEA92">
      <w:pPr>
        <w:pStyle w:val="2"/>
        <w:jc w:val="center"/>
        <w:rPr>
          <w:rFonts w:ascii="Calibri" w:hAnsi="Calibri" w:eastAsia="宋体" w:cs="Times New Roman"/>
          <w:b/>
          <w:bCs/>
          <w:color w:val="auto"/>
          <w:kern w:val="2"/>
          <w:sz w:val="28"/>
          <w:szCs w:val="28"/>
        </w:rPr>
      </w:pPr>
      <w:r>
        <w:rPr>
          <w:rFonts w:hint="eastAsia" w:ascii="Calibri" w:hAnsi="Calibri" w:eastAsia="宋体" w:cs="Times New Roman"/>
          <w:b/>
          <w:bCs/>
          <w:color w:val="auto"/>
          <w:kern w:val="2"/>
          <w:sz w:val="28"/>
          <w:szCs w:val="28"/>
        </w:rPr>
        <w:t>电梯日常维护保养规则</w:t>
      </w:r>
    </w:p>
    <w:p w14:paraId="6A292BD1">
      <w:pPr>
        <w:pStyle w:val="2"/>
        <w:rPr>
          <w:rFonts w:ascii="Calibri" w:hAnsi="Calibri" w:eastAsia="宋体" w:cs="Times New Roman"/>
          <w:b/>
          <w:bCs/>
          <w:color w:val="auto"/>
          <w:kern w:val="2"/>
          <w:sz w:val="21"/>
          <w:szCs w:val="22"/>
        </w:rPr>
      </w:pPr>
      <w:r>
        <w:rPr>
          <w:rFonts w:hint="eastAsia" w:ascii="Calibri" w:hAnsi="Calibri" w:eastAsia="宋体" w:cs="Times New Roman"/>
          <w:b/>
          <w:bCs/>
          <w:color w:val="auto"/>
          <w:kern w:val="2"/>
          <w:sz w:val="21"/>
          <w:szCs w:val="22"/>
        </w:rPr>
        <w:t>（每半个月保养一次，季度项，半年项，年度项按计划分摊在半月保养中）</w:t>
      </w:r>
    </w:p>
    <w:p w14:paraId="315ADF6B">
      <w:pPr>
        <w:rPr>
          <w:rFonts w:hint="eastAsia" w:ascii="Calibri" w:hAnsi="Calibri" w:eastAsia="宋体" w:cs="Times New Roman"/>
          <w:b/>
          <w:color w:val="auto"/>
          <w:szCs w:val="22"/>
        </w:rPr>
      </w:pPr>
      <w:r>
        <w:rPr>
          <w:rFonts w:hint="eastAsia" w:ascii="Calibri" w:hAnsi="Calibri" w:eastAsia="宋体" w:cs="Times New Roman"/>
          <w:b/>
          <w:color w:val="auto"/>
          <w:szCs w:val="22"/>
        </w:rPr>
        <w:t>表A-1</w:t>
      </w:r>
      <w:r>
        <w:rPr>
          <w:rFonts w:ascii="Calibri" w:hAnsi="Calibri" w:eastAsia="宋体" w:cs="Times New Roman"/>
          <w:b/>
          <w:color w:val="auto"/>
          <w:szCs w:val="22"/>
        </w:rPr>
        <w:t>   </w:t>
      </w:r>
      <w:r>
        <w:rPr>
          <w:rFonts w:hint="eastAsia" w:ascii="Calibri" w:hAnsi="Calibri" w:eastAsia="宋体" w:cs="Times New Roman"/>
          <w:b/>
          <w:color w:val="auto"/>
          <w:szCs w:val="22"/>
        </w:rPr>
        <w:t xml:space="preserve"> 15日维保项目（内容）和要求</w:t>
      </w:r>
    </w:p>
    <w:tbl>
      <w:tblPr>
        <w:tblStyle w:val="11"/>
        <w:tblW w:w="5000" w:type="pct"/>
        <w:jc w:val="center"/>
        <w:tblLayout w:type="autofit"/>
        <w:tblCellMar>
          <w:top w:w="0" w:type="dxa"/>
          <w:left w:w="108" w:type="dxa"/>
          <w:bottom w:w="0" w:type="dxa"/>
          <w:right w:w="108" w:type="dxa"/>
        </w:tblCellMar>
      </w:tblPr>
      <w:tblGrid>
        <w:gridCol w:w="433"/>
        <w:gridCol w:w="1454"/>
        <w:gridCol w:w="6635"/>
      </w:tblGrid>
      <w:tr w14:paraId="3E39910D">
        <w:tblPrEx>
          <w:tblCellMar>
            <w:top w:w="0" w:type="dxa"/>
            <w:left w:w="108" w:type="dxa"/>
            <w:bottom w:w="0" w:type="dxa"/>
            <w:right w:w="108" w:type="dxa"/>
          </w:tblCellMar>
        </w:tblPrEx>
        <w:trPr>
          <w:cantSplit/>
          <w:trHeight w:val="270" w:hRule="atLeast"/>
          <w:tblHeader/>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276BC53F">
            <w:pPr>
              <w:jc w:val="center"/>
              <w:rPr>
                <w:rFonts w:ascii="Calibri" w:hAnsi="Calibri" w:eastAsia="宋体" w:cs="Times New Roman"/>
                <w:bCs/>
                <w:color w:val="auto"/>
                <w:szCs w:val="22"/>
              </w:rPr>
            </w:pPr>
            <w:r>
              <w:rPr>
                <w:rFonts w:hint="eastAsia" w:ascii="Calibri" w:hAnsi="Calibri" w:eastAsia="宋体" w:cs="Times New Roman"/>
                <w:bCs/>
                <w:color w:val="auto"/>
                <w:szCs w:val="22"/>
              </w:rPr>
              <w:t>序号</w:t>
            </w:r>
          </w:p>
        </w:tc>
        <w:tc>
          <w:tcPr>
            <w:tcW w:w="853" w:type="pct"/>
            <w:tcBorders>
              <w:top w:val="single" w:color="auto" w:sz="4" w:space="0"/>
              <w:left w:val="nil"/>
              <w:bottom w:val="single" w:color="auto" w:sz="4" w:space="0"/>
              <w:right w:val="single" w:color="auto" w:sz="4" w:space="0"/>
            </w:tcBorders>
            <w:noWrap w:val="0"/>
            <w:vAlign w:val="center"/>
          </w:tcPr>
          <w:p w14:paraId="2F1C03B9">
            <w:pPr>
              <w:rPr>
                <w:rFonts w:ascii="Calibri" w:hAnsi="Calibri" w:eastAsia="宋体" w:cs="Times New Roman"/>
                <w:bCs/>
                <w:color w:val="auto"/>
                <w:szCs w:val="22"/>
              </w:rPr>
            </w:pPr>
            <w:r>
              <w:rPr>
                <w:rFonts w:hint="eastAsia" w:ascii="Calibri" w:hAnsi="Calibri" w:eastAsia="宋体" w:cs="Times New Roman"/>
                <w:bCs/>
                <w:color w:val="auto"/>
                <w:szCs w:val="22"/>
              </w:rPr>
              <w:t>维护保养项目（内容）</w:t>
            </w:r>
          </w:p>
        </w:tc>
        <w:tc>
          <w:tcPr>
            <w:tcW w:w="3892" w:type="pct"/>
            <w:tcBorders>
              <w:top w:val="single" w:color="auto" w:sz="4" w:space="0"/>
              <w:left w:val="nil"/>
              <w:bottom w:val="single" w:color="auto" w:sz="4" w:space="0"/>
              <w:right w:val="single" w:color="auto" w:sz="4" w:space="0"/>
            </w:tcBorders>
            <w:noWrap w:val="0"/>
            <w:vAlign w:val="center"/>
          </w:tcPr>
          <w:p w14:paraId="435ECDA7">
            <w:pPr>
              <w:rPr>
                <w:rFonts w:ascii="Calibri" w:hAnsi="Calibri" w:eastAsia="宋体" w:cs="Times New Roman"/>
                <w:bCs/>
                <w:color w:val="auto"/>
                <w:szCs w:val="22"/>
              </w:rPr>
            </w:pPr>
            <w:r>
              <w:rPr>
                <w:rFonts w:hint="eastAsia" w:ascii="Calibri" w:hAnsi="Calibri" w:eastAsia="宋体" w:cs="Times New Roman"/>
                <w:bCs/>
                <w:color w:val="auto"/>
                <w:szCs w:val="22"/>
              </w:rPr>
              <w:t>维护保养基本要求</w:t>
            </w:r>
          </w:p>
        </w:tc>
      </w:tr>
      <w:tr w14:paraId="67F401E0">
        <w:tblPrEx>
          <w:tblCellMar>
            <w:top w:w="0" w:type="dxa"/>
            <w:left w:w="108" w:type="dxa"/>
            <w:bottom w:w="0" w:type="dxa"/>
            <w:right w:w="108" w:type="dxa"/>
          </w:tblCellMar>
        </w:tblPrEx>
        <w:trPr>
          <w:cantSplit/>
          <w:trHeight w:val="1350" w:hRule="atLeast"/>
          <w:tblHeader/>
          <w:jc w:val="center"/>
        </w:trPr>
        <w:tc>
          <w:tcPr>
            <w:tcW w:w="254" w:type="pct"/>
            <w:tcBorders>
              <w:top w:val="nil"/>
              <w:left w:val="single" w:color="auto" w:sz="4" w:space="0"/>
              <w:bottom w:val="single" w:color="auto" w:sz="4" w:space="0"/>
              <w:right w:val="single" w:color="auto" w:sz="4" w:space="0"/>
            </w:tcBorders>
            <w:noWrap w:val="0"/>
            <w:vAlign w:val="center"/>
          </w:tcPr>
          <w:p w14:paraId="7C1BEB8A">
            <w:pPr>
              <w:jc w:val="center"/>
              <w:rPr>
                <w:rFonts w:ascii="Calibri" w:hAnsi="Calibri" w:eastAsia="宋体" w:cs="Times New Roman"/>
                <w:color w:val="auto"/>
                <w:szCs w:val="22"/>
              </w:rPr>
            </w:pPr>
            <w:r>
              <w:rPr>
                <w:rFonts w:hint="eastAsia" w:ascii="Calibri" w:hAnsi="Calibri" w:eastAsia="宋体" w:cs="Times New Roman"/>
                <w:color w:val="auto"/>
                <w:szCs w:val="22"/>
              </w:rPr>
              <w:t>1</w:t>
            </w:r>
          </w:p>
        </w:tc>
        <w:tc>
          <w:tcPr>
            <w:tcW w:w="853" w:type="pct"/>
            <w:tcBorders>
              <w:top w:val="nil"/>
              <w:left w:val="nil"/>
              <w:bottom w:val="single" w:color="auto" w:sz="4" w:space="0"/>
              <w:right w:val="single" w:color="auto" w:sz="4" w:space="0"/>
            </w:tcBorders>
            <w:noWrap w:val="0"/>
            <w:vAlign w:val="center"/>
          </w:tcPr>
          <w:p w14:paraId="2C030E5C">
            <w:pPr>
              <w:rPr>
                <w:rFonts w:ascii="Calibri" w:hAnsi="Calibri" w:eastAsia="宋体" w:cs="Times New Roman"/>
                <w:color w:val="auto"/>
                <w:szCs w:val="22"/>
              </w:rPr>
            </w:pPr>
            <w:r>
              <w:rPr>
                <w:rFonts w:hint="eastAsia" w:ascii="Calibri" w:hAnsi="Calibri" w:eastAsia="宋体" w:cs="Times New Roman"/>
                <w:color w:val="auto"/>
                <w:szCs w:val="22"/>
              </w:rPr>
              <w:t>机房、滑轮间环境</w:t>
            </w:r>
          </w:p>
        </w:tc>
        <w:tc>
          <w:tcPr>
            <w:tcW w:w="3892" w:type="pct"/>
            <w:tcBorders>
              <w:top w:val="nil"/>
              <w:left w:val="nil"/>
              <w:bottom w:val="single" w:color="auto" w:sz="4" w:space="0"/>
              <w:right w:val="single" w:color="auto" w:sz="4" w:space="0"/>
            </w:tcBorders>
            <w:noWrap w:val="0"/>
            <w:vAlign w:val="center"/>
          </w:tcPr>
          <w:p w14:paraId="57AFBB31">
            <w:pPr>
              <w:rPr>
                <w:rFonts w:ascii="Calibri" w:hAnsi="Calibri" w:eastAsia="宋体" w:cs="Times New Roman"/>
                <w:color w:val="auto"/>
                <w:szCs w:val="22"/>
              </w:rPr>
            </w:pPr>
            <w:r>
              <w:rPr>
                <w:rFonts w:hint="eastAsia" w:ascii="Calibri" w:hAnsi="Calibri" w:eastAsia="宋体" w:cs="Times New Roman"/>
                <w:color w:val="auto"/>
                <w:szCs w:val="22"/>
              </w:rPr>
              <w:t>机房的通道,出入口通畅无障碍物、照明有效；机房门有告示牌、出入口锁紧装置良好；机房内清洁卫生，无堆放非电梯用物品，机房内温度保持在5℃-40℃，照明正常，滑轮间有足够的照明、电源插座；滑轮间入口，停止开关动作可靠；滑轮间地面清洁无油污</w:t>
            </w:r>
          </w:p>
        </w:tc>
      </w:tr>
      <w:tr w14:paraId="76AF7853">
        <w:tblPrEx>
          <w:tblCellMar>
            <w:top w:w="0" w:type="dxa"/>
            <w:left w:w="108" w:type="dxa"/>
            <w:bottom w:w="0" w:type="dxa"/>
            <w:right w:w="108" w:type="dxa"/>
          </w:tblCellMar>
        </w:tblPrEx>
        <w:trPr>
          <w:cantSplit/>
          <w:trHeight w:val="540" w:hRule="atLeast"/>
          <w:tblHeader/>
          <w:jc w:val="center"/>
        </w:trPr>
        <w:tc>
          <w:tcPr>
            <w:tcW w:w="254" w:type="pct"/>
            <w:tcBorders>
              <w:top w:val="nil"/>
              <w:left w:val="single" w:color="auto" w:sz="4" w:space="0"/>
              <w:bottom w:val="single" w:color="auto" w:sz="4" w:space="0"/>
              <w:right w:val="single" w:color="auto" w:sz="4" w:space="0"/>
            </w:tcBorders>
            <w:noWrap w:val="0"/>
            <w:vAlign w:val="center"/>
          </w:tcPr>
          <w:p w14:paraId="395D7C0D">
            <w:pPr>
              <w:jc w:val="center"/>
              <w:rPr>
                <w:rFonts w:ascii="Calibri" w:hAnsi="Calibri" w:eastAsia="宋体" w:cs="Times New Roman"/>
                <w:color w:val="auto"/>
                <w:szCs w:val="22"/>
              </w:rPr>
            </w:pPr>
            <w:r>
              <w:rPr>
                <w:rFonts w:hint="eastAsia" w:ascii="Calibri" w:hAnsi="Calibri" w:eastAsia="宋体" w:cs="Times New Roman"/>
                <w:color w:val="auto"/>
                <w:szCs w:val="22"/>
              </w:rPr>
              <w:t>2</w:t>
            </w:r>
          </w:p>
        </w:tc>
        <w:tc>
          <w:tcPr>
            <w:tcW w:w="853" w:type="pct"/>
            <w:tcBorders>
              <w:top w:val="nil"/>
              <w:left w:val="nil"/>
              <w:bottom w:val="single" w:color="auto" w:sz="4" w:space="0"/>
              <w:right w:val="single" w:color="auto" w:sz="4" w:space="0"/>
            </w:tcBorders>
            <w:noWrap w:val="0"/>
            <w:vAlign w:val="center"/>
          </w:tcPr>
          <w:p w14:paraId="1F37A331">
            <w:pPr>
              <w:rPr>
                <w:rFonts w:ascii="Calibri" w:hAnsi="Calibri" w:eastAsia="宋体" w:cs="Times New Roman"/>
                <w:color w:val="auto"/>
                <w:szCs w:val="22"/>
              </w:rPr>
            </w:pPr>
            <w:r>
              <w:rPr>
                <w:rFonts w:hint="eastAsia" w:ascii="Calibri" w:hAnsi="Calibri" w:eastAsia="宋体" w:cs="Times New Roman"/>
                <w:color w:val="auto"/>
                <w:szCs w:val="22"/>
              </w:rPr>
              <w:t>手动紧急操作装置</w:t>
            </w:r>
          </w:p>
        </w:tc>
        <w:tc>
          <w:tcPr>
            <w:tcW w:w="3892" w:type="pct"/>
            <w:tcBorders>
              <w:top w:val="nil"/>
              <w:left w:val="nil"/>
              <w:bottom w:val="single" w:color="auto" w:sz="4" w:space="0"/>
              <w:right w:val="single" w:color="auto" w:sz="4" w:space="0"/>
            </w:tcBorders>
            <w:noWrap w:val="0"/>
            <w:vAlign w:val="center"/>
          </w:tcPr>
          <w:p w14:paraId="359D2118">
            <w:pPr>
              <w:rPr>
                <w:rFonts w:ascii="Calibri" w:hAnsi="Calibri" w:eastAsia="宋体" w:cs="Times New Roman"/>
                <w:color w:val="auto"/>
                <w:szCs w:val="22"/>
              </w:rPr>
            </w:pPr>
            <w:r>
              <w:rPr>
                <w:rFonts w:hint="eastAsia" w:ascii="Calibri" w:hAnsi="Calibri" w:eastAsia="宋体" w:cs="Times New Roman"/>
                <w:color w:val="auto"/>
                <w:szCs w:val="22"/>
              </w:rPr>
              <w:t>齐全,标识明确，操作说明清晰详细；制动器松闸板手挂在易于接近的墙上</w:t>
            </w:r>
          </w:p>
        </w:tc>
      </w:tr>
      <w:tr w14:paraId="159BB8B9">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noWrap w:val="0"/>
            <w:vAlign w:val="center"/>
          </w:tcPr>
          <w:p w14:paraId="154D6C6D">
            <w:pPr>
              <w:jc w:val="center"/>
              <w:rPr>
                <w:rFonts w:ascii="Calibri" w:hAnsi="Calibri" w:eastAsia="宋体" w:cs="Times New Roman"/>
                <w:color w:val="auto"/>
                <w:szCs w:val="22"/>
              </w:rPr>
            </w:pPr>
            <w:r>
              <w:rPr>
                <w:rFonts w:hint="eastAsia" w:ascii="Calibri" w:hAnsi="Calibri" w:eastAsia="宋体" w:cs="Times New Roman"/>
                <w:color w:val="auto"/>
                <w:szCs w:val="22"/>
              </w:rPr>
              <w:t>3</w:t>
            </w:r>
          </w:p>
        </w:tc>
        <w:tc>
          <w:tcPr>
            <w:tcW w:w="853" w:type="pct"/>
            <w:tcBorders>
              <w:top w:val="nil"/>
              <w:left w:val="nil"/>
              <w:bottom w:val="single" w:color="auto" w:sz="4" w:space="0"/>
              <w:right w:val="single" w:color="auto" w:sz="4" w:space="0"/>
            </w:tcBorders>
            <w:noWrap w:val="0"/>
            <w:vAlign w:val="center"/>
          </w:tcPr>
          <w:p w14:paraId="000C56C0">
            <w:pPr>
              <w:rPr>
                <w:rFonts w:ascii="Calibri" w:hAnsi="Calibri" w:eastAsia="宋体" w:cs="Times New Roman"/>
                <w:color w:val="auto"/>
                <w:szCs w:val="22"/>
              </w:rPr>
            </w:pPr>
            <w:r>
              <w:rPr>
                <w:rFonts w:hint="eastAsia" w:ascii="Calibri" w:hAnsi="Calibri" w:eastAsia="宋体" w:cs="Times New Roman"/>
                <w:color w:val="auto"/>
                <w:szCs w:val="22"/>
              </w:rPr>
              <w:t>曳引机</w:t>
            </w:r>
          </w:p>
        </w:tc>
        <w:tc>
          <w:tcPr>
            <w:tcW w:w="3892" w:type="pct"/>
            <w:tcBorders>
              <w:top w:val="nil"/>
              <w:left w:val="nil"/>
              <w:bottom w:val="single" w:color="auto" w:sz="4" w:space="0"/>
              <w:right w:val="single" w:color="auto" w:sz="4" w:space="0"/>
            </w:tcBorders>
            <w:noWrap w:val="0"/>
            <w:vAlign w:val="center"/>
          </w:tcPr>
          <w:p w14:paraId="5C25215F">
            <w:pPr>
              <w:rPr>
                <w:rFonts w:ascii="Calibri" w:hAnsi="Calibri" w:eastAsia="宋体" w:cs="Times New Roman"/>
                <w:color w:val="auto"/>
                <w:szCs w:val="22"/>
              </w:rPr>
            </w:pPr>
            <w:r>
              <w:rPr>
                <w:rFonts w:hint="eastAsia" w:ascii="Calibri" w:hAnsi="Calibri" w:eastAsia="宋体" w:cs="Times New Roman"/>
                <w:color w:val="auto"/>
                <w:szCs w:val="22"/>
              </w:rPr>
              <w:t>表面无积尘及油污，运转时无异常响声及振动，无异常温升</w:t>
            </w:r>
          </w:p>
        </w:tc>
      </w:tr>
      <w:tr w14:paraId="1FEB5F83">
        <w:tblPrEx>
          <w:tblCellMar>
            <w:top w:w="0" w:type="dxa"/>
            <w:left w:w="108" w:type="dxa"/>
            <w:bottom w:w="0" w:type="dxa"/>
            <w:right w:w="108" w:type="dxa"/>
          </w:tblCellMar>
        </w:tblPrEx>
        <w:trPr>
          <w:cantSplit/>
          <w:trHeight w:val="270" w:hRule="atLeast"/>
          <w:tblHeader/>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02CB9F1C">
            <w:pPr>
              <w:jc w:val="center"/>
              <w:rPr>
                <w:rFonts w:ascii="Calibri" w:hAnsi="Calibri" w:eastAsia="宋体" w:cs="Times New Roman"/>
                <w:color w:val="auto"/>
                <w:szCs w:val="22"/>
              </w:rPr>
            </w:pPr>
            <w:r>
              <w:rPr>
                <w:rFonts w:hint="eastAsia" w:ascii="Calibri" w:hAnsi="Calibri" w:eastAsia="宋体" w:cs="Times New Roman"/>
                <w:color w:val="auto"/>
                <w:szCs w:val="22"/>
              </w:rPr>
              <w:t>4</w:t>
            </w:r>
          </w:p>
        </w:tc>
        <w:tc>
          <w:tcPr>
            <w:tcW w:w="853" w:type="pct"/>
            <w:tcBorders>
              <w:top w:val="single" w:color="auto" w:sz="4" w:space="0"/>
              <w:left w:val="nil"/>
              <w:bottom w:val="single" w:color="auto" w:sz="4" w:space="0"/>
              <w:right w:val="single" w:color="auto" w:sz="4" w:space="0"/>
            </w:tcBorders>
            <w:noWrap w:val="0"/>
            <w:vAlign w:val="center"/>
          </w:tcPr>
          <w:p w14:paraId="6E9499FC">
            <w:pPr>
              <w:rPr>
                <w:rFonts w:ascii="Calibri" w:hAnsi="Calibri" w:eastAsia="宋体" w:cs="Times New Roman"/>
                <w:color w:val="auto"/>
                <w:szCs w:val="22"/>
              </w:rPr>
            </w:pPr>
            <w:r>
              <w:rPr>
                <w:rFonts w:hint="eastAsia" w:ascii="Calibri" w:hAnsi="Calibri" w:eastAsia="宋体" w:cs="Times New Roman"/>
                <w:color w:val="auto"/>
                <w:szCs w:val="22"/>
              </w:rPr>
              <w:t>制动器各销轴部位</w:t>
            </w:r>
          </w:p>
        </w:tc>
        <w:tc>
          <w:tcPr>
            <w:tcW w:w="3892" w:type="pct"/>
            <w:tcBorders>
              <w:top w:val="single" w:color="auto" w:sz="4" w:space="0"/>
              <w:left w:val="nil"/>
              <w:bottom w:val="single" w:color="auto" w:sz="4" w:space="0"/>
              <w:right w:val="single" w:color="auto" w:sz="4" w:space="0"/>
            </w:tcBorders>
            <w:noWrap w:val="0"/>
            <w:vAlign w:val="center"/>
          </w:tcPr>
          <w:p w14:paraId="4FD9EFAA">
            <w:pPr>
              <w:rPr>
                <w:rFonts w:ascii="Calibri" w:hAnsi="Calibri" w:eastAsia="宋体" w:cs="Times New Roman"/>
                <w:color w:val="auto"/>
                <w:szCs w:val="22"/>
              </w:rPr>
            </w:pPr>
            <w:r>
              <w:rPr>
                <w:rFonts w:hint="eastAsia" w:ascii="Calibri" w:hAnsi="Calibri" w:eastAsia="宋体" w:cs="Times New Roman"/>
                <w:color w:val="auto"/>
                <w:szCs w:val="22"/>
              </w:rPr>
              <w:t>润滑，动作灵活</w:t>
            </w:r>
          </w:p>
        </w:tc>
      </w:tr>
      <w:tr w14:paraId="6255CEC8">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noWrap w:val="0"/>
            <w:vAlign w:val="center"/>
          </w:tcPr>
          <w:p w14:paraId="51305949">
            <w:pPr>
              <w:jc w:val="center"/>
              <w:rPr>
                <w:rFonts w:ascii="Calibri" w:hAnsi="Calibri" w:eastAsia="宋体" w:cs="Times New Roman"/>
                <w:color w:val="auto"/>
                <w:szCs w:val="22"/>
              </w:rPr>
            </w:pPr>
            <w:r>
              <w:rPr>
                <w:rFonts w:hint="eastAsia" w:ascii="Calibri" w:hAnsi="Calibri" w:eastAsia="宋体" w:cs="Times New Roman"/>
                <w:color w:val="auto"/>
                <w:szCs w:val="22"/>
              </w:rPr>
              <w:t>5</w:t>
            </w:r>
          </w:p>
        </w:tc>
        <w:tc>
          <w:tcPr>
            <w:tcW w:w="853" w:type="pct"/>
            <w:tcBorders>
              <w:top w:val="nil"/>
              <w:left w:val="nil"/>
              <w:bottom w:val="single" w:color="auto" w:sz="4" w:space="0"/>
              <w:right w:val="single" w:color="auto" w:sz="4" w:space="0"/>
            </w:tcBorders>
            <w:noWrap w:val="0"/>
            <w:vAlign w:val="center"/>
          </w:tcPr>
          <w:p w14:paraId="19F222D2">
            <w:pPr>
              <w:rPr>
                <w:rFonts w:ascii="Calibri" w:hAnsi="Calibri" w:eastAsia="宋体" w:cs="Times New Roman"/>
                <w:color w:val="auto"/>
                <w:szCs w:val="22"/>
              </w:rPr>
            </w:pPr>
            <w:r>
              <w:rPr>
                <w:rFonts w:hint="eastAsia" w:ascii="Calibri" w:hAnsi="Calibri" w:eastAsia="宋体" w:cs="Times New Roman"/>
                <w:color w:val="auto"/>
                <w:szCs w:val="22"/>
              </w:rPr>
              <w:t>制动器间隙</w:t>
            </w:r>
          </w:p>
        </w:tc>
        <w:tc>
          <w:tcPr>
            <w:tcW w:w="3892" w:type="pct"/>
            <w:tcBorders>
              <w:top w:val="nil"/>
              <w:left w:val="nil"/>
              <w:bottom w:val="single" w:color="auto" w:sz="4" w:space="0"/>
              <w:right w:val="single" w:color="auto" w:sz="4" w:space="0"/>
            </w:tcBorders>
            <w:noWrap w:val="0"/>
            <w:vAlign w:val="center"/>
          </w:tcPr>
          <w:p w14:paraId="63A582D0">
            <w:pPr>
              <w:rPr>
                <w:rFonts w:ascii="Calibri" w:hAnsi="Calibri" w:eastAsia="宋体" w:cs="Times New Roman"/>
                <w:color w:val="auto"/>
                <w:szCs w:val="22"/>
              </w:rPr>
            </w:pPr>
            <w:r>
              <w:rPr>
                <w:rFonts w:hint="eastAsia" w:ascii="Calibri" w:hAnsi="Calibri" w:eastAsia="宋体" w:cs="Times New Roman"/>
                <w:color w:val="auto"/>
                <w:szCs w:val="22"/>
              </w:rPr>
              <w:t>打开时制动衬与制动轮不应发生摩擦</w:t>
            </w:r>
          </w:p>
        </w:tc>
      </w:tr>
      <w:tr w14:paraId="099AD221">
        <w:tblPrEx>
          <w:tblCellMar>
            <w:top w:w="0" w:type="dxa"/>
            <w:left w:w="108" w:type="dxa"/>
            <w:bottom w:w="0" w:type="dxa"/>
            <w:right w:w="108" w:type="dxa"/>
          </w:tblCellMar>
        </w:tblPrEx>
        <w:trPr>
          <w:cantSplit/>
          <w:trHeight w:val="540" w:hRule="atLeast"/>
          <w:tblHeader/>
          <w:jc w:val="center"/>
        </w:trPr>
        <w:tc>
          <w:tcPr>
            <w:tcW w:w="254" w:type="pct"/>
            <w:tcBorders>
              <w:top w:val="nil"/>
              <w:left w:val="single" w:color="auto" w:sz="4" w:space="0"/>
              <w:bottom w:val="single" w:color="auto" w:sz="4" w:space="0"/>
              <w:right w:val="single" w:color="auto" w:sz="4" w:space="0"/>
            </w:tcBorders>
            <w:noWrap w:val="0"/>
            <w:vAlign w:val="center"/>
          </w:tcPr>
          <w:p w14:paraId="11E24722">
            <w:pPr>
              <w:jc w:val="center"/>
              <w:rPr>
                <w:rFonts w:ascii="Calibri" w:hAnsi="Calibri" w:eastAsia="宋体" w:cs="Times New Roman"/>
                <w:color w:val="auto"/>
                <w:szCs w:val="22"/>
              </w:rPr>
            </w:pPr>
            <w:r>
              <w:rPr>
                <w:rFonts w:hint="eastAsia" w:ascii="Calibri" w:hAnsi="Calibri" w:eastAsia="宋体" w:cs="Times New Roman"/>
                <w:color w:val="auto"/>
                <w:szCs w:val="22"/>
              </w:rPr>
              <w:t>6</w:t>
            </w:r>
          </w:p>
        </w:tc>
        <w:tc>
          <w:tcPr>
            <w:tcW w:w="853" w:type="pct"/>
            <w:tcBorders>
              <w:top w:val="nil"/>
              <w:left w:val="nil"/>
              <w:bottom w:val="single" w:color="auto" w:sz="4" w:space="0"/>
              <w:right w:val="single" w:color="auto" w:sz="4" w:space="0"/>
            </w:tcBorders>
            <w:noWrap w:val="0"/>
            <w:vAlign w:val="center"/>
          </w:tcPr>
          <w:p w14:paraId="7692A737">
            <w:pPr>
              <w:rPr>
                <w:rFonts w:ascii="Calibri" w:hAnsi="Calibri" w:eastAsia="宋体" w:cs="Times New Roman"/>
                <w:color w:val="auto"/>
                <w:szCs w:val="22"/>
              </w:rPr>
            </w:pPr>
            <w:r>
              <w:rPr>
                <w:rFonts w:hint="eastAsia" w:ascii="Calibri" w:hAnsi="Calibri" w:eastAsia="宋体" w:cs="Times New Roman"/>
                <w:color w:val="auto"/>
                <w:szCs w:val="22"/>
              </w:rPr>
              <w:t>编码器</w:t>
            </w:r>
          </w:p>
        </w:tc>
        <w:tc>
          <w:tcPr>
            <w:tcW w:w="3892" w:type="pct"/>
            <w:tcBorders>
              <w:top w:val="nil"/>
              <w:left w:val="nil"/>
              <w:bottom w:val="single" w:color="auto" w:sz="4" w:space="0"/>
              <w:right w:val="single" w:color="auto" w:sz="4" w:space="0"/>
            </w:tcBorders>
            <w:noWrap w:val="0"/>
            <w:vAlign w:val="center"/>
          </w:tcPr>
          <w:p w14:paraId="4070A96D">
            <w:pPr>
              <w:rPr>
                <w:rFonts w:ascii="Calibri" w:hAnsi="Calibri" w:eastAsia="宋体" w:cs="Times New Roman"/>
                <w:color w:val="auto"/>
                <w:szCs w:val="22"/>
              </w:rPr>
            </w:pPr>
            <w:r>
              <w:rPr>
                <w:rFonts w:hint="eastAsia" w:ascii="Calibri" w:hAnsi="Calibri" w:eastAsia="宋体" w:cs="Times New Roman"/>
                <w:color w:val="auto"/>
                <w:szCs w:val="22"/>
              </w:rPr>
              <w:t>固定可靠，清洁，转动灵活，无异常响声；接线端固定可靠、接触良好</w:t>
            </w:r>
          </w:p>
        </w:tc>
      </w:tr>
      <w:tr w14:paraId="47F1CD0E">
        <w:tblPrEx>
          <w:tblCellMar>
            <w:top w:w="0" w:type="dxa"/>
            <w:left w:w="108" w:type="dxa"/>
            <w:bottom w:w="0" w:type="dxa"/>
            <w:right w:w="108" w:type="dxa"/>
          </w:tblCellMar>
        </w:tblPrEx>
        <w:trPr>
          <w:cantSplit/>
          <w:trHeight w:val="540" w:hRule="atLeast"/>
          <w:tblHeader/>
          <w:jc w:val="center"/>
        </w:trPr>
        <w:tc>
          <w:tcPr>
            <w:tcW w:w="254" w:type="pct"/>
            <w:tcBorders>
              <w:top w:val="nil"/>
              <w:left w:val="single" w:color="auto" w:sz="4" w:space="0"/>
              <w:bottom w:val="single" w:color="auto" w:sz="4" w:space="0"/>
              <w:right w:val="single" w:color="auto" w:sz="4" w:space="0"/>
            </w:tcBorders>
            <w:noWrap w:val="0"/>
            <w:vAlign w:val="center"/>
          </w:tcPr>
          <w:p w14:paraId="0FC3AEBE">
            <w:pPr>
              <w:jc w:val="center"/>
              <w:rPr>
                <w:rFonts w:ascii="Calibri" w:hAnsi="Calibri" w:eastAsia="宋体" w:cs="Times New Roman"/>
                <w:color w:val="auto"/>
                <w:szCs w:val="22"/>
              </w:rPr>
            </w:pPr>
            <w:r>
              <w:rPr>
                <w:rFonts w:hint="eastAsia" w:ascii="Calibri" w:hAnsi="Calibri" w:eastAsia="宋体" w:cs="Times New Roman"/>
                <w:color w:val="auto"/>
                <w:szCs w:val="22"/>
              </w:rPr>
              <w:t>7</w:t>
            </w:r>
          </w:p>
        </w:tc>
        <w:tc>
          <w:tcPr>
            <w:tcW w:w="853" w:type="pct"/>
            <w:tcBorders>
              <w:top w:val="nil"/>
              <w:left w:val="nil"/>
              <w:bottom w:val="single" w:color="auto" w:sz="4" w:space="0"/>
              <w:right w:val="single" w:color="auto" w:sz="4" w:space="0"/>
            </w:tcBorders>
            <w:noWrap w:val="0"/>
            <w:vAlign w:val="center"/>
          </w:tcPr>
          <w:p w14:paraId="6C8461DE">
            <w:pPr>
              <w:rPr>
                <w:rFonts w:ascii="Calibri" w:hAnsi="Calibri" w:eastAsia="宋体" w:cs="Times New Roman"/>
                <w:color w:val="auto"/>
                <w:szCs w:val="22"/>
              </w:rPr>
            </w:pPr>
            <w:r>
              <w:rPr>
                <w:rFonts w:hint="eastAsia" w:ascii="Calibri" w:hAnsi="Calibri" w:eastAsia="宋体" w:cs="Times New Roman"/>
                <w:color w:val="auto"/>
                <w:szCs w:val="22"/>
              </w:rPr>
              <w:t>限速器各销轴部位</w:t>
            </w:r>
          </w:p>
        </w:tc>
        <w:tc>
          <w:tcPr>
            <w:tcW w:w="3892" w:type="pct"/>
            <w:tcBorders>
              <w:top w:val="nil"/>
              <w:left w:val="nil"/>
              <w:bottom w:val="single" w:color="auto" w:sz="4" w:space="0"/>
              <w:right w:val="single" w:color="auto" w:sz="4" w:space="0"/>
            </w:tcBorders>
            <w:noWrap w:val="0"/>
            <w:vAlign w:val="center"/>
          </w:tcPr>
          <w:p w14:paraId="657C0141">
            <w:pPr>
              <w:rPr>
                <w:rFonts w:ascii="Calibri" w:hAnsi="Calibri" w:eastAsia="宋体" w:cs="Times New Roman"/>
                <w:color w:val="auto"/>
                <w:szCs w:val="22"/>
              </w:rPr>
            </w:pPr>
            <w:r>
              <w:rPr>
                <w:rFonts w:hint="eastAsia" w:ascii="Calibri" w:hAnsi="Calibri" w:eastAsia="宋体" w:cs="Times New Roman"/>
                <w:color w:val="auto"/>
                <w:szCs w:val="22"/>
              </w:rPr>
              <w:t>润滑，表面无积尘及油污，各部件固定可靠、转动灵活，电气开关正常</w:t>
            </w:r>
          </w:p>
        </w:tc>
      </w:tr>
      <w:tr w14:paraId="75FE198F">
        <w:tblPrEx>
          <w:tblCellMar>
            <w:top w:w="0" w:type="dxa"/>
            <w:left w:w="108" w:type="dxa"/>
            <w:bottom w:w="0" w:type="dxa"/>
            <w:right w:w="108" w:type="dxa"/>
          </w:tblCellMar>
        </w:tblPrEx>
        <w:trPr>
          <w:cantSplit/>
          <w:trHeight w:val="540" w:hRule="atLeast"/>
          <w:tblHeader/>
          <w:jc w:val="center"/>
        </w:trPr>
        <w:tc>
          <w:tcPr>
            <w:tcW w:w="254" w:type="pct"/>
            <w:tcBorders>
              <w:top w:val="nil"/>
              <w:left w:val="single" w:color="auto" w:sz="4" w:space="0"/>
              <w:bottom w:val="single" w:color="auto" w:sz="4" w:space="0"/>
              <w:right w:val="single" w:color="auto" w:sz="4" w:space="0"/>
            </w:tcBorders>
            <w:noWrap w:val="0"/>
            <w:vAlign w:val="center"/>
          </w:tcPr>
          <w:p w14:paraId="3361692A">
            <w:pPr>
              <w:jc w:val="center"/>
              <w:rPr>
                <w:rFonts w:ascii="Calibri" w:hAnsi="Calibri" w:eastAsia="宋体" w:cs="Times New Roman"/>
                <w:color w:val="auto"/>
                <w:szCs w:val="22"/>
              </w:rPr>
            </w:pPr>
            <w:r>
              <w:rPr>
                <w:rFonts w:hint="eastAsia" w:ascii="Calibri" w:hAnsi="Calibri" w:eastAsia="宋体" w:cs="Times New Roman"/>
                <w:color w:val="auto"/>
                <w:szCs w:val="22"/>
              </w:rPr>
              <w:t>8</w:t>
            </w:r>
          </w:p>
        </w:tc>
        <w:tc>
          <w:tcPr>
            <w:tcW w:w="853" w:type="pct"/>
            <w:tcBorders>
              <w:top w:val="nil"/>
              <w:left w:val="nil"/>
              <w:bottom w:val="single" w:color="auto" w:sz="4" w:space="0"/>
              <w:right w:val="single" w:color="auto" w:sz="4" w:space="0"/>
            </w:tcBorders>
            <w:noWrap w:val="0"/>
            <w:vAlign w:val="center"/>
          </w:tcPr>
          <w:p w14:paraId="5AFF1C06">
            <w:pPr>
              <w:rPr>
                <w:rFonts w:ascii="Calibri" w:hAnsi="Calibri" w:eastAsia="宋体" w:cs="Times New Roman"/>
                <w:color w:val="auto"/>
                <w:szCs w:val="22"/>
              </w:rPr>
            </w:pPr>
            <w:r>
              <w:rPr>
                <w:rFonts w:hint="eastAsia" w:ascii="Calibri" w:hAnsi="Calibri" w:eastAsia="宋体" w:cs="Times New Roman"/>
                <w:color w:val="auto"/>
                <w:szCs w:val="22"/>
              </w:rPr>
              <w:t>轿顶</w:t>
            </w:r>
          </w:p>
        </w:tc>
        <w:tc>
          <w:tcPr>
            <w:tcW w:w="3892" w:type="pct"/>
            <w:tcBorders>
              <w:top w:val="nil"/>
              <w:left w:val="nil"/>
              <w:bottom w:val="single" w:color="auto" w:sz="4" w:space="0"/>
              <w:right w:val="single" w:color="auto" w:sz="4" w:space="0"/>
            </w:tcBorders>
            <w:noWrap w:val="0"/>
            <w:vAlign w:val="center"/>
          </w:tcPr>
          <w:p w14:paraId="190DD8F9">
            <w:pPr>
              <w:rPr>
                <w:rFonts w:ascii="Calibri" w:hAnsi="Calibri" w:eastAsia="宋体" w:cs="Times New Roman"/>
                <w:color w:val="auto"/>
                <w:szCs w:val="22"/>
              </w:rPr>
            </w:pPr>
            <w:r>
              <w:rPr>
                <w:rFonts w:hint="eastAsia" w:ascii="Calibri" w:hAnsi="Calibri" w:eastAsia="宋体" w:cs="Times New Roman"/>
                <w:color w:val="auto"/>
                <w:szCs w:val="22"/>
              </w:rPr>
              <w:t>清洁，防护栏安全可靠；轿顶各装置电气布线整齐；轿顶照明、照明开关及防护罩齐全并良好</w:t>
            </w:r>
          </w:p>
        </w:tc>
      </w:tr>
      <w:tr w14:paraId="6B397AAA">
        <w:tblPrEx>
          <w:tblCellMar>
            <w:top w:w="0" w:type="dxa"/>
            <w:left w:w="108" w:type="dxa"/>
            <w:bottom w:w="0" w:type="dxa"/>
            <w:right w:w="108" w:type="dxa"/>
          </w:tblCellMar>
        </w:tblPrEx>
        <w:trPr>
          <w:cantSplit/>
          <w:trHeight w:val="540" w:hRule="atLeast"/>
          <w:tblHeader/>
          <w:jc w:val="center"/>
        </w:trPr>
        <w:tc>
          <w:tcPr>
            <w:tcW w:w="254" w:type="pct"/>
            <w:tcBorders>
              <w:top w:val="nil"/>
              <w:left w:val="single" w:color="auto" w:sz="4" w:space="0"/>
              <w:bottom w:val="single" w:color="auto" w:sz="4" w:space="0"/>
              <w:right w:val="single" w:color="auto" w:sz="4" w:space="0"/>
            </w:tcBorders>
            <w:noWrap w:val="0"/>
            <w:vAlign w:val="center"/>
          </w:tcPr>
          <w:p w14:paraId="62322DFB">
            <w:pPr>
              <w:jc w:val="center"/>
              <w:rPr>
                <w:rFonts w:ascii="Calibri" w:hAnsi="Calibri" w:eastAsia="宋体" w:cs="Times New Roman"/>
                <w:color w:val="auto"/>
                <w:szCs w:val="22"/>
              </w:rPr>
            </w:pPr>
            <w:r>
              <w:rPr>
                <w:rFonts w:hint="eastAsia" w:ascii="Calibri" w:hAnsi="Calibri" w:eastAsia="宋体" w:cs="Times New Roman"/>
                <w:color w:val="auto"/>
                <w:szCs w:val="22"/>
              </w:rPr>
              <w:t>9</w:t>
            </w:r>
          </w:p>
        </w:tc>
        <w:tc>
          <w:tcPr>
            <w:tcW w:w="853" w:type="pct"/>
            <w:tcBorders>
              <w:top w:val="nil"/>
              <w:left w:val="nil"/>
              <w:bottom w:val="single" w:color="auto" w:sz="4" w:space="0"/>
              <w:right w:val="single" w:color="auto" w:sz="4" w:space="0"/>
            </w:tcBorders>
            <w:noWrap w:val="0"/>
            <w:vAlign w:val="center"/>
          </w:tcPr>
          <w:p w14:paraId="296919C3">
            <w:pPr>
              <w:rPr>
                <w:rFonts w:ascii="Calibri" w:hAnsi="Calibri" w:eastAsia="宋体" w:cs="Times New Roman"/>
                <w:color w:val="auto"/>
                <w:szCs w:val="22"/>
              </w:rPr>
            </w:pPr>
            <w:r>
              <w:rPr>
                <w:rFonts w:hint="eastAsia" w:ascii="Calibri" w:hAnsi="Calibri" w:eastAsia="宋体" w:cs="Times New Roman"/>
                <w:color w:val="auto"/>
                <w:szCs w:val="22"/>
              </w:rPr>
              <w:t>轿顶检修开关、急停开关</w:t>
            </w:r>
          </w:p>
        </w:tc>
        <w:tc>
          <w:tcPr>
            <w:tcW w:w="3892" w:type="pct"/>
            <w:tcBorders>
              <w:top w:val="nil"/>
              <w:left w:val="nil"/>
              <w:bottom w:val="single" w:color="auto" w:sz="4" w:space="0"/>
              <w:right w:val="single" w:color="auto" w:sz="4" w:space="0"/>
            </w:tcBorders>
            <w:noWrap w:val="0"/>
            <w:vAlign w:val="center"/>
          </w:tcPr>
          <w:p w14:paraId="61CD2827">
            <w:pPr>
              <w:rPr>
                <w:rFonts w:ascii="Calibri" w:hAnsi="Calibri" w:eastAsia="宋体" w:cs="Times New Roman"/>
                <w:color w:val="auto"/>
                <w:szCs w:val="22"/>
              </w:rPr>
            </w:pPr>
            <w:r>
              <w:rPr>
                <w:rFonts w:hint="eastAsia" w:ascii="Calibri" w:hAnsi="Calibri" w:eastAsia="宋体" w:cs="Times New Roman"/>
                <w:color w:val="auto"/>
                <w:szCs w:val="22"/>
              </w:rPr>
              <w:t>中文标识清晰、工作正常</w:t>
            </w:r>
          </w:p>
        </w:tc>
      </w:tr>
      <w:tr w14:paraId="12E3B63B">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noWrap w:val="0"/>
            <w:vAlign w:val="center"/>
          </w:tcPr>
          <w:p w14:paraId="69392C68">
            <w:pPr>
              <w:jc w:val="center"/>
              <w:rPr>
                <w:rFonts w:ascii="Calibri" w:hAnsi="Calibri" w:eastAsia="宋体" w:cs="Times New Roman"/>
                <w:color w:val="auto"/>
                <w:szCs w:val="22"/>
              </w:rPr>
            </w:pPr>
            <w:r>
              <w:rPr>
                <w:rFonts w:hint="eastAsia" w:ascii="Calibri" w:hAnsi="Calibri" w:eastAsia="宋体" w:cs="Times New Roman"/>
                <w:color w:val="auto"/>
                <w:szCs w:val="22"/>
              </w:rPr>
              <w:t>10</w:t>
            </w:r>
          </w:p>
        </w:tc>
        <w:tc>
          <w:tcPr>
            <w:tcW w:w="853" w:type="pct"/>
            <w:tcBorders>
              <w:top w:val="nil"/>
              <w:left w:val="nil"/>
              <w:bottom w:val="single" w:color="auto" w:sz="4" w:space="0"/>
              <w:right w:val="single" w:color="auto" w:sz="4" w:space="0"/>
            </w:tcBorders>
            <w:noWrap w:val="0"/>
            <w:vAlign w:val="center"/>
          </w:tcPr>
          <w:p w14:paraId="4EE09618">
            <w:pPr>
              <w:rPr>
                <w:rFonts w:ascii="Calibri" w:hAnsi="Calibri" w:eastAsia="宋体" w:cs="Times New Roman"/>
                <w:color w:val="auto"/>
                <w:szCs w:val="22"/>
              </w:rPr>
            </w:pPr>
            <w:r>
              <w:rPr>
                <w:rFonts w:hint="eastAsia" w:ascii="Calibri" w:hAnsi="Calibri" w:eastAsia="宋体" w:cs="Times New Roman"/>
                <w:color w:val="auto"/>
                <w:szCs w:val="22"/>
              </w:rPr>
              <w:t>导靴上油杯</w:t>
            </w:r>
          </w:p>
        </w:tc>
        <w:tc>
          <w:tcPr>
            <w:tcW w:w="3892" w:type="pct"/>
            <w:tcBorders>
              <w:top w:val="nil"/>
              <w:left w:val="nil"/>
              <w:bottom w:val="single" w:color="auto" w:sz="4" w:space="0"/>
              <w:right w:val="single" w:color="auto" w:sz="4" w:space="0"/>
            </w:tcBorders>
            <w:noWrap w:val="0"/>
            <w:vAlign w:val="center"/>
          </w:tcPr>
          <w:p w14:paraId="7B4E87C3">
            <w:pPr>
              <w:rPr>
                <w:rFonts w:ascii="Calibri" w:hAnsi="Calibri" w:eastAsia="宋体" w:cs="Times New Roman"/>
                <w:color w:val="auto"/>
                <w:szCs w:val="22"/>
              </w:rPr>
            </w:pPr>
            <w:r>
              <w:rPr>
                <w:rFonts w:hint="eastAsia" w:ascii="Calibri" w:hAnsi="Calibri" w:eastAsia="宋体" w:cs="Times New Roman"/>
                <w:color w:val="auto"/>
                <w:szCs w:val="22"/>
              </w:rPr>
              <w:t>吸油毛毡齐全，油量适宜，油杯无渗漏</w:t>
            </w:r>
          </w:p>
        </w:tc>
      </w:tr>
      <w:tr w14:paraId="74B792B8">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noWrap w:val="0"/>
            <w:vAlign w:val="center"/>
          </w:tcPr>
          <w:p w14:paraId="515E62E6">
            <w:pPr>
              <w:jc w:val="center"/>
              <w:rPr>
                <w:rFonts w:ascii="Calibri" w:hAnsi="Calibri" w:eastAsia="宋体" w:cs="Times New Roman"/>
                <w:color w:val="auto"/>
                <w:szCs w:val="22"/>
              </w:rPr>
            </w:pPr>
            <w:r>
              <w:rPr>
                <w:rFonts w:hint="eastAsia" w:ascii="Calibri" w:hAnsi="Calibri" w:eastAsia="宋体" w:cs="Times New Roman"/>
                <w:color w:val="auto"/>
                <w:szCs w:val="22"/>
              </w:rPr>
              <w:t>11</w:t>
            </w:r>
          </w:p>
        </w:tc>
        <w:tc>
          <w:tcPr>
            <w:tcW w:w="853" w:type="pct"/>
            <w:tcBorders>
              <w:top w:val="nil"/>
              <w:left w:val="nil"/>
              <w:bottom w:val="single" w:color="auto" w:sz="4" w:space="0"/>
              <w:right w:val="single" w:color="auto" w:sz="4" w:space="0"/>
            </w:tcBorders>
            <w:noWrap w:val="0"/>
            <w:vAlign w:val="center"/>
          </w:tcPr>
          <w:p w14:paraId="65FB7483">
            <w:pPr>
              <w:rPr>
                <w:rFonts w:ascii="Calibri" w:hAnsi="Calibri" w:eastAsia="宋体" w:cs="Times New Roman"/>
                <w:color w:val="auto"/>
                <w:szCs w:val="22"/>
              </w:rPr>
            </w:pPr>
            <w:r>
              <w:rPr>
                <w:rFonts w:hint="eastAsia" w:ascii="Calibri" w:hAnsi="Calibri" w:eastAsia="宋体" w:cs="Times New Roman"/>
                <w:color w:val="auto"/>
                <w:szCs w:val="22"/>
              </w:rPr>
              <w:t>对重块及压板</w:t>
            </w:r>
          </w:p>
        </w:tc>
        <w:tc>
          <w:tcPr>
            <w:tcW w:w="3892" w:type="pct"/>
            <w:tcBorders>
              <w:top w:val="nil"/>
              <w:left w:val="nil"/>
              <w:bottom w:val="single" w:color="auto" w:sz="4" w:space="0"/>
              <w:right w:val="single" w:color="auto" w:sz="4" w:space="0"/>
            </w:tcBorders>
            <w:noWrap w:val="0"/>
            <w:vAlign w:val="center"/>
          </w:tcPr>
          <w:p w14:paraId="6867EA3D">
            <w:pPr>
              <w:rPr>
                <w:rFonts w:ascii="Calibri" w:hAnsi="Calibri" w:eastAsia="宋体" w:cs="Times New Roman"/>
                <w:color w:val="auto"/>
                <w:szCs w:val="22"/>
              </w:rPr>
            </w:pPr>
            <w:r>
              <w:rPr>
                <w:rFonts w:hint="eastAsia" w:ascii="Calibri" w:hAnsi="Calibri" w:eastAsia="宋体" w:cs="Times New Roman"/>
                <w:color w:val="auto"/>
                <w:szCs w:val="22"/>
              </w:rPr>
              <w:t>对重块无松动，压板紧固；非金属对重块无剥落危险</w:t>
            </w:r>
          </w:p>
        </w:tc>
      </w:tr>
      <w:tr w14:paraId="77F74AF7">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noWrap w:val="0"/>
            <w:vAlign w:val="center"/>
          </w:tcPr>
          <w:p w14:paraId="0496D299">
            <w:pPr>
              <w:jc w:val="center"/>
              <w:rPr>
                <w:rFonts w:ascii="Calibri" w:hAnsi="Calibri" w:eastAsia="宋体" w:cs="Times New Roman"/>
                <w:color w:val="auto"/>
                <w:szCs w:val="22"/>
              </w:rPr>
            </w:pPr>
            <w:r>
              <w:rPr>
                <w:rFonts w:hint="eastAsia" w:ascii="Calibri" w:hAnsi="Calibri" w:eastAsia="宋体" w:cs="Times New Roman"/>
                <w:color w:val="auto"/>
                <w:szCs w:val="22"/>
              </w:rPr>
              <w:t>12</w:t>
            </w:r>
          </w:p>
        </w:tc>
        <w:tc>
          <w:tcPr>
            <w:tcW w:w="853" w:type="pct"/>
            <w:tcBorders>
              <w:top w:val="nil"/>
              <w:left w:val="nil"/>
              <w:bottom w:val="single" w:color="auto" w:sz="4" w:space="0"/>
              <w:right w:val="single" w:color="auto" w:sz="4" w:space="0"/>
            </w:tcBorders>
            <w:noWrap w:val="0"/>
            <w:vAlign w:val="center"/>
          </w:tcPr>
          <w:p w14:paraId="23E603D3">
            <w:pPr>
              <w:rPr>
                <w:rFonts w:ascii="Calibri" w:hAnsi="Calibri" w:eastAsia="宋体" w:cs="Times New Roman"/>
                <w:color w:val="auto"/>
                <w:szCs w:val="22"/>
              </w:rPr>
            </w:pPr>
            <w:r>
              <w:rPr>
                <w:rFonts w:hint="eastAsia" w:ascii="Calibri" w:hAnsi="Calibri" w:eastAsia="宋体" w:cs="Times New Roman"/>
                <w:color w:val="auto"/>
                <w:szCs w:val="22"/>
              </w:rPr>
              <w:t>井道照明</w:t>
            </w:r>
          </w:p>
        </w:tc>
        <w:tc>
          <w:tcPr>
            <w:tcW w:w="3892" w:type="pct"/>
            <w:tcBorders>
              <w:top w:val="nil"/>
              <w:left w:val="nil"/>
              <w:bottom w:val="single" w:color="auto" w:sz="4" w:space="0"/>
              <w:right w:val="single" w:color="auto" w:sz="4" w:space="0"/>
            </w:tcBorders>
            <w:noWrap w:val="0"/>
            <w:vAlign w:val="center"/>
          </w:tcPr>
          <w:p w14:paraId="004A08D7">
            <w:pPr>
              <w:rPr>
                <w:rFonts w:ascii="Calibri" w:hAnsi="Calibri" w:eastAsia="宋体" w:cs="Times New Roman"/>
                <w:color w:val="auto"/>
                <w:szCs w:val="22"/>
              </w:rPr>
            </w:pPr>
            <w:r>
              <w:rPr>
                <w:rFonts w:hint="eastAsia" w:ascii="Calibri" w:hAnsi="Calibri" w:eastAsia="宋体" w:cs="Times New Roman"/>
                <w:color w:val="auto"/>
                <w:szCs w:val="22"/>
              </w:rPr>
              <w:t>齐全、正常</w:t>
            </w:r>
          </w:p>
        </w:tc>
      </w:tr>
      <w:tr w14:paraId="0F0B7734">
        <w:tblPrEx>
          <w:tblCellMar>
            <w:top w:w="0" w:type="dxa"/>
            <w:left w:w="108" w:type="dxa"/>
            <w:bottom w:w="0" w:type="dxa"/>
            <w:right w:w="108" w:type="dxa"/>
          </w:tblCellMar>
        </w:tblPrEx>
        <w:trPr>
          <w:cantSplit/>
          <w:trHeight w:val="540" w:hRule="atLeast"/>
          <w:tblHeader/>
          <w:jc w:val="center"/>
        </w:trPr>
        <w:tc>
          <w:tcPr>
            <w:tcW w:w="254" w:type="pct"/>
            <w:tcBorders>
              <w:top w:val="nil"/>
              <w:left w:val="single" w:color="auto" w:sz="4" w:space="0"/>
              <w:bottom w:val="single" w:color="auto" w:sz="4" w:space="0"/>
              <w:right w:val="single" w:color="auto" w:sz="4" w:space="0"/>
            </w:tcBorders>
            <w:noWrap w:val="0"/>
            <w:vAlign w:val="center"/>
          </w:tcPr>
          <w:p w14:paraId="13723471">
            <w:pPr>
              <w:jc w:val="center"/>
              <w:rPr>
                <w:rFonts w:ascii="Calibri" w:hAnsi="Calibri" w:eastAsia="宋体" w:cs="Times New Roman"/>
                <w:color w:val="auto"/>
                <w:szCs w:val="22"/>
              </w:rPr>
            </w:pPr>
            <w:r>
              <w:rPr>
                <w:rFonts w:hint="eastAsia" w:ascii="Calibri" w:hAnsi="Calibri" w:eastAsia="宋体" w:cs="Times New Roman"/>
                <w:color w:val="auto"/>
                <w:szCs w:val="22"/>
              </w:rPr>
              <w:t>13</w:t>
            </w:r>
          </w:p>
        </w:tc>
        <w:tc>
          <w:tcPr>
            <w:tcW w:w="853" w:type="pct"/>
            <w:tcBorders>
              <w:top w:val="nil"/>
              <w:left w:val="nil"/>
              <w:bottom w:val="single" w:color="auto" w:sz="4" w:space="0"/>
              <w:right w:val="single" w:color="auto" w:sz="4" w:space="0"/>
            </w:tcBorders>
            <w:noWrap w:val="0"/>
            <w:vAlign w:val="center"/>
          </w:tcPr>
          <w:p w14:paraId="12D1FBD1">
            <w:pPr>
              <w:rPr>
                <w:rFonts w:ascii="Calibri" w:hAnsi="Calibri" w:eastAsia="宋体" w:cs="Times New Roman"/>
                <w:color w:val="auto"/>
                <w:szCs w:val="22"/>
              </w:rPr>
            </w:pPr>
            <w:r>
              <w:rPr>
                <w:rFonts w:hint="eastAsia" w:ascii="Calibri" w:hAnsi="Calibri" w:eastAsia="宋体" w:cs="Times New Roman"/>
                <w:color w:val="auto"/>
                <w:szCs w:val="22"/>
              </w:rPr>
              <w:t>轿厢照明、风扇、应急照明</w:t>
            </w:r>
          </w:p>
        </w:tc>
        <w:tc>
          <w:tcPr>
            <w:tcW w:w="3892" w:type="pct"/>
            <w:tcBorders>
              <w:top w:val="nil"/>
              <w:left w:val="nil"/>
              <w:bottom w:val="single" w:color="auto" w:sz="4" w:space="0"/>
              <w:right w:val="single" w:color="auto" w:sz="4" w:space="0"/>
            </w:tcBorders>
            <w:noWrap w:val="0"/>
            <w:vAlign w:val="center"/>
          </w:tcPr>
          <w:p w14:paraId="1D612460">
            <w:pPr>
              <w:rPr>
                <w:rFonts w:ascii="Calibri" w:hAnsi="Calibri" w:eastAsia="宋体" w:cs="Times New Roman"/>
                <w:color w:val="auto"/>
                <w:szCs w:val="22"/>
              </w:rPr>
            </w:pPr>
            <w:r>
              <w:rPr>
                <w:rFonts w:hint="eastAsia" w:ascii="Calibri" w:hAnsi="Calibri" w:eastAsia="宋体" w:cs="Times New Roman"/>
                <w:color w:val="auto"/>
                <w:szCs w:val="22"/>
              </w:rPr>
              <w:t>工作正常</w:t>
            </w:r>
          </w:p>
        </w:tc>
      </w:tr>
      <w:tr w14:paraId="6848A189">
        <w:tblPrEx>
          <w:tblCellMar>
            <w:top w:w="0" w:type="dxa"/>
            <w:left w:w="108" w:type="dxa"/>
            <w:bottom w:w="0" w:type="dxa"/>
            <w:right w:w="108" w:type="dxa"/>
          </w:tblCellMar>
        </w:tblPrEx>
        <w:trPr>
          <w:cantSplit/>
          <w:trHeight w:val="540" w:hRule="atLeast"/>
          <w:tblHeader/>
          <w:jc w:val="center"/>
        </w:trPr>
        <w:tc>
          <w:tcPr>
            <w:tcW w:w="254" w:type="pct"/>
            <w:tcBorders>
              <w:top w:val="nil"/>
              <w:left w:val="single" w:color="auto" w:sz="4" w:space="0"/>
              <w:bottom w:val="single" w:color="auto" w:sz="4" w:space="0"/>
              <w:right w:val="single" w:color="auto" w:sz="4" w:space="0"/>
            </w:tcBorders>
            <w:noWrap w:val="0"/>
            <w:vAlign w:val="center"/>
          </w:tcPr>
          <w:p w14:paraId="46992E87">
            <w:pPr>
              <w:jc w:val="center"/>
              <w:rPr>
                <w:rFonts w:ascii="Calibri" w:hAnsi="Calibri" w:eastAsia="宋体" w:cs="Times New Roman"/>
                <w:color w:val="auto"/>
                <w:szCs w:val="22"/>
              </w:rPr>
            </w:pPr>
            <w:r>
              <w:rPr>
                <w:rFonts w:hint="eastAsia" w:ascii="Calibri" w:hAnsi="Calibri" w:eastAsia="宋体" w:cs="Times New Roman"/>
                <w:color w:val="auto"/>
                <w:szCs w:val="22"/>
              </w:rPr>
              <w:t>14</w:t>
            </w:r>
          </w:p>
        </w:tc>
        <w:tc>
          <w:tcPr>
            <w:tcW w:w="853" w:type="pct"/>
            <w:tcBorders>
              <w:top w:val="nil"/>
              <w:left w:val="nil"/>
              <w:bottom w:val="single" w:color="auto" w:sz="4" w:space="0"/>
              <w:right w:val="single" w:color="auto" w:sz="4" w:space="0"/>
            </w:tcBorders>
            <w:noWrap w:val="0"/>
            <w:vAlign w:val="center"/>
          </w:tcPr>
          <w:p w14:paraId="254686DB">
            <w:pPr>
              <w:rPr>
                <w:rFonts w:ascii="Calibri" w:hAnsi="Calibri" w:eastAsia="宋体" w:cs="Times New Roman"/>
                <w:color w:val="auto"/>
                <w:szCs w:val="22"/>
              </w:rPr>
            </w:pPr>
            <w:r>
              <w:rPr>
                <w:rFonts w:hint="eastAsia" w:ascii="Calibri" w:hAnsi="Calibri" w:eastAsia="宋体" w:cs="Times New Roman"/>
                <w:color w:val="auto"/>
                <w:szCs w:val="22"/>
              </w:rPr>
              <w:t>轿厢检修开关、急停开关</w:t>
            </w:r>
          </w:p>
        </w:tc>
        <w:tc>
          <w:tcPr>
            <w:tcW w:w="3892" w:type="pct"/>
            <w:tcBorders>
              <w:top w:val="nil"/>
              <w:left w:val="nil"/>
              <w:bottom w:val="single" w:color="auto" w:sz="4" w:space="0"/>
              <w:right w:val="single" w:color="auto" w:sz="4" w:space="0"/>
            </w:tcBorders>
            <w:noWrap w:val="0"/>
            <w:vAlign w:val="center"/>
          </w:tcPr>
          <w:p w14:paraId="21D6E874">
            <w:pPr>
              <w:rPr>
                <w:rFonts w:ascii="Calibri" w:hAnsi="Calibri" w:eastAsia="宋体" w:cs="Times New Roman"/>
                <w:color w:val="auto"/>
                <w:szCs w:val="22"/>
              </w:rPr>
            </w:pPr>
            <w:r>
              <w:rPr>
                <w:rFonts w:hint="eastAsia" w:ascii="Calibri" w:hAnsi="Calibri" w:eastAsia="宋体" w:cs="Times New Roman"/>
                <w:color w:val="auto"/>
                <w:szCs w:val="22"/>
              </w:rPr>
              <w:t>检修开关及上下行按钮、急停开关正常有效且符合标准，中文标识清晰</w:t>
            </w:r>
          </w:p>
        </w:tc>
      </w:tr>
      <w:tr w14:paraId="2F2153B6">
        <w:tblPrEx>
          <w:tblCellMar>
            <w:top w:w="0" w:type="dxa"/>
            <w:left w:w="108" w:type="dxa"/>
            <w:bottom w:w="0" w:type="dxa"/>
            <w:right w:w="108" w:type="dxa"/>
          </w:tblCellMar>
        </w:tblPrEx>
        <w:trPr>
          <w:cantSplit/>
          <w:trHeight w:val="540" w:hRule="atLeast"/>
          <w:tblHeader/>
          <w:jc w:val="center"/>
        </w:trPr>
        <w:tc>
          <w:tcPr>
            <w:tcW w:w="254" w:type="pct"/>
            <w:tcBorders>
              <w:top w:val="nil"/>
              <w:left w:val="single" w:color="auto" w:sz="4" w:space="0"/>
              <w:bottom w:val="single" w:color="auto" w:sz="4" w:space="0"/>
              <w:right w:val="single" w:color="auto" w:sz="4" w:space="0"/>
            </w:tcBorders>
            <w:noWrap w:val="0"/>
            <w:vAlign w:val="center"/>
          </w:tcPr>
          <w:p w14:paraId="25E16EC6">
            <w:pPr>
              <w:jc w:val="center"/>
              <w:rPr>
                <w:rFonts w:ascii="Calibri" w:hAnsi="Calibri" w:eastAsia="宋体" w:cs="Times New Roman"/>
                <w:color w:val="auto"/>
                <w:szCs w:val="22"/>
              </w:rPr>
            </w:pPr>
            <w:r>
              <w:rPr>
                <w:rFonts w:hint="eastAsia" w:ascii="Calibri" w:hAnsi="Calibri" w:eastAsia="宋体" w:cs="Times New Roman"/>
                <w:color w:val="auto"/>
                <w:szCs w:val="22"/>
              </w:rPr>
              <w:t>15</w:t>
            </w:r>
          </w:p>
        </w:tc>
        <w:tc>
          <w:tcPr>
            <w:tcW w:w="853" w:type="pct"/>
            <w:tcBorders>
              <w:top w:val="nil"/>
              <w:left w:val="nil"/>
              <w:bottom w:val="single" w:color="auto" w:sz="4" w:space="0"/>
              <w:right w:val="single" w:color="auto" w:sz="4" w:space="0"/>
            </w:tcBorders>
            <w:noWrap w:val="0"/>
            <w:vAlign w:val="center"/>
          </w:tcPr>
          <w:p w14:paraId="5F631FD7">
            <w:pPr>
              <w:rPr>
                <w:rFonts w:ascii="Calibri" w:hAnsi="Calibri" w:eastAsia="宋体" w:cs="Times New Roman"/>
                <w:color w:val="auto"/>
                <w:szCs w:val="22"/>
              </w:rPr>
            </w:pPr>
            <w:r>
              <w:rPr>
                <w:rFonts w:hint="eastAsia" w:ascii="Calibri" w:hAnsi="Calibri" w:eastAsia="宋体" w:cs="Times New Roman"/>
                <w:color w:val="auto"/>
                <w:szCs w:val="22"/>
              </w:rPr>
              <w:t>轿内报警装置、对讲系统</w:t>
            </w:r>
          </w:p>
        </w:tc>
        <w:tc>
          <w:tcPr>
            <w:tcW w:w="3892" w:type="pct"/>
            <w:tcBorders>
              <w:top w:val="nil"/>
              <w:left w:val="nil"/>
              <w:bottom w:val="single" w:color="auto" w:sz="4" w:space="0"/>
              <w:right w:val="single" w:color="auto" w:sz="4" w:space="0"/>
            </w:tcBorders>
            <w:noWrap w:val="0"/>
            <w:vAlign w:val="center"/>
          </w:tcPr>
          <w:p w14:paraId="6206949C">
            <w:pPr>
              <w:rPr>
                <w:rFonts w:ascii="Calibri" w:hAnsi="Calibri" w:eastAsia="宋体" w:cs="Times New Roman"/>
                <w:color w:val="auto"/>
                <w:szCs w:val="22"/>
              </w:rPr>
            </w:pPr>
            <w:r>
              <w:rPr>
                <w:rFonts w:hint="eastAsia" w:ascii="Calibri" w:hAnsi="Calibri" w:eastAsia="宋体" w:cs="Times New Roman"/>
                <w:color w:val="auto"/>
                <w:szCs w:val="22"/>
              </w:rPr>
              <w:t>标识清晰、工作正常；轿厢内安全检验合格标志及使用安全提示齐全</w:t>
            </w:r>
          </w:p>
        </w:tc>
      </w:tr>
      <w:tr w14:paraId="19D9C21F">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noWrap w:val="0"/>
            <w:vAlign w:val="center"/>
          </w:tcPr>
          <w:p w14:paraId="4BA33154">
            <w:pPr>
              <w:jc w:val="center"/>
              <w:rPr>
                <w:rFonts w:ascii="Calibri" w:hAnsi="Calibri" w:eastAsia="宋体" w:cs="Times New Roman"/>
                <w:color w:val="auto"/>
                <w:szCs w:val="22"/>
              </w:rPr>
            </w:pPr>
            <w:r>
              <w:rPr>
                <w:rFonts w:hint="eastAsia" w:ascii="Calibri" w:hAnsi="Calibri" w:eastAsia="宋体" w:cs="Times New Roman"/>
                <w:color w:val="auto"/>
                <w:szCs w:val="22"/>
              </w:rPr>
              <w:t>16</w:t>
            </w:r>
          </w:p>
        </w:tc>
        <w:tc>
          <w:tcPr>
            <w:tcW w:w="853" w:type="pct"/>
            <w:tcBorders>
              <w:top w:val="nil"/>
              <w:left w:val="nil"/>
              <w:bottom w:val="single" w:color="auto" w:sz="4" w:space="0"/>
              <w:right w:val="single" w:color="auto" w:sz="4" w:space="0"/>
            </w:tcBorders>
            <w:noWrap w:val="0"/>
            <w:vAlign w:val="center"/>
          </w:tcPr>
          <w:p w14:paraId="713FD9E8">
            <w:pPr>
              <w:rPr>
                <w:rFonts w:ascii="Calibri" w:hAnsi="Calibri" w:eastAsia="宋体" w:cs="Times New Roman"/>
                <w:color w:val="auto"/>
                <w:szCs w:val="22"/>
              </w:rPr>
            </w:pPr>
            <w:r>
              <w:rPr>
                <w:rFonts w:hint="eastAsia" w:ascii="Calibri" w:hAnsi="Calibri" w:eastAsia="宋体" w:cs="Times New Roman"/>
                <w:color w:val="auto"/>
                <w:szCs w:val="22"/>
              </w:rPr>
              <w:t>轿内显示、指令按钮</w:t>
            </w:r>
          </w:p>
        </w:tc>
        <w:tc>
          <w:tcPr>
            <w:tcW w:w="3892" w:type="pct"/>
            <w:tcBorders>
              <w:top w:val="nil"/>
              <w:left w:val="nil"/>
              <w:bottom w:val="single" w:color="auto" w:sz="4" w:space="0"/>
              <w:right w:val="single" w:color="auto" w:sz="4" w:space="0"/>
            </w:tcBorders>
            <w:noWrap w:val="0"/>
            <w:vAlign w:val="center"/>
          </w:tcPr>
          <w:p w14:paraId="6275DE6F">
            <w:pPr>
              <w:rPr>
                <w:rFonts w:ascii="Calibri" w:hAnsi="Calibri" w:eastAsia="宋体" w:cs="Times New Roman"/>
                <w:color w:val="auto"/>
                <w:szCs w:val="22"/>
              </w:rPr>
            </w:pPr>
            <w:r>
              <w:rPr>
                <w:rFonts w:hint="eastAsia" w:ascii="Calibri" w:hAnsi="Calibri" w:eastAsia="宋体" w:cs="Times New Roman"/>
                <w:color w:val="auto"/>
                <w:szCs w:val="22"/>
              </w:rPr>
              <w:t>齐全，表面无破损，标识清晰，功能有效</w:t>
            </w:r>
          </w:p>
        </w:tc>
      </w:tr>
      <w:tr w14:paraId="16DB462D">
        <w:tblPrEx>
          <w:tblCellMar>
            <w:top w:w="0" w:type="dxa"/>
            <w:left w:w="108" w:type="dxa"/>
            <w:bottom w:w="0" w:type="dxa"/>
            <w:right w:w="108" w:type="dxa"/>
          </w:tblCellMar>
        </w:tblPrEx>
        <w:trPr>
          <w:cantSplit/>
          <w:trHeight w:val="540" w:hRule="atLeast"/>
          <w:tblHeader/>
          <w:jc w:val="center"/>
        </w:trPr>
        <w:tc>
          <w:tcPr>
            <w:tcW w:w="254" w:type="pct"/>
            <w:tcBorders>
              <w:top w:val="nil"/>
              <w:left w:val="single" w:color="auto" w:sz="4" w:space="0"/>
              <w:bottom w:val="single" w:color="auto" w:sz="4" w:space="0"/>
              <w:right w:val="single" w:color="auto" w:sz="4" w:space="0"/>
            </w:tcBorders>
            <w:noWrap w:val="0"/>
            <w:vAlign w:val="center"/>
          </w:tcPr>
          <w:p w14:paraId="307E36DD">
            <w:pPr>
              <w:jc w:val="center"/>
              <w:rPr>
                <w:rFonts w:ascii="Calibri" w:hAnsi="Calibri" w:eastAsia="宋体" w:cs="Times New Roman"/>
                <w:color w:val="auto"/>
                <w:szCs w:val="22"/>
              </w:rPr>
            </w:pPr>
            <w:r>
              <w:rPr>
                <w:rFonts w:hint="eastAsia" w:ascii="Calibri" w:hAnsi="Calibri" w:eastAsia="宋体" w:cs="Times New Roman"/>
                <w:color w:val="auto"/>
                <w:szCs w:val="22"/>
              </w:rPr>
              <w:t>17</w:t>
            </w:r>
          </w:p>
        </w:tc>
        <w:tc>
          <w:tcPr>
            <w:tcW w:w="853" w:type="pct"/>
            <w:tcBorders>
              <w:top w:val="nil"/>
              <w:left w:val="nil"/>
              <w:bottom w:val="single" w:color="auto" w:sz="4" w:space="0"/>
              <w:right w:val="single" w:color="auto" w:sz="4" w:space="0"/>
            </w:tcBorders>
            <w:noWrap w:val="0"/>
            <w:vAlign w:val="center"/>
          </w:tcPr>
          <w:p w14:paraId="2F81D91A">
            <w:pPr>
              <w:rPr>
                <w:rFonts w:ascii="Calibri" w:hAnsi="Calibri" w:eastAsia="宋体" w:cs="Times New Roman"/>
                <w:color w:val="auto"/>
                <w:szCs w:val="22"/>
              </w:rPr>
            </w:pPr>
            <w:r>
              <w:rPr>
                <w:rFonts w:hint="eastAsia" w:ascii="Calibri" w:hAnsi="Calibri" w:eastAsia="宋体" w:cs="Times New Roman"/>
                <w:color w:val="auto"/>
                <w:szCs w:val="22"/>
              </w:rPr>
              <w:t>轿门安全装置（安全触板，光幕、光电等）</w:t>
            </w:r>
          </w:p>
        </w:tc>
        <w:tc>
          <w:tcPr>
            <w:tcW w:w="3892" w:type="pct"/>
            <w:tcBorders>
              <w:top w:val="nil"/>
              <w:left w:val="nil"/>
              <w:bottom w:val="single" w:color="auto" w:sz="4" w:space="0"/>
              <w:right w:val="single" w:color="auto" w:sz="4" w:space="0"/>
            </w:tcBorders>
            <w:noWrap w:val="0"/>
            <w:vAlign w:val="center"/>
          </w:tcPr>
          <w:p w14:paraId="440DA402">
            <w:pPr>
              <w:rPr>
                <w:rFonts w:ascii="Calibri" w:hAnsi="Calibri" w:eastAsia="宋体" w:cs="Times New Roman"/>
                <w:color w:val="auto"/>
                <w:szCs w:val="22"/>
              </w:rPr>
            </w:pPr>
            <w:r>
              <w:rPr>
                <w:rFonts w:hint="eastAsia" w:ascii="Calibri" w:hAnsi="Calibri" w:eastAsia="宋体" w:cs="Times New Roman"/>
                <w:color w:val="auto"/>
                <w:szCs w:val="22"/>
              </w:rPr>
              <w:t>安全保护装置功能有效，动作灵敏，可靠正常</w:t>
            </w:r>
          </w:p>
        </w:tc>
      </w:tr>
      <w:tr w14:paraId="28361CA5">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noWrap w:val="0"/>
            <w:vAlign w:val="center"/>
          </w:tcPr>
          <w:p w14:paraId="7AE20FD1">
            <w:pPr>
              <w:jc w:val="center"/>
              <w:rPr>
                <w:rFonts w:ascii="Calibri" w:hAnsi="Calibri" w:eastAsia="宋体" w:cs="Times New Roman"/>
                <w:color w:val="auto"/>
                <w:szCs w:val="22"/>
              </w:rPr>
            </w:pPr>
            <w:r>
              <w:rPr>
                <w:rFonts w:hint="eastAsia" w:ascii="Calibri" w:hAnsi="Calibri" w:eastAsia="宋体" w:cs="Times New Roman"/>
                <w:color w:val="auto"/>
                <w:szCs w:val="22"/>
              </w:rPr>
              <w:t>18</w:t>
            </w:r>
          </w:p>
        </w:tc>
        <w:tc>
          <w:tcPr>
            <w:tcW w:w="853" w:type="pct"/>
            <w:tcBorders>
              <w:top w:val="nil"/>
              <w:left w:val="nil"/>
              <w:bottom w:val="single" w:color="auto" w:sz="4" w:space="0"/>
              <w:right w:val="single" w:color="auto" w:sz="4" w:space="0"/>
            </w:tcBorders>
            <w:noWrap w:val="0"/>
            <w:vAlign w:val="center"/>
          </w:tcPr>
          <w:p w14:paraId="00F71FC8">
            <w:pPr>
              <w:rPr>
                <w:rFonts w:ascii="Calibri" w:hAnsi="Calibri" w:eastAsia="宋体" w:cs="Times New Roman"/>
                <w:color w:val="auto"/>
                <w:szCs w:val="22"/>
              </w:rPr>
            </w:pPr>
            <w:r>
              <w:rPr>
                <w:rFonts w:hint="eastAsia" w:ascii="Calibri" w:hAnsi="Calibri" w:eastAsia="宋体" w:cs="Times New Roman"/>
                <w:color w:val="auto"/>
                <w:szCs w:val="22"/>
              </w:rPr>
              <w:t>轿门门锁电气触点</w:t>
            </w:r>
          </w:p>
        </w:tc>
        <w:tc>
          <w:tcPr>
            <w:tcW w:w="3892" w:type="pct"/>
            <w:tcBorders>
              <w:top w:val="nil"/>
              <w:left w:val="nil"/>
              <w:bottom w:val="single" w:color="auto" w:sz="4" w:space="0"/>
              <w:right w:val="single" w:color="auto" w:sz="4" w:space="0"/>
            </w:tcBorders>
            <w:noWrap w:val="0"/>
            <w:vAlign w:val="center"/>
          </w:tcPr>
          <w:p w14:paraId="016600D7">
            <w:pPr>
              <w:rPr>
                <w:rFonts w:ascii="Calibri" w:hAnsi="Calibri" w:eastAsia="宋体" w:cs="Times New Roman"/>
                <w:color w:val="auto"/>
                <w:szCs w:val="22"/>
              </w:rPr>
            </w:pPr>
            <w:r>
              <w:rPr>
                <w:rFonts w:hint="eastAsia" w:ascii="Calibri" w:hAnsi="Calibri" w:eastAsia="宋体" w:cs="Times New Roman"/>
                <w:color w:val="auto"/>
                <w:szCs w:val="22"/>
              </w:rPr>
              <w:t>清洁,触点接触良好，接线可靠</w:t>
            </w:r>
          </w:p>
        </w:tc>
      </w:tr>
      <w:tr w14:paraId="4992B239">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noWrap w:val="0"/>
            <w:vAlign w:val="center"/>
          </w:tcPr>
          <w:p w14:paraId="72762A35">
            <w:pPr>
              <w:jc w:val="center"/>
              <w:rPr>
                <w:rFonts w:ascii="Calibri" w:hAnsi="Calibri" w:eastAsia="宋体" w:cs="Times New Roman"/>
                <w:color w:val="auto"/>
                <w:szCs w:val="22"/>
              </w:rPr>
            </w:pPr>
            <w:r>
              <w:rPr>
                <w:rFonts w:hint="eastAsia" w:ascii="Calibri" w:hAnsi="Calibri" w:eastAsia="宋体" w:cs="Times New Roman"/>
                <w:color w:val="auto"/>
                <w:szCs w:val="22"/>
              </w:rPr>
              <w:t>19</w:t>
            </w:r>
          </w:p>
        </w:tc>
        <w:tc>
          <w:tcPr>
            <w:tcW w:w="853" w:type="pct"/>
            <w:tcBorders>
              <w:top w:val="nil"/>
              <w:left w:val="nil"/>
              <w:bottom w:val="single" w:color="auto" w:sz="4" w:space="0"/>
              <w:right w:val="single" w:color="auto" w:sz="4" w:space="0"/>
            </w:tcBorders>
            <w:noWrap w:val="0"/>
            <w:vAlign w:val="center"/>
          </w:tcPr>
          <w:p w14:paraId="323F2BD9">
            <w:pPr>
              <w:rPr>
                <w:rFonts w:ascii="Calibri" w:hAnsi="Calibri" w:eastAsia="宋体" w:cs="Times New Roman"/>
                <w:color w:val="auto"/>
                <w:szCs w:val="22"/>
              </w:rPr>
            </w:pPr>
            <w:r>
              <w:rPr>
                <w:rFonts w:hint="eastAsia" w:ascii="Calibri" w:hAnsi="Calibri" w:eastAsia="宋体" w:cs="Times New Roman"/>
                <w:color w:val="auto"/>
                <w:szCs w:val="22"/>
              </w:rPr>
              <w:t>轿门运行</w:t>
            </w:r>
          </w:p>
        </w:tc>
        <w:tc>
          <w:tcPr>
            <w:tcW w:w="3892" w:type="pct"/>
            <w:tcBorders>
              <w:top w:val="nil"/>
              <w:left w:val="nil"/>
              <w:bottom w:val="single" w:color="auto" w:sz="4" w:space="0"/>
              <w:right w:val="single" w:color="auto" w:sz="4" w:space="0"/>
            </w:tcBorders>
            <w:noWrap w:val="0"/>
            <w:vAlign w:val="center"/>
          </w:tcPr>
          <w:p w14:paraId="266F9B45">
            <w:pPr>
              <w:rPr>
                <w:rFonts w:ascii="Calibri" w:hAnsi="Calibri" w:eastAsia="宋体" w:cs="Times New Roman"/>
                <w:color w:val="auto"/>
                <w:szCs w:val="22"/>
              </w:rPr>
            </w:pPr>
            <w:r>
              <w:rPr>
                <w:rFonts w:hint="eastAsia" w:ascii="Calibri" w:hAnsi="Calibri" w:eastAsia="宋体" w:cs="Times New Roman"/>
                <w:color w:val="auto"/>
                <w:szCs w:val="22"/>
              </w:rPr>
              <w:t>开启和关闭工作正常，门滑块齐全，轿门板无严重变形</w:t>
            </w:r>
          </w:p>
        </w:tc>
      </w:tr>
      <w:tr w14:paraId="326D7B67">
        <w:tblPrEx>
          <w:tblCellMar>
            <w:top w:w="0" w:type="dxa"/>
            <w:left w:w="108" w:type="dxa"/>
            <w:bottom w:w="0" w:type="dxa"/>
            <w:right w:w="108" w:type="dxa"/>
          </w:tblCellMar>
        </w:tblPrEx>
        <w:trPr>
          <w:cantSplit/>
          <w:trHeight w:val="270" w:hRule="atLeast"/>
          <w:tblHeader/>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42EFDAA7">
            <w:pPr>
              <w:jc w:val="center"/>
              <w:rPr>
                <w:rFonts w:ascii="Calibri" w:hAnsi="Calibri" w:eastAsia="宋体" w:cs="Times New Roman"/>
                <w:color w:val="auto"/>
                <w:szCs w:val="22"/>
              </w:rPr>
            </w:pPr>
            <w:r>
              <w:rPr>
                <w:rFonts w:hint="eastAsia" w:ascii="Calibri" w:hAnsi="Calibri" w:eastAsia="宋体" w:cs="Times New Roman"/>
                <w:color w:val="auto"/>
                <w:szCs w:val="22"/>
              </w:rPr>
              <w:t>20</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07826A4E">
            <w:pPr>
              <w:rPr>
                <w:rFonts w:ascii="Calibri" w:hAnsi="Calibri" w:eastAsia="宋体" w:cs="Times New Roman"/>
                <w:color w:val="auto"/>
                <w:szCs w:val="22"/>
              </w:rPr>
            </w:pPr>
            <w:r>
              <w:rPr>
                <w:rFonts w:hint="eastAsia" w:ascii="Calibri" w:hAnsi="Calibri" w:eastAsia="宋体" w:cs="Times New Roman"/>
                <w:color w:val="auto"/>
                <w:szCs w:val="22"/>
              </w:rPr>
              <w:t>轿厢平层精度</w:t>
            </w:r>
          </w:p>
        </w:tc>
        <w:tc>
          <w:tcPr>
            <w:tcW w:w="3892" w:type="pct"/>
            <w:tcBorders>
              <w:top w:val="single" w:color="auto" w:sz="4" w:space="0"/>
              <w:left w:val="single" w:color="auto" w:sz="4" w:space="0"/>
              <w:bottom w:val="single" w:color="auto" w:sz="4" w:space="0"/>
              <w:right w:val="single" w:color="auto" w:sz="4" w:space="0"/>
            </w:tcBorders>
            <w:noWrap w:val="0"/>
            <w:vAlign w:val="center"/>
          </w:tcPr>
          <w:p w14:paraId="726B384A">
            <w:pPr>
              <w:rPr>
                <w:rFonts w:ascii="Calibri" w:hAnsi="Calibri" w:eastAsia="宋体" w:cs="Times New Roman"/>
                <w:color w:val="auto"/>
                <w:szCs w:val="22"/>
              </w:rPr>
            </w:pPr>
            <w:r>
              <w:rPr>
                <w:rFonts w:hint="eastAsia" w:ascii="Calibri" w:hAnsi="Calibri" w:eastAsia="宋体" w:cs="Times New Roman"/>
                <w:color w:val="auto"/>
                <w:szCs w:val="22"/>
              </w:rPr>
              <w:t>符合标准</w:t>
            </w:r>
          </w:p>
        </w:tc>
      </w:tr>
      <w:tr w14:paraId="5D74C257">
        <w:tblPrEx>
          <w:tblCellMar>
            <w:top w:w="0" w:type="dxa"/>
            <w:left w:w="108" w:type="dxa"/>
            <w:bottom w:w="0" w:type="dxa"/>
            <w:right w:w="108" w:type="dxa"/>
          </w:tblCellMar>
        </w:tblPrEx>
        <w:trPr>
          <w:cantSplit/>
          <w:trHeight w:val="270" w:hRule="atLeast"/>
          <w:tblHeader/>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5308CFED">
            <w:pPr>
              <w:jc w:val="center"/>
              <w:rPr>
                <w:rFonts w:ascii="Calibri" w:hAnsi="Calibri" w:eastAsia="宋体" w:cs="Times New Roman"/>
                <w:color w:val="auto"/>
                <w:szCs w:val="22"/>
              </w:rPr>
            </w:pPr>
            <w:r>
              <w:rPr>
                <w:rFonts w:hint="eastAsia" w:ascii="Calibri" w:hAnsi="Calibri" w:eastAsia="宋体" w:cs="Times New Roman"/>
                <w:color w:val="auto"/>
                <w:szCs w:val="22"/>
              </w:rPr>
              <w:t>21</w:t>
            </w:r>
          </w:p>
        </w:tc>
        <w:tc>
          <w:tcPr>
            <w:tcW w:w="853" w:type="pct"/>
            <w:tcBorders>
              <w:top w:val="single" w:color="auto" w:sz="4" w:space="0"/>
              <w:left w:val="nil"/>
              <w:bottom w:val="single" w:color="auto" w:sz="4" w:space="0"/>
              <w:right w:val="single" w:color="auto" w:sz="4" w:space="0"/>
            </w:tcBorders>
            <w:noWrap w:val="0"/>
            <w:vAlign w:val="center"/>
          </w:tcPr>
          <w:p w14:paraId="3B8FD9BD">
            <w:pPr>
              <w:rPr>
                <w:rFonts w:ascii="Calibri" w:hAnsi="Calibri" w:eastAsia="宋体" w:cs="Times New Roman"/>
                <w:color w:val="auto"/>
                <w:szCs w:val="22"/>
              </w:rPr>
            </w:pPr>
            <w:r>
              <w:rPr>
                <w:rFonts w:hint="eastAsia" w:ascii="Calibri" w:hAnsi="Calibri" w:eastAsia="宋体" w:cs="Times New Roman"/>
                <w:color w:val="auto"/>
                <w:szCs w:val="22"/>
              </w:rPr>
              <w:t>层站召唤、层楼显示</w:t>
            </w:r>
          </w:p>
        </w:tc>
        <w:tc>
          <w:tcPr>
            <w:tcW w:w="3892" w:type="pct"/>
            <w:tcBorders>
              <w:top w:val="single" w:color="auto" w:sz="4" w:space="0"/>
              <w:left w:val="nil"/>
              <w:bottom w:val="single" w:color="auto" w:sz="4" w:space="0"/>
              <w:right w:val="single" w:color="auto" w:sz="4" w:space="0"/>
            </w:tcBorders>
            <w:noWrap w:val="0"/>
            <w:vAlign w:val="center"/>
          </w:tcPr>
          <w:p w14:paraId="3D3AC2BA">
            <w:pPr>
              <w:rPr>
                <w:rFonts w:ascii="Calibri" w:hAnsi="Calibri" w:eastAsia="宋体" w:cs="Times New Roman"/>
                <w:color w:val="auto"/>
                <w:szCs w:val="22"/>
              </w:rPr>
            </w:pPr>
            <w:r>
              <w:rPr>
                <w:rFonts w:hint="eastAsia" w:ascii="Calibri" w:hAnsi="Calibri" w:eastAsia="宋体" w:cs="Times New Roman"/>
                <w:color w:val="auto"/>
                <w:szCs w:val="22"/>
              </w:rPr>
              <w:t>齐全，表面无破损，标识清晰，功能有效</w:t>
            </w:r>
          </w:p>
        </w:tc>
      </w:tr>
      <w:tr w14:paraId="4D354931">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noWrap w:val="0"/>
            <w:vAlign w:val="center"/>
          </w:tcPr>
          <w:p w14:paraId="5C9F61E3">
            <w:pPr>
              <w:jc w:val="center"/>
              <w:rPr>
                <w:rFonts w:ascii="Calibri" w:hAnsi="Calibri" w:eastAsia="宋体" w:cs="Times New Roman"/>
                <w:color w:val="auto"/>
                <w:szCs w:val="22"/>
              </w:rPr>
            </w:pPr>
            <w:r>
              <w:rPr>
                <w:rFonts w:hint="eastAsia" w:ascii="Calibri" w:hAnsi="Calibri" w:eastAsia="宋体" w:cs="Times New Roman"/>
                <w:color w:val="auto"/>
                <w:szCs w:val="22"/>
              </w:rPr>
              <w:t>22</w:t>
            </w:r>
          </w:p>
        </w:tc>
        <w:tc>
          <w:tcPr>
            <w:tcW w:w="853" w:type="pct"/>
            <w:tcBorders>
              <w:top w:val="nil"/>
              <w:left w:val="nil"/>
              <w:bottom w:val="single" w:color="auto" w:sz="4" w:space="0"/>
              <w:right w:val="single" w:color="auto" w:sz="4" w:space="0"/>
            </w:tcBorders>
            <w:noWrap w:val="0"/>
            <w:vAlign w:val="center"/>
          </w:tcPr>
          <w:p w14:paraId="345343A3">
            <w:pPr>
              <w:rPr>
                <w:rFonts w:ascii="Calibri" w:hAnsi="Calibri" w:eastAsia="宋体" w:cs="Times New Roman"/>
                <w:color w:val="auto"/>
                <w:szCs w:val="22"/>
              </w:rPr>
            </w:pPr>
            <w:r>
              <w:rPr>
                <w:rFonts w:hint="eastAsia" w:ascii="Calibri" w:hAnsi="Calibri" w:eastAsia="宋体" w:cs="Times New Roman"/>
                <w:color w:val="auto"/>
                <w:szCs w:val="22"/>
              </w:rPr>
              <w:t>层门地坎</w:t>
            </w:r>
          </w:p>
        </w:tc>
        <w:tc>
          <w:tcPr>
            <w:tcW w:w="3892" w:type="pct"/>
            <w:tcBorders>
              <w:top w:val="nil"/>
              <w:left w:val="nil"/>
              <w:bottom w:val="single" w:color="auto" w:sz="4" w:space="0"/>
              <w:right w:val="single" w:color="auto" w:sz="4" w:space="0"/>
            </w:tcBorders>
            <w:noWrap w:val="0"/>
            <w:vAlign w:val="center"/>
          </w:tcPr>
          <w:p w14:paraId="0182141B">
            <w:pPr>
              <w:rPr>
                <w:rFonts w:ascii="Calibri" w:hAnsi="Calibri" w:eastAsia="宋体" w:cs="Times New Roman"/>
                <w:color w:val="auto"/>
                <w:szCs w:val="22"/>
              </w:rPr>
            </w:pPr>
            <w:r>
              <w:rPr>
                <w:rFonts w:hint="eastAsia" w:ascii="Calibri" w:hAnsi="Calibri" w:eastAsia="宋体" w:cs="Times New Roman"/>
                <w:color w:val="auto"/>
                <w:szCs w:val="22"/>
              </w:rPr>
              <w:t>清洁、固定可靠</w:t>
            </w:r>
          </w:p>
        </w:tc>
      </w:tr>
      <w:tr w14:paraId="1A72937A">
        <w:tblPrEx>
          <w:tblCellMar>
            <w:top w:w="0" w:type="dxa"/>
            <w:left w:w="108" w:type="dxa"/>
            <w:bottom w:w="0" w:type="dxa"/>
            <w:right w:w="108" w:type="dxa"/>
          </w:tblCellMar>
        </w:tblPrEx>
        <w:trPr>
          <w:cantSplit/>
          <w:trHeight w:val="540" w:hRule="atLeast"/>
          <w:tblHeader/>
          <w:jc w:val="center"/>
        </w:trPr>
        <w:tc>
          <w:tcPr>
            <w:tcW w:w="254" w:type="pct"/>
            <w:tcBorders>
              <w:top w:val="nil"/>
              <w:left w:val="single" w:color="auto" w:sz="4" w:space="0"/>
              <w:bottom w:val="single" w:color="auto" w:sz="4" w:space="0"/>
              <w:right w:val="single" w:color="auto" w:sz="4" w:space="0"/>
            </w:tcBorders>
            <w:noWrap w:val="0"/>
            <w:vAlign w:val="center"/>
          </w:tcPr>
          <w:p w14:paraId="01B64FFE">
            <w:pPr>
              <w:jc w:val="center"/>
              <w:rPr>
                <w:rFonts w:ascii="Calibri" w:hAnsi="Calibri" w:eastAsia="宋体" w:cs="Times New Roman"/>
                <w:color w:val="auto"/>
                <w:szCs w:val="22"/>
              </w:rPr>
            </w:pPr>
            <w:r>
              <w:rPr>
                <w:rFonts w:hint="eastAsia" w:ascii="Calibri" w:hAnsi="Calibri" w:eastAsia="宋体" w:cs="Times New Roman"/>
                <w:color w:val="auto"/>
                <w:szCs w:val="22"/>
              </w:rPr>
              <w:t>23</w:t>
            </w:r>
          </w:p>
        </w:tc>
        <w:tc>
          <w:tcPr>
            <w:tcW w:w="853" w:type="pct"/>
            <w:tcBorders>
              <w:top w:val="nil"/>
              <w:left w:val="nil"/>
              <w:bottom w:val="single" w:color="auto" w:sz="4" w:space="0"/>
              <w:right w:val="single" w:color="auto" w:sz="4" w:space="0"/>
            </w:tcBorders>
            <w:noWrap w:val="0"/>
            <w:vAlign w:val="center"/>
          </w:tcPr>
          <w:p w14:paraId="1DDB93C6">
            <w:pPr>
              <w:rPr>
                <w:rFonts w:ascii="Calibri" w:hAnsi="Calibri" w:eastAsia="宋体" w:cs="Times New Roman"/>
                <w:color w:val="auto"/>
                <w:szCs w:val="22"/>
              </w:rPr>
            </w:pPr>
            <w:r>
              <w:rPr>
                <w:rFonts w:hint="eastAsia" w:ascii="Calibri" w:hAnsi="Calibri" w:eastAsia="宋体" w:cs="Times New Roman"/>
                <w:color w:val="auto"/>
                <w:szCs w:val="22"/>
              </w:rPr>
              <w:t>层门自动关门装置</w:t>
            </w:r>
          </w:p>
        </w:tc>
        <w:tc>
          <w:tcPr>
            <w:tcW w:w="3892" w:type="pct"/>
            <w:tcBorders>
              <w:top w:val="nil"/>
              <w:left w:val="nil"/>
              <w:bottom w:val="single" w:color="auto" w:sz="4" w:space="0"/>
              <w:right w:val="single" w:color="auto" w:sz="4" w:space="0"/>
            </w:tcBorders>
            <w:noWrap w:val="0"/>
            <w:vAlign w:val="center"/>
          </w:tcPr>
          <w:p w14:paraId="2249253F">
            <w:pPr>
              <w:rPr>
                <w:rFonts w:ascii="Calibri" w:hAnsi="Calibri" w:eastAsia="宋体" w:cs="Times New Roman"/>
                <w:color w:val="auto"/>
                <w:szCs w:val="22"/>
              </w:rPr>
            </w:pPr>
            <w:r>
              <w:rPr>
                <w:rFonts w:hint="eastAsia" w:ascii="Calibri" w:hAnsi="Calibri" w:eastAsia="宋体" w:cs="Times New Roman"/>
                <w:color w:val="auto"/>
                <w:szCs w:val="22"/>
              </w:rPr>
              <w:t>开、关工作正常，门滑块齐全，层门板无严重变形；自动关闭装置功能有效，层门锁钩、锁臂及动作接点动作灵活</w:t>
            </w:r>
          </w:p>
        </w:tc>
      </w:tr>
      <w:tr w14:paraId="3E8FBA70">
        <w:tblPrEx>
          <w:tblCellMar>
            <w:top w:w="0" w:type="dxa"/>
            <w:left w:w="108" w:type="dxa"/>
            <w:bottom w:w="0" w:type="dxa"/>
            <w:right w:w="108" w:type="dxa"/>
          </w:tblCellMar>
        </w:tblPrEx>
        <w:trPr>
          <w:cantSplit/>
          <w:trHeight w:val="270" w:hRule="atLeast"/>
          <w:tblHeader/>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4C90AB0C">
            <w:pPr>
              <w:jc w:val="center"/>
              <w:rPr>
                <w:rFonts w:ascii="Calibri" w:hAnsi="Calibri" w:eastAsia="宋体" w:cs="Times New Roman"/>
                <w:bCs/>
                <w:color w:val="auto"/>
                <w:szCs w:val="22"/>
              </w:rPr>
            </w:pPr>
            <w:r>
              <w:rPr>
                <w:rFonts w:hint="eastAsia" w:ascii="Calibri" w:hAnsi="Calibri" w:eastAsia="宋体" w:cs="Times New Roman"/>
                <w:bCs/>
                <w:color w:val="auto"/>
                <w:szCs w:val="22"/>
              </w:rPr>
              <w:t>序号</w:t>
            </w:r>
          </w:p>
        </w:tc>
        <w:tc>
          <w:tcPr>
            <w:tcW w:w="853" w:type="pct"/>
            <w:tcBorders>
              <w:top w:val="single" w:color="auto" w:sz="4" w:space="0"/>
              <w:left w:val="nil"/>
              <w:bottom w:val="single" w:color="auto" w:sz="4" w:space="0"/>
              <w:right w:val="single" w:color="auto" w:sz="4" w:space="0"/>
            </w:tcBorders>
            <w:noWrap w:val="0"/>
            <w:vAlign w:val="center"/>
          </w:tcPr>
          <w:p w14:paraId="3F929E1A">
            <w:pPr>
              <w:rPr>
                <w:rFonts w:ascii="Calibri" w:hAnsi="Calibri" w:eastAsia="宋体" w:cs="Times New Roman"/>
                <w:bCs/>
                <w:color w:val="auto"/>
                <w:szCs w:val="22"/>
              </w:rPr>
            </w:pPr>
            <w:r>
              <w:rPr>
                <w:rFonts w:hint="eastAsia" w:ascii="Calibri" w:hAnsi="Calibri" w:eastAsia="宋体" w:cs="Times New Roman"/>
                <w:bCs/>
                <w:color w:val="auto"/>
                <w:szCs w:val="22"/>
              </w:rPr>
              <w:t>维护保养项目（内容）</w:t>
            </w:r>
          </w:p>
        </w:tc>
        <w:tc>
          <w:tcPr>
            <w:tcW w:w="3892" w:type="pct"/>
            <w:tcBorders>
              <w:top w:val="single" w:color="auto" w:sz="4" w:space="0"/>
              <w:left w:val="nil"/>
              <w:bottom w:val="single" w:color="auto" w:sz="4" w:space="0"/>
              <w:right w:val="single" w:color="auto" w:sz="4" w:space="0"/>
            </w:tcBorders>
            <w:noWrap w:val="0"/>
            <w:vAlign w:val="center"/>
          </w:tcPr>
          <w:p w14:paraId="4F152969">
            <w:pPr>
              <w:rPr>
                <w:rFonts w:ascii="Calibri" w:hAnsi="Calibri" w:eastAsia="宋体" w:cs="Times New Roman"/>
                <w:bCs/>
                <w:color w:val="auto"/>
                <w:szCs w:val="22"/>
              </w:rPr>
            </w:pPr>
            <w:r>
              <w:rPr>
                <w:rFonts w:hint="eastAsia" w:ascii="Calibri" w:hAnsi="Calibri" w:eastAsia="宋体" w:cs="Times New Roman"/>
                <w:bCs/>
                <w:color w:val="auto"/>
                <w:szCs w:val="22"/>
              </w:rPr>
              <w:t>维护保养基本要求</w:t>
            </w:r>
          </w:p>
        </w:tc>
      </w:tr>
      <w:tr w14:paraId="3D8BDFBC">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noWrap w:val="0"/>
            <w:vAlign w:val="center"/>
          </w:tcPr>
          <w:p w14:paraId="3CA857C6">
            <w:pPr>
              <w:jc w:val="center"/>
              <w:rPr>
                <w:rFonts w:ascii="Calibri" w:hAnsi="Calibri" w:eastAsia="宋体" w:cs="Times New Roman"/>
                <w:color w:val="auto"/>
                <w:szCs w:val="22"/>
              </w:rPr>
            </w:pPr>
            <w:r>
              <w:rPr>
                <w:rFonts w:hint="eastAsia" w:ascii="Calibri" w:hAnsi="Calibri" w:eastAsia="宋体" w:cs="Times New Roman"/>
                <w:color w:val="auto"/>
                <w:szCs w:val="22"/>
              </w:rPr>
              <w:t>24</w:t>
            </w:r>
          </w:p>
        </w:tc>
        <w:tc>
          <w:tcPr>
            <w:tcW w:w="853" w:type="pct"/>
            <w:tcBorders>
              <w:top w:val="nil"/>
              <w:left w:val="nil"/>
              <w:bottom w:val="single" w:color="auto" w:sz="4" w:space="0"/>
              <w:right w:val="single" w:color="auto" w:sz="4" w:space="0"/>
            </w:tcBorders>
            <w:noWrap w:val="0"/>
            <w:vAlign w:val="center"/>
          </w:tcPr>
          <w:p w14:paraId="1B689CA2">
            <w:pPr>
              <w:rPr>
                <w:rFonts w:ascii="Calibri" w:hAnsi="Calibri" w:eastAsia="宋体" w:cs="Times New Roman"/>
                <w:color w:val="auto"/>
                <w:szCs w:val="22"/>
              </w:rPr>
            </w:pPr>
            <w:r>
              <w:rPr>
                <w:rFonts w:hint="eastAsia" w:ascii="Calibri" w:hAnsi="Calibri" w:eastAsia="宋体" w:cs="Times New Roman"/>
                <w:color w:val="auto"/>
                <w:szCs w:val="22"/>
              </w:rPr>
              <w:t>层门门锁自动复位</w:t>
            </w:r>
          </w:p>
        </w:tc>
        <w:tc>
          <w:tcPr>
            <w:tcW w:w="3892" w:type="pct"/>
            <w:tcBorders>
              <w:top w:val="nil"/>
              <w:left w:val="nil"/>
              <w:bottom w:val="single" w:color="auto" w:sz="4" w:space="0"/>
              <w:right w:val="single" w:color="auto" w:sz="4" w:space="0"/>
            </w:tcBorders>
            <w:noWrap w:val="0"/>
            <w:vAlign w:val="center"/>
          </w:tcPr>
          <w:p w14:paraId="0AAF0F97">
            <w:pPr>
              <w:rPr>
                <w:rFonts w:ascii="Calibri" w:hAnsi="Calibri" w:eastAsia="宋体" w:cs="Times New Roman"/>
                <w:color w:val="auto"/>
                <w:szCs w:val="22"/>
              </w:rPr>
            </w:pPr>
            <w:r>
              <w:rPr>
                <w:rFonts w:hint="eastAsia" w:ascii="Calibri" w:hAnsi="Calibri" w:eastAsia="宋体" w:cs="Times New Roman"/>
                <w:color w:val="auto"/>
                <w:szCs w:val="22"/>
              </w:rPr>
              <w:t>用层门钥匙打开手动开锁装置释放后，层门门锁能自动复位</w:t>
            </w:r>
          </w:p>
        </w:tc>
      </w:tr>
      <w:tr w14:paraId="784641B2">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noWrap w:val="0"/>
            <w:vAlign w:val="center"/>
          </w:tcPr>
          <w:p w14:paraId="642ABCEC">
            <w:pPr>
              <w:jc w:val="center"/>
              <w:rPr>
                <w:rFonts w:ascii="Calibri" w:hAnsi="Calibri" w:eastAsia="宋体" w:cs="Times New Roman"/>
                <w:color w:val="auto"/>
                <w:szCs w:val="22"/>
              </w:rPr>
            </w:pPr>
            <w:r>
              <w:rPr>
                <w:rFonts w:hint="eastAsia" w:ascii="Calibri" w:hAnsi="Calibri" w:eastAsia="宋体" w:cs="Times New Roman"/>
                <w:color w:val="auto"/>
                <w:szCs w:val="22"/>
              </w:rPr>
              <w:t>25</w:t>
            </w:r>
          </w:p>
        </w:tc>
        <w:tc>
          <w:tcPr>
            <w:tcW w:w="853" w:type="pct"/>
            <w:tcBorders>
              <w:top w:val="nil"/>
              <w:left w:val="nil"/>
              <w:bottom w:val="single" w:color="auto" w:sz="4" w:space="0"/>
              <w:right w:val="single" w:color="auto" w:sz="4" w:space="0"/>
            </w:tcBorders>
            <w:noWrap w:val="0"/>
            <w:vAlign w:val="center"/>
          </w:tcPr>
          <w:p w14:paraId="2D214563">
            <w:pPr>
              <w:rPr>
                <w:rFonts w:ascii="Calibri" w:hAnsi="Calibri" w:eastAsia="宋体" w:cs="Times New Roman"/>
                <w:color w:val="auto"/>
                <w:szCs w:val="22"/>
              </w:rPr>
            </w:pPr>
            <w:r>
              <w:rPr>
                <w:rFonts w:hint="eastAsia" w:ascii="Calibri" w:hAnsi="Calibri" w:eastAsia="宋体" w:cs="Times New Roman"/>
                <w:color w:val="auto"/>
                <w:szCs w:val="22"/>
              </w:rPr>
              <w:t>层门门锁电气触点</w:t>
            </w:r>
          </w:p>
        </w:tc>
        <w:tc>
          <w:tcPr>
            <w:tcW w:w="3892" w:type="pct"/>
            <w:tcBorders>
              <w:top w:val="nil"/>
              <w:left w:val="nil"/>
              <w:bottom w:val="single" w:color="auto" w:sz="4" w:space="0"/>
              <w:right w:val="single" w:color="auto" w:sz="4" w:space="0"/>
            </w:tcBorders>
            <w:noWrap w:val="0"/>
            <w:vAlign w:val="center"/>
          </w:tcPr>
          <w:p w14:paraId="48AFE9B2">
            <w:pPr>
              <w:rPr>
                <w:rFonts w:ascii="Calibri" w:hAnsi="Calibri" w:eastAsia="宋体" w:cs="Times New Roman"/>
                <w:color w:val="auto"/>
                <w:szCs w:val="22"/>
              </w:rPr>
            </w:pPr>
            <w:r>
              <w:rPr>
                <w:rFonts w:hint="eastAsia" w:ascii="Calibri" w:hAnsi="Calibri" w:eastAsia="宋体" w:cs="Times New Roman"/>
                <w:color w:val="auto"/>
                <w:szCs w:val="22"/>
              </w:rPr>
              <w:t>清洁, 触点接触良好，接线可靠</w:t>
            </w:r>
          </w:p>
        </w:tc>
      </w:tr>
      <w:tr w14:paraId="2980C620">
        <w:tblPrEx>
          <w:tblCellMar>
            <w:top w:w="0" w:type="dxa"/>
            <w:left w:w="108" w:type="dxa"/>
            <w:bottom w:w="0" w:type="dxa"/>
            <w:right w:w="108" w:type="dxa"/>
          </w:tblCellMar>
        </w:tblPrEx>
        <w:trPr>
          <w:cantSplit/>
          <w:trHeight w:val="270" w:hRule="atLeast"/>
          <w:tblHeader/>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419DF035">
            <w:pPr>
              <w:jc w:val="center"/>
              <w:rPr>
                <w:rFonts w:ascii="Calibri" w:hAnsi="Calibri" w:eastAsia="宋体" w:cs="Times New Roman"/>
                <w:color w:val="auto"/>
                <w:szCs w:val="22"/>
              </w:rPr>
            </w:pPr>
            <w:r>
              <w:rPr>
                <w:rFonts w:hint="eastAsia" w:ascii="Calibri" w:hAnsi="Calibri" w:eastAsia="宋体" w:cs="Times New Roman"/>
                <w:color w:val="auto"/>
                <w:szCs w:val="22"/>
              </w:rPr>
              <w:t>26</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396AD976">
            <w:pPr>
              <w:rPr>
                <w:rFonts w:ascii="Calibri" w:hAnsi="Calibri" w:eastAsia="宋体" w:cs="Times New Roman"/>
                <w:color w:val="auto"/>
                <w:szCs w:val="22"/>
              </w:rPr>
            </w:pPr>
            <w:r>
              <w:rPr>
                <w:rFonts w:hint="eastAsia" w:ascii="Calibri" w:hAnsi="Calibri" w:eastAsia="宋体" w:cs="Times New Roman"/>
                <w:color w:val="auto"/>
                <w:szCs w:val="22"/>
              </w:rPr>
              <w:t>层门锁紧元件啮合长度</w:t>
            </w:r>
          </w:p>
        </w:tc>
        <w:tc>
          <w:tcPr>
            <w:tcW w:w="3892" w:type="pct"/>
            <w:tcBorders>
              <w:top w:val="single" w:color="auto" w:sz="4" w:space="0"/>
              <w:left w:val="single" w:color="auto" w:sz="4" w:space="0"/>
              <w:bottom w:val="single" w:color="auto" w:sz="4" w:space="0"/>
              <w:right w:val="single" w:color="auto" w:sz="4" w:space="0"/>
            </w:tcBorders>
            <w:noWrap w:val="0"/>
            <w:vAlign w:val="center"/>
          </w:tcPr>
          <w:p w14:paraId="663C17AD">
            <w:pPr>
              <w:rPr>
                <w:rFonts w:ascii="Calibri" w:hAnsi="Calibri" w:eastAsia="宋体" w:cs="Times New Roman"/>
                <w:color w:val="auto"/>
                <w:szCs w:val="22"/>
              </w:rPr>
            </w:pPr>
            <w:r>
              <w:rPr>
                <w:rFonts w:hint="eastAsia" w:ascii="Calibri" w:hAnsi="Calibri" w:eastAsia="宋体" w:cs="Times New Roman"/>
                <w:color w:val="auto"/>
                <w:szCs w:val="22"/>
              </w:rPr>
              <w:t>不小于7mm</w:t>
            </w:r>
          </w:p>
        </w:tc>
      </w:tr>
      <w:tr w14:paraId="0768A1C3">
        <w:tblPrEx>
          <w:tblCellMar>
            <w:top w:w="0" w:type="dxa"/>
            <w:left w:w="108" w:type="dxa"/>
            <w:bottom w:w="0" w:type="dxa"/>
            <w:right w:w="108" w:type="dxa"/>
          </w:tblCellMar>
        </w:tblPrEx>
        <w:trPr>
          <w:cantSplit/>
          <w:trHeight w:val="405" w:hRule="atLeast"/>
          <w:tblHeader/>
          <w:jc w:val="center"/>
        </w:trPr>
        <w:tc>
          <w:tcPr>
            <w:tcW w:w="254" w:type="pct"/>
            <w:tcBorders>
              <w:top w:val="single" w:color="auto" w:sz="4" w:space="0"/>
              <w:left w:val="single" w:color="auto" w:sz="4" w:space="0"/>
              <w:bottom w:val="single" w:color="auto" w:sz="4" w:space="0"/>
              <w:right w:val="single" w:color="auto" w:sz="4" w:space="0"/>
            </w:tcBorders>
            <w:noWrap w:val="0"/>
            <w:vAlign w:val="center"/>
          </w:tcPr>
          <w:p w14:paraId="54F5D39D">
            <w:pPr>
              <w:jc w:val="center"/>
              <w:rPr>
                <w:rFonts w:ascii="Calibri" w:hAnsi="Calibri" w:eastAsia="宋体" w:cs="Times New Roman"/>
                <w:color w:val="auto"/>
                <w:szCs w:val="22"/>
              </w:rPr>
            </w:pPr>
            <w:r>
              <w:rPr>
                <w:rFonts w:hint="eastAsia" w:ascii="Calibri" w:hAnsi="Calibri" w:eastAsia="宋体" w:cs="Times New Roman"/>
                <w:color w:val="auto"/>
                <w:szCs w:val="22"/>
              </w:rPr>
              <w:t>27</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5EAA2320">
            <w:pPr>
              <w:rPr>
                <w:rFonts w:ascii="Calibri" w:hAnsi="Calibri" w:eastAsia="宋体" w:cs="Times New Roman"/>
                <w:color w:val="auto"/>
                <w:szCs w:val="22"/>
              </w:rPr>
            </w:pPr>
            <w:r>
              <w:rPr>
                <w:rFonts w:hint="eastAsia" w:ascii="Calibri" w:hAnsi="Calibri" w:eastAsia="宋体" w:cs="Times New Roman"/>
                <w:color w:val="auto"/>
                <w:szCs w:val="22"/>
              </w:rPr>
              <w:t>底坑</w:t>
            </w:r>
          </w:p>
        </w:tc>
        <w:tc>
          <w:tcPr>
            <w:tcW w:w="3892" w:type="pct"/>
            <w:tcBorders>
              <w:top w:val="single" w:color="auto" w:sz="4" w:space="0"/>
              <w:left w:val="single" w:color="auto" w:sz="4" w:space="0"/>
              <w:bottom w:val="single" w:color="auto" w:sz="4" w:space="0"/>
              <w:right w:val="single" w:color="auto" w:sz="4" w:space="0"/>
            </w:tcBorders>
            <w:noWrap w:val="0"/>
            <w:vAlign w:val="center"/>
          </w:tcPr>
          <w:p w14:paraId="0D878BF7">
            <w:pPr>
              <w:rPr>
                <w:rFonts w:ascii="Calibri" w:hAnsi="Calibri" w:eastAsia="宋体" w:cs="Times New Roman"/>
                <w:color w:val="auto"/>
                <w:szCs w:val="22"/>
              </w:rPr>
            </w:pPr>
            <w:r>
              <w:rPr>
                <w:rFonts w:hint="eastAsia" w:ascii="Calibri" w:hAnsi="Calibri" w:eastAsia="宋体" w:cs="Times New Roman"/>
                <w:color w:val="auto"/>
                <w:szCs w:val="22"/>
              </w:rPr>
              <w:t>清洁，无渗水、积水，照明正常，底坑急停开关工作正常，功能有效</w:t>
            </w:r>
          </w:p>
        </w:tc>
      </w:tr>
    </w:tbl>
    <w:p w14:paraId="00B09268">
      <w:pPr>
        <w:rPr>
          <w:rFonts w:ascii="Calibri" w:hAnsi="Calibri" w:eastAsia="宋体" w:cs="Times New Roman"/>
          <w:bCs/>
          <w:color w:val="auto"/>
          <w:szCs w:val="22"/>
        </w:rPr>
      </w:pPr>
      <w:r>
        <w:rPr>
          <w:rFonts w:hint="eastAsia" w:ascii="Calibri" w:hAnsi="Calibri" w:eastAsia="宋体" w:cs="Times New Roman"/>
          <w:color w:val="auto"/>
          <w:szCs w:val="22"/>
        </w:rPr>
        <w:t>季度维护保养项目除符合表A-1要求时，还应符合表A-2的要求</w:t>
      </w:r>
    </w:p>
    <w:p w14:paraId="3DA8D10E">
      <w:pPr>
        <w:rPr>
          <w:rFonts w:ascii="Calibri" w:hAnsi="Calibri" w:eastAsia="宋体" w:cs="Times New Roman"/>
          <w:bCs/>
          <w:color w:val="auto"/>
          <w:szCs w:val="22"/>
        </w:rPr>
      </w:pPr>
    </w:p>
    <w:p w14:paraId="2CF063A4">
      <w:pPr>
        <w:rPr>
          <w:rFonts w:ascii="Calibri" w:hAnsi="Calibri" w:eastAsia="宋体" w:cs="Times New Roman"/>
          <w:b/>
          <w:color w:val="auto"/>
          <w:szCs w:val="22"/>
        </w:rPr>
      </w:pPr>
      <w:r>
        <w:rPr>
          <w:rFonts w:hint="eastAsia" w:ascii="Calibri" w:hAnsi="Calibri" w:eastAsia="宋体" w:cs="Times New Roman"/>
          <w:b/>
          <w:color w:val="auto"/>
          <w:szCs w:val="22"/>
        </w:rPr>
        <w:t>表A-2    季度维保项目（内容）和要求</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9"/>
        <w:gridCol w:w="1801"/>
        <w:gridCol w:w="6083"/>
      </w:tblGrid>
      <w:tr w14:paraId="49E2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58" w:type="pct"/>
            <w:noWrap w:val="0"/>
            <w:vAlign w:val="center"/>
          </w:tcPr>
          <w:p w14:paraId="2F812A5E">
            <w:pPr>
              <w:jc w:val="center"/>
              <w:rPr>
                <w:rFonts w:ascii="Calibri" w:hAnsi="Calibri" w:eastAsia="宋体" w:cs="Times New Roman"/>
                <w:bCs/>
                <w:color w:val="auto"/>
                <w:szCs w:val="22"/>
              </w:rPr>
            </w:pPr>
            <w:r>
              <w:rPr>
                <w:rFonts w:hint="eastAsia" w:ascii="Calibri" w:hAnsi="Calibri" w:eastAsia="宋体" w:cs="Times New Roman"/>
                <w:bCs/>
                <w:color w:val="auto"/>
                <w:szCs w:val="22"/>
              </w:rPr>
              <w:t>序号</w:t>
            </w:r>
          </w:p>
        </w:tc>
        <w:tc>
          <w:tcPr>
            <w:tcW w:w="1083" w:type="pct"/>
            <w:noWrap w:val="0"/>
            <w:vAlign w:val="center"/>
          </w:tcPr>
          <w:p w14:paraId="7F92CBA8">
            <w:pPr>
              <w:rPr>
                <w:rFonts w:ascii="Calibri" w:hAnsi="Calibri" w:eastAsia="宋体" w:cs="Times New Roman"/>
                <w:bCs/>
                <w:color w:val="auto"/>
                <w:szCs w:val="22"/>
              </w:rPr>
            </w:pPr>
            <w:r>
              <w:rPr>
                <w:rFonts w:hint="eastAsia" w:ascii="Calibri" w:hAnsi="Calibri" w:eastAsia="宋体" w:cs="Times New Roman"/>
                <w:bCs/>
                <w:color w:val="auto"/>
                <w:szCs w:val="22"/>
              </w:rPr>
              <w:t>维护保养项目（内容）</w:t>
            </w:r>
          </w:p>
        </w:tc>
        <w:tc>
          <w:tcPr>
            <w:tcW w:w="3658" w:type="pct"/>
            <w:noWrap w:val="0"/>
            <w:vAlign w:val="center"/>
          </w:tcPr>
          <w:p w14:paraId="3D081F74">
            <w:pPr>
              <w:rPr>
                <w:rFonts w:ascii="Calibri" w:hAnsi="Calibri" w:eastAsia="宋体" w:cs="Times New Roman"/>
                <w:bCs/>
                <w:color w:val="auto"/>
                <w:szCs w:val="22"/>
              </w:rPr>
            </w:pPr>
            <w:r>
              <w:rPr>
                <w:rFonts w:hint="eastAsia" w:ascii="Calibri" w:hAnsi="Calibri" w:eastAsia="宋体" w:cs="Times New Roman"/>
                <w:bCs/>
                <w:color w:val="auto"/>
                <w:szCs w:val="22"/>
              </w:rPr>
              <w:t>维护保养基本要求</w:t>
            </w:r>
          </w:p>
        </w:tc>
      </w:tr>
      <w:tr w14:paraId="16A1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58" w:type="pct"/>
            <w:noWrap w:val="0"/>
            <w:vAlign w:val="center"/>
          </w:tcPr>
          <w:p w14:paraId="1FC63457">
            <w:pPr>
              <w:jc w:val="center"/>
              <w:rPr>
                <w:rFonts w:ascii="Calibri" w:hAnsi="Calibri" w:eastAsia="宋体" w:cs="Times New Roman"/>
                <w:color w:val="auto"/>
                <w:szCs w:val="22"/>
              </w:rPr>
            </w:pPr>
            <w:r>
              <w:rPr>
                <w:rFonts w:hint="eastAsia" w:ascii="Calibri" w:hAnsi="Calibri" w:eastAsia="宋体" w:cs="Times New Roman"/>
                <w:color w:val="auto"/>
                <w:szCs w:val="22"/>
              </w:rPr>
              <w:t>1</w:t>
            </w:r>
          </w:p>
        </w:tc>
        <w:tc>
          <w:tcPr>
            <w:tcW w:w="1083" w:type="pct"/>
            <w:noWrap w:val="0"/>
            <w:vAlign w:val="center"/>
          </w:tcPr>
          <w:p w14:paraId="69E01A99">
            <w:pPr>
              <w:rPr>
                <w:rFonts w:ascii="Calibri" w:hAnsi="Calibri" w:eastAsia="宋体" w:cs="Times New Roman"/>
                <w:color w:val="auto"/>
                <w:szCs w:val="22"/>
              </w:rPr>
            </w:pPr>
            <w:r>
              <w:rPr>
                <w:rFonts w:hint="eastAsia" w:ascii="Calibri" w:hAnsi="Calibri" w:eastAsia="宋体" w:cs="Times New Roman"/>
                <w:color w:val="auto"/>
                <w:szCs w:val="22"/>
              </w:rPr>
              <w:t>减速机润滑油</w:t>
            </w:r>
          </w:p>
        </w:tc>
        <w:tc>
          <w:tcPr>
            <w:tcW w:w="3658" w:type="pct"/>
            <w:noWrap w:val="0"/>
            <w:vAlign w:val="center"/>
          </w:tcPr>
          <w:p w14:paraId="003CDF08">
            <w:pPr>
              <w:rPr>
                <w:rFonts w:ascii="Calibri" w:hAnsi="Calibri" w:eastAsia="宋体" w:cs="Times New Roman"/>
                <w:color w:val="auto"/>
                <w:szCs w:val="22"/>
              </w:rPr>
            </w:pPr>
            <w:r>
              <w:rPr>
                <w:rFonts w:hint="eastAsia" w:ascii="Calibri" w:hAnsi="Calibri" w:eastAsia="宋体" w:cs="Times New Roman"/>
                <w:color w:val="auto"/>
                <w:szCs w:val="22"/>
              </w:rPr>
              <w:t>油量适宜，除蜗杆伸出端外均无渗漏</w:t>
            </w:r>
          </w:p>
        </w:tc>
      </w:tr>
      <w:tr w14:paraId="25BB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58" w:type="pct"/>
            <w:noWrap w:val="0"/>
            <w:vAlign w:val="center"/>
          </w:tcPr>
          <w:p w14:paraId="77B7C514">
            <w:pPr>
              <w:jc w:val="center"/>
              <w:rPr>
                <w:rFonts w:ascii="Calibri" w:hAnsi="Calibri" w:eastAsia="宋体" w:cs="Times New Roman"/>
                <w:color w:val="auto"/>
                <w:szCs w:val="22"/>
              </w:rPr>
            </w:pPr>
            <w:r>
              <w:rPr>
                <w:rFonts w:hint="eastAsia" w:ascii="Calibri" w:hAnsi="Calibri" w:eastAsia="宋体" w:cs="Times New Roman"/>
                <w:color w:val="auto"/>
                <w:szCs w:val="22"/>
              </w:rPr>
              <w:t>2</w:t>
            </w:r>
          </w:p>
        </w:tc>
        <w:tc>
          <w:tcPr>
            <w:tcW w:w="1083" w:type="pct"/>
            <w:noWrap w:val="0"/>
            <w:vAlign w:val="center"/>
          </w:tcPr>
          <w:p w14:paraId="2489F58F">
            <w:pPr>
              <w:rPr>
                <w:rFonts w:ascii="Calibri" w:hAnsi="Calibri" w:eastAsia="宋体" w:cs="Times New Roman"/>
                <w:color w:val="auto"/>
                <w:szCs w:val="22"/>
              </w:rPr>
            </w:pPr>
            <w:r>
              <w:rPr>
                <w:rFonts w:hint="eastAsia" w:ascii="Calibri" w:hAnsi="Calibri" w:eastAsia="宋体" w:cs="Times New Roman"/>
                <w:color w:val="auto"/>
                <w:szCs w:val="22"/>
              </w:rPr>
              <w:t>制动衬</w:t>
            </w:r>
          </w:p>
        </w:tc>
        <w:tc>
          <w:tcPr>
            <w:tcW w:w="3658" w:type="pct"/>
            <w:noWrap w:val="0"/>
            <w:vAlign w:val="center"/>
          </w:tcPr>
          <w:p w14:paraId="7C87CFE3">
            <w:pPr>
              <w:rPr>
                <w:rFonts w:ascii="Calibri" w:hAnsi="Calibri" w:eastAsia="宋体" w:cs="Times New Roman"/>
                <w:color w:val="auto"/>
                <w:szCs w:val="22"/>
              </w:rPr>
            </w:pPr>
            <w:r>
              <w:rPr>
                <w:rFonts w:hint="eastAsia" w:ascii="Calibri" w:hAnsi="Calibri" w:eastAsia="宋体" w:cs="Times New Roman"/>
                <w:color w:val="auto"/>
                <w:szCs w:val="22"/>
              </w:rPr>
              <w:t>清洁，磨损量不超过制造单位要求</w:t>
            </w:r>
          </w:p>
        </w:tc>
      </w:tr>
      <w:tr w14:paraId="5C9F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58" w:type="pct"/>
            <w:noWrap w:val="0"/>
            <w:vAlign w:val="center"/>
          </w:tcPr>
          <w:p w14:paraId="79265095">
            <w:pPr>
              <w:jc w:val="center"/>
              <w:rPr>
                <w:rFonts w:ascii="Calibri" w:hAnsi="Calibri" w:eastAsia="宋体" w:cs="Times New Roman"/>
                <w:color w:val="auto"/>
                <w:szCs w:val="22"/>
              </w:rPr>
            </w:pPr>
            <w:r>
              <w:rPr>
                <w:rFonts w:hint="eastAsia" w:ascii="Calibri" w:hAnsi="Calibri" w:eastAsia="宋体" w:cs="Times New Roman"/>
                <w:color w:val="auto"/>
                <w:szCs w:val="22"/>
              </w:rPr>
              <w:t>3</w:t>
            </w:r>
          </w:p>
        </w:tc>
        <w:tc>
          <w:tcPr>
            <w:tcW w:w="1083" w:type="pct"/>
            <w:noWrap w:val="0"/>
            <w:vAlign w:val="center"/>
          </w:tcPr>
          <w:p w14:paraId="63EFC061">
            <w:pPr>
              <w:rPr>
                <w:rFonts w:ascii="Calibri" w:hAnsi="Calibri" w:eastAsia="宋体" w:cs="Times New Roman"/>
                <w:color w:val="auto"/>
                <w:szCs w:val="22"/>
              </w:rPr>
            </w:pPr>
            <w:r>
              <w:rPr>
                <w:rFonts w:hint="eastAsia" w:ascii="Calibri" w:hAnsi="Calibri" w:eastAsia="宋体" w:cs="Times New Roman"/>
                <w:color w:val="auto"/>
                <w:szCs w:val="22"/>
              </w:rPr>
              <w:t>位置脉冲发生器</w:t>
            </w:r>
          </w:p>
        </w:tc>
        <w:tc>
          <w:tcPr>
            <w:tcW w:w="3658" w:type="pct"/>
            <w:noWrap w:val="0"/>
            <w:vAlign w:val="center"/>
          </w:tcPr>
          <w:p w14:paraId="039BBB58">
            <w:pPr>
              <w:rPr>
                <w:rFonts w:ascii="Calibri" w:hAnsi="Calibri" w:eastAsia="宋体" w:cs="Times New Roman"/>
                <w:color w:val="auto"/>
                <w:szCs w:val="22"/>
              </w:rPr>
            </w:pPr>
            <w:r>
              <w:rPr>
                <w:rFonts w:hint="eastAsia" w:ascii="Calibri" w:hAnsi="Calibri" w:eastAsia="宋体" w:cs="Times New Roman"/>
                <w:color w:val="auto"/>
                <w:szCs w:val="22"/>
              </w:rPr>
              <w:t>连接牢固可靠，工作正常</w:t>
            </w:r>
          </w:p>
        </w:tc>
      </w:tr>
      <w:tr w14:paraId="069F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58" w:type="pct"/>
            <w:noWrap w:val="0"/>
            <w:vAlign w:val="center"/>
          </w:tcPr>
          <w:p w14:paraId="0DFB27EA">
            <w:pPr>
              <w:jc w:val="center"/>
              <w:rPr>
                <w:rFonts w:ascii="Calibri" w:hAnsi="Calibri" w:eastAsia="宋体" w:cs="Times New Roman"/>
                <w:color w:val="auto"/>
                <w:szCs w:val="22"/>
              </w:rPr>
            </w:pPr>
            <w:r>
              <w:rPr>
                <w:rFonts w:hint="eastAsia" w:ascii="Calibri" w:hAnsi="Calibri" w:eastAsia="宋体" w:cs="Times New Roman"/>
                <w:color w:val="auto"/>
                <w:szCs w:val="22"/>
              </w:rPr>
              <w:t>4</w:t>
            </w:r>
          </w:p>
        </w:tc>
        <w:tc>
          <w:tcPr>
            <w:tcW w:w="1083" w:type="pct"/>
            <w:noWrap w:val="0"/>
            <w:vAlign w:val="center"/>
          </w:tcPr>
          <w:p w14:paraId="2EB30BBF">
            <w:pPr>
              <w:rPr>
                <w:rFonts w:ascii="Calibri" w:hAnsi="Calibri" w:eastAsia="宋体" w:cs="Times New Roman"/>
                <w:color w:val="auto"/>
                <w:szCs w:val="22"/>
              </w:rPr>
            </w:pPr>
            <w:r>
              <w:rPr>
                <w:rFonts w:hint="eastAsia" w:ascii="Calibri" w:hAnsi="Calibri" w:eastAsia="宋体" w:cs="Times New Roman"/>
                <w:color w:val="auto"/>
                <w:szCs w:val="22"/>
              </w:rPr>
              <w:t>选层器动静触点</w:t>
            </w:r>
          </w:p>
        </w:tc>
        <w:tc>
          <w:tcPr>
            <w:tcW w:w="3658" w:type="pct"/>
            <w:noWrap w:val="0"/>
            <w:vAlign w:val="center"/>
          </w:tcPr>
          <w:p w14:paraId="112A5A19">
            <w:pPr>
              <w:rPr>
                <w:rFonts w:ascii="Calibri" w:hAnsi="Calibri" w:eastAsia="宋体" w:cs="Times New Roman"/>
                <w:color w:val="auto"/>
                <w:szCs w:val="22"/>
              </w:rPr>
            </w:pPr>
            <w:r>
              <w:rPr>
                <w:rFonts w:hint="eastAsia" w:ascii="Calibri" w:hAnsi="Calibri" w:eastAsia="宋体" w:cs="Times New Roman"/>
                <w:color w:val="auto"/>
                <w:szCs w:val="22"/>
              </w:rPr>
              <w:t>清洁，无烧蚀</w:t>
            </w:r>
          </w:p>
        </w:tc>
      </w:tr>
      <w:tr w14:paraId="2163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58" w:type="pct"/>
            <w:noWrap w:val="0"/>
            <w:vAlign w:val="center"/>
          </w:tcPr>
          <w:p w14:paraId="667D0A6A">
            <w:pPr>
              <w:jc w:val="center"/>
              <w:rPr>
                <w:rFonts w:ascii="Calibri" w:hAnsi="Calibri" w:eastAsia="宋体" w:cs="Times New Roman"/>
                <w:color w:val="auto"/>
                <w:szCs w:val="22"/>
              </w:rPr>
            </w:pPr>
            <w:r>
              <w:rPr>
                <w:rFonts w:hint="eastAsia" w:ascii="Calibri" w:hAnsi="Calibri" w:eastAsia="宋体" w:cs="Times New Roman"/>
                <w:color w:val="auto"/>
                <w:szCs w:val="22"/>
              </w:rPr>
              <w:t>5</w:t>
            </w:r>
          </w:p>
        </w:tc>
        <w:tc>
          <w:tcPr>
            <w:tcW w:w="1083" w:type="pct"/>
            <w:noWrap w:val="0"/>
            <w:vAlign w:val="center"/>
          </w:tcPr>
          <w:p w14:paraId="721252B8">
            <w:pPr>
              <w:rPr>
                <w:rFonts w:ascii="Calibri" w:hAnsi="Calibri" w:eastAsia="宋体" w:cs="Times New Roman"/>
                <w:color w:val="auto"/>
                <w:szCs w:val="22"/>
              </w:rPr>
            </w:pPr>
            <w:r>
              <w:rPr>
                <w:rFonts w:hint="eastAsia" w:ascii="Calibri" w:hAnsi="Calibri" w:eastAsia="宋体" w:cs="Times New Roman"/>
                <w:color w:val="auto"/>
                <w:szCs w:val="22"/>
              </w:rPr>
              <w:t>曳引轮槽、曳引钢丝绳</w:t>
            </w:r>
          </w:p>
        </w:tc>
        <w:tc>
          <w:tcPr>
            <w:tcW w:w="3658" w:type="pct"/>
            <w:noWrap w:val="0"/>
            <w:vAlign w:val="center"/>
          </w:tcPr>
          <w:p w14:paraId="7264352F">
            <w:pPr>
              <w:rPr>
                <w:rFonts w:ascii="Calibri" w:hAnsi="Calibri" w:eastAsia="宋体" w:cs="Times New Roman"/>
                <w:color w:val="auto"/>
                <w:szCs w:val="22"/>
              </w:rPr>
            </w:pPr>
            <w:r>
              <w:rPr>
                <w:rFonts w:hint="eastAsia" w:ascii="Calibri" w:hAnsi="Calibri" w:eastAsia="宋体" w:cs="Times New Roman"/>
                <w:color w:val="auto"/>
                <w:szCs w:val="22"/>
              </w:rPr>
              <w:t>清洁，无严重油腻，张力均匀</w:t>
            </w:r>
          </w:p>
        </w:tc>
      </w:tr>
      <w:tr w14:paraId="2396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58" w:type="pct"/>
            <w:noWrap w:val="0"/>
            <w:vAlign w:val="center"/>
          </w:tcPr>
          <w:p w14:paraId="0B6AE151">
            <w:pPr>
              <w:jc w:val="center"/>
              <w:rPr>
                <w:rFonts w:ascii="Calibri" w:hAnsi="Calibri" w:eastAsia="宋体" w:cs="Times New Roman"/>
                <w:color w:val="auto"/>
                <w:szCs w:val="22"/>
              </w:rPr>
            </w:pPr>
            <w:r>
              <w:rPr>
                <w:rFonts w:hint="eastAsia" w:ascii="Calibri" w:hAnsi="Calibri" w:eastAsia="宋体" w:cs="Times New Roman"/>
                <w:color w:val="auto"/>
                <w:szCs w:val="22"/>
              </w:rPr>
              <w:t>6</w:t>
            </w:r>
          </w:p>
        </w:tc>
        <w:tc>
          <w:tcPr>
            <w:tcW w:w="1083" w:type="pct"/>
            <w:noWrap w:val="0"/>
            <w:vAlign w:val="center"/>
          </w:tcPr>
          <w:p w14:paraId="01479AB6">
            <w:pPr>
              <w:rPr>
                <w:rFonts w:ascii="Calibri" w:hAnsi="Calibri" w:eastAsia="宋体" w:cs="Times New Roman"/>
                <w:color w:val="auto"/>
                <w:szCs w:val="22"/>
              </w:rPr>
            </w:pPr>
            <w:r>
              <w:rPr>
                <w:rFonts w:hint="eastAsia" w:ascii="Calibri" w:hAnsi="Calibri" w:eastAsia="宋体" w:cs="Times New Roman"/>
                <w:color w:val="auto"/>
                <w:szCs w:val="22"/>
              </w:rPr>
              <w:t>限速器轮槽、限速器钢丝绳</w:t>
            </w:r>
          </w:p>
        </w:tc>
        <w:tc>
          <w:tcPr>
            <w:tcW w:w="3658" w:type="pct"/>
            <w:noWrap w:val="0"/>
            <w:vAlign w:val="center"/>
          </w:tcPr>
          <w:p w14:paraId="2125818B">
            <w:pPr>
              <w:rPr>
                <w:rFonts w:ascii="Calibri" w:hAnsi="Calibri" w:eastAsia="宋体" w:cs="Times New Roman"/>
                <w:color w:val="auto"/>
                <w:szCs w:val="22"/>
              </w:rPr>
            </w:pPr>
            <w:r>
              <w:rPr>
                <w:rFonts w:hint="eastAsia" w:ascii="Calibri" w:hAnsi="Calibri" w:eastAsia="宋体" w:cs="Times New Roman"/>
                <w:color w:val="auto"/>
                <w:szCs w:val="22"/>
              </w:rPr>
              <w:t>清洁，无严重油腻</w:t>
            </w:r>
          </w:p>
        </w:tc>
      </w:tr>
      <w:tr w14:paraId="5660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58" w:type="pct"/>
            <w:noWrap w:val="0"/>
            <w:vAlign w:val="center"/>
          </w:tcPr>
          <w:p w14:paraId="04ADD5AF">
            <w:pPr>
              <w:jc w:val="center"/>
              <w:rPr>
                <w:rFonts w:ascii="Calibri" w:hAnsi="Calibri" w:eastAsia="宋体" w:cs="Times New Roman"/>
                <w:color w:val="auto"/>
                <w:szCs w:val="22"/>
              </w:rPr>
            </w:pPr>
            <w:r>
              <w:rPr>
                <w:rFonts w:hint="eastAsia" w:ascii="Calibri" w:hAnsi="Calibri" w:eastAsia="宋体" w:cs="Times New Roman"/>
                <w:color w:val="auto"/>
                <w:szCs w:val="22"/>
              </w:rPr>
              <w:t>7</w:t>
            </w:r>
          </w:p>
        </w:tc>
        <w:tc>
          <w:tcPr>
            <w:tcW w:w="1083" w:type="pct"/>
            <w:noWrap w:val="0"/>
            <w:vAlign w:val="center"/>
          </w:tcPr>
          <w:p w14:paraId="181E5E95">
            <w:pPr>
              <w:rPr>
                <w:rFonts w:ascii="Calibri" w:hAnsi="Calibri" w:eastAsia="宋体" w:cs="Times New Roman"/>
                <w:color w:val="auto"/>
                <w:szCs w:val="22"/>
              </w:rPr>
            </w:pPr>
            <w:r>
              <w:rPr>
                <w:rFonts w:hint="eastAsia" w:ascii="Calibri" w:hAnsi="Calibri" w:eastAsia="宋体" w:cs="Times New Roman"/>
                <w:color w:val="auto"/>
                <w:szCs w:val="22"/>
              </w:rPr>
              <w:t>靴衬、滚轮</w:t>
            </w:r>
          </w:p>
        </w:tc>
        <w:tc>
          <w:tcPr>
            <w:tcW w:w="3658" w:type="pct"/>
            <w:noWrap w:val="0"/>
            <w:vAlign w:val="center"/>
          </w:tcPr>
          <w:p w14:paraId="077C8C57">
            <w:pPr>
              <w:rPr>
                <w:rFonts w:ascii="Calibri" w:hAnsi="Calibri" w:eastAsia="宋体" w:cs="Times New Roman"/>
                <w:color w:val="auto"/>
                <w:szCs w:val="22"/>
              </w:rPr>
            </w:pPr>
            <w:r>
              <w:rPr>
                <w:rFonts w:hint="eastAsia" w:ascii="Calibri" w:hAnsi="Calibri" w:eastAsia="宋体" w:cs="Times New Roman"/>
                <w:color w:val="auto"/>
                <w:szCs w:val="22"/>
              </w:rPr>
              <w:t>清洁，磨损量不超过制造单位要求</w:t>
            </w:r>
          </w:p>
        </w:tc>
      </w:tr>
      <w:tr w14:paraId="4F53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exact"/>
        </w:trPr>
        <w:tc>
          <w:tcPr>
            <w:tcW w:w="258" w:type="pct"/>
            <w:noWrap w:val="0"/>
            <w:vAlign w:val="center"/>
          </w:tcPr>
          <w:p w14:paraId="01475EAF">
            <w:pPr>
              <w:jc w:val="center"/>
              <w:rPr>
                <w:rFonts w:ascii="Calibri" w:hAnsi="Calibri" w:eastAsia="宋体" w:cs="Times New Roman"/>
                <w:color w:val="auto"/>
                <w:szCs w:val="22"/>
              </w:rPr>
            </w:pPr>
            <w:r>
              <w:rPr>
                <w:rFonts w:hint="eastAsia" w:ascii="Calibri" w:hAnsi="Calibri" w:eastAsia="宋体" w:cs="Times New Roman"/>
                <w:color w:val="auto"/>
                <w:szCs w:val="22"/>
              </w:rPr>
              <w:t>8</w:t>
            </w:r>
          </w:p>
        </w:tc>
        <w:tc>
          <w:tcPr>
            <w:tcW w:w="1083" w:type="pct"/>
            <w:noWrap w:val="0"/>
            <w:vAlign w:val="center"/>
          </w:tcPr>
          <w:p w14:paraId="25EAFA33">
            <w:pPr>
              <w:rPr>
                <w:rFonts w:ascii="Calibri" w:hAnsi="Calibri" w:eastAsia="宋体" w:cs="Times New Roman"/>
                <w:color w:val="auto"/>
                <w:szCs w:val="22"/>
              </w:rPr>
            </w:pPr>
            <w:r>
              <w:rPr>
                <w:rFonts w:hint="eastAsia" w:ascii="Calibri" w:hAnsi="Calibri" w:eastAsia="宋体" w:cs="Times New Roman"/>
                <w:color w:val="auto"/>
                <w:szCs w:val="22"/>
              </w:rPr>
              <w:t>验证轿门关闭的电气安全装置</w:t>
            </w:r>
          </w:p>
        </w:tc>
        <w:tc>
          <w:tcPr>
            <w:tcW w:w="3658" w:type="pct"/>
            <w:noWrap w:val="0"/>
            <w:vAlign w:val="center"/>
          </w:tcPr>
          <w:p w14:paraId="48F4D622">
            <w:pPr>
              <w:rPr>
                <w:rFonts w:ascii="Calibri" w:hAnsi="Calibri" w:eastAsia="宋体" w:cs="Times New Roman"/>
                <w:color w:val="auto"/>
                <w:szCs w:val="22"/>
              </w:rPr>
            </w:pPr>
            <w:r>
              <w:rPr>
                <w:rFonts w:hint="eastAsia" w:ascii="Calibri" w:hAnsi="Calibri" w:eastAsia="宋体" w:cs="Times New Roman"/>
                <w:color w:val="auto"/>
                <w:szCs w:val="22"/>
              </w:rPr>
              <w:t>功能有效，工作正常</w:t>
            </w:r>
          </w:p>
        </w:tc>
      </w:tr>
      <w:tr w14:paraId="0DF7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trPr>
        <w:tc>
          <w:tcPr>
            <w:tcW w:w="258" w:type="pct"/>
            <w:noWrap w:val="0"/>
            <w:vAlign w:val="center"/>
          </w:tcPr>
          <w:p w14:paraId="21864610">
            <w:pPr>
              <w:jc w:val="center"/>
              <w:rPr>
                <w:rFonts w:ascii="Calibri" w:hAnsi="Calibri" w:eastAsia="宋体" w:cs="Times New Roman"/>
                <w:color w:val="auto"/>
                <w:szCs w:val="22"/>
              </w:rPr>
            </w:pPr>
            <w:r>
              <w:rPr>
                <w:rFonts w:hint="eastAsia" w:ascii="Calibri" w:hAnsi="Calibri" w:eastAsia="宋体" w:cs="Times New Roman"/>
                <w:color w:val="auto"/>
                <w:szCs w:val="22"/>
              </w:rPr>
              <w:t>9</w:t>
            </w:r>
          </w:p>
        </w:tc>
        <w:tc>
          <w:tcPr>
            <w:tcW w:w="1083" w:type="pct"/>
            <w:noWrap w:val="0"/>
            <w:vAlign w:val="center"/>
          </w:tcPr>
          <w:p w14:paraId="3FF63359">
            <w:pPr>
              <w:rPr>
                <w:rFonts w:ascii="Calibri" w:hAnsi="Calibri" w:eastAsia="宋体" w:cs="Times New Roman"/>
                <w:color w:val="auto"/>
                <w:szCs w:val="22"/>
              </w:rPr>
            </w:pPr>
            <w:r>
              <w:rPr>
                <w:rFonts w:hint="eastAsia" w:ascii="Calibri" w:hAnsi="Calibri" w:eastAsia="宋体" w:cs="Times New Roman"/>
                <w:color w:val="auto"/>
                <w:szCs w:val="22"/>
              </w:rPr>
              <w:t>层门、轿门系统中传动钢丝绳</w:t>
            </w:r>
          </w:p>
          <w:p w14:paraId="42E7BF30">
            <w:pPr>
              <w:rPr>
                <w:rFonts w:ascii="Calibri" w:hAnsi="Calibri" w:eastAsia="宋体" w:cs="Times New Roman"/>
                <w:color w:val="auto"/>
                <w:szCs w:val="22"/>
              </w:rPr>
            </w:pPr>
            <w:r>
              <w:rPr>
                <w:rFonts w:hint="eastAsia" w:ascii="Calibri" w:hAnsi="Calibri" w:eastAsia="宋体" w:cs="Times New Roman"/>
                <w:color w:val="auto"/>
                <w:szCs w:val="22"/>
              </w:rPr>
              <w:t>链条、胶带</w:t>
            </w:r>
          </w:p>
        </w:tc>
        <w:tc>
          <w:tcPr>
            <w:tcW w:w="3658" w:type="pct"/>
            <w:noWrap w:val="0"/>
            <w:vAlign w:val="center"/>
          </w:tcPr>
          <w:p w14:paraId="3F9B612B">
            <w:pPr>
              <w:rPr>
                <w:rFonts w:ascii="Calibri" w:hAnsi="Calibri" w:eastAsia="宋体" w:cs="Times New Roman"/>
                <w:color w:val="auto"/>
                <w:szCs w:val="22"/>
              </w:rPr>
            </w:pPr>
            <w:r>
              <w:rPr>
                <w:rFonts w:hint="eastAsia" w:ascii="Calibri" w:hAnsi="Calibri" w:eastAsia="宋体" w:cs="Times New Roman"/>
                <w:color w:val="auto"/>
                <w:szCs w:val="22"/>
              </w:rPr>
              <w:t>钢丝绳、带、链无断裂，无锈蚀，按制造单位要求进行清洁、调整</w:t>
            </w:r>
          </w:p>
        </w:tc>
      </w:tr>
      <w:tr w14:paraId="72D9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58" w:type="pct"/>
            <w:noWrap w:val="0"/>
            <w:vAlign w:val="center"/>
          </w:tcPr>
          <w:p w14:paraId="5E9F40EB">
            <w:pPr>
              <w:jc w:val="center"/>
              <w:rPr>
                <w:rFonts w:ascii="Calibri" w:hAnsi="Calibri" w:eastAsia="宋体" w:cs="Times New Roman"/>
                <w:color w:val="auto"/>
                <w:szCs w:val="22"/>
              </w:rPr>
            </w:pPr>
            <w:r>
              <w:rPr>
                <w:rFonts w:hint="eastAsia" w:ascii="Calibri" w:hAnsi="Calibri" w:eastAsia="宋体" w:cs="Times New Roman"/>
                <w:color w:val="auto"/>
                <w:szCs w:val="22"/>
              </w:rPr>
              <w:t>10</w:t>
            </w:r>
          </w:p>
        </w:tc>
        <w:tc>
          <w:tcPr>
            <w:tcW w:w="1083" w:type="pct"/>
            <w:noWrap w:val="0"/>
            <w:vAlign w:val="center"/>
          </w:tcPr>
          <w:p w14:paraId="35FA9EDF">
            <w:pPr>
              <w:rPr>
                <w:rFonts w:ascii="Calibri" w:hAnsi="Calibri" w:eastAsia="宋体" w:cs="Times New Roman"/>
                <w:color w:val="auto"/>
                <w:szCs w:val="22"/>
              </w:rPr>
            </w:pPr>
            <w:r>
              <w:rPr>
                <w:rFonts w:hint="eastAsia" w:ascii="Calibri" w:hAnsi="Calibri" w:eastAsia="宋体" w:cs="Times New Roman"/>
                <w:color w:val="auto"/>
                <w:szCs w:val="22"/>
              </w:rPr>
              <w:t>层门门导靴</w:t>
            </w:r>
          </w:p>
        </w:tc>
        <w:tc>
          <w:tcPr>
            <w:tcW w:w="3658" w:type="pct"/>
            <w:noWrap w:val="0"/>
            <w:vAlign w:val="center"/>
          </w:tcPr>
          <w:p w14:paraId="1E5C8BF9">
            <w:pPr>
              <w:rPr>
                <w:rFonts w:ascii="Calibri" w:hAnsi="Calibri" w:eastAsia="宋体" w:cs="Times New Roman"/>
                <w:color w:val="auto"/>
                <w:szCs w:val="22"/>
              </w:rPr>
            </w:pPr>
            <w:r>
              <w:rPr>
                <w:rFonts w:hint="eastAsia" w:ascii="Calibri" w:hAnsi="Calibri" w:eastAsia="宋体" w:cs="Times New Roman"/>
                <w:color w:val="auto"/>
                <w:szCs w:val="22"/>
              </w:rPr>
              <w:t>固定可靠，磨损量不超过制造单位要求</w:t>
            </w:r>
          </w:p>
        </w:tc>
      </w:tr>
      <w:tr w14:paraId="43BE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58" w:type="pct"/>
            <w:noWrap w:val="0"/>
            <w:vAlign w:val="center"/>
          </w:tcPr>
          <w:p w14:paraId="28CC5C24">
            <w:pPr>
              <w:jc w:val="center"/>
              <w:rPr>
                <w:rFonts w:ascii="Calibri" w:hAnsi="Calibri" w:eastAsia="宋体" w:cs="Times New Roman"/>
                <w:color w:val="auto"/>
                <w:szCs w:val="22"/>
              </w:rPr>
            </w:pPr>
            <w:r>
              <w:rPr>
                <w:rFonts w:hint="eastAsia" w:ascii="Calibri" w:hAnsi="Calibri" w:eastAsia="宋体" w:cs="Times New Roman"/>
                <w:color w:val="auto"/>
                <w:szCs w:val="22"/>
              </w:rPr>
              <w:t>11</w:t>
            </w:r>
          </w:p>
        </w:tc>
        <w:tc>
          <w:tcPr>
            <w:tcW w:w="1083" w:type="pct"/>
            <w:noWrap w:val="0"/>
            <w:vAlign w:val="center"/>
          </w:tcPr>
          <w:p w14:paraId="539B2CD8">
            <w:pPr>
              <w:rPr>
                <w:rFonts w:ascii="Calibri" w:hAnsi="Calibri" w:eastAsia="宋体" w:cs="Times New Roman"/>
                <w:color w:val="auto"/>
                <w:szCs w:val="22"/>
              </w:rPr>
            </w:pPr>
            <w:r>
              <w:rPr>
                <w:rFonts w:hint="eastAsia" w:ascii="Calibri" w:hAnsi="Calibri" w:eastAsia="宋体" w:cs="Times New Roman"/>
                <w:color w:val="auto"/>
                <w:szCs w:val="22"/>
              </w:rPr>
              <w:t>消防开关</w:t>
            </w:r>
          </w:p>
        </w:tc>
        <w:tc>
          <w:tcPr>
            <w:tcW w:w="3658" w:type="pct"/>
            <w:noWrap w:val="0"/>
            <w:vAlign w:val="center"/>
          </w:tcPr>
          <w:p w14:paraId="010E7AFE">
            <w:pPr>
              <w:rPr>
                <w:rFonts w:ascii="Calibri" w:hAnsi="Calibri" w:eastAsia="宋体" w:cs="Times New Roman"/>
                <w:color w:val="auto"/>
                <w:szCs w:val="22"/>
              </w:rPr>
            </w:pPr>
            <w:r>
              <w:rPr>
                <w:rFonts w:hint="eastAsia" w:ascii="Calibri" w:hAnsi="Calibri" w:eastAsia="宋体" w:cs="Times New Roman"/>
                <w:color w:val="auto"/>
                <w:szCs w:val="22"/>
              </w:rPr>
              <w:t>消防迫降和消防员专用各项功能应有效，基站消防开关应有适当防护</w:t>
            </w:r>
          </w:p>
        </w:tc>
      </w:tr>
      <w:tr w14:paraId="20F7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exact"/>
        </w:trPr>
        <w:tc>
          <w:tcPr>
            <w:tcW w:w="258" w:type="pct"/>
            <w:noWrap w:val="0"/>
            <w:vAlign w:val="center"/>
          </w:tcPr>
          <w:p w14:paraId="3A7153E9">
            <w:pPr>
              <w:jc w:val="center"/>
              <w:rPr>
                <w:rFonts w:ascii="Calibri" w:hAnsi="Calibri" w:eastAsia="宋体" w:cs="Times New Roman"/>
                <w:color w:val="auto"/>
                <w:szCs w:val="22"/>
              </w:rPr>
            </w:pPr>
            <w:r>
              <w:rPr>
                <w:rFonts w:hint="eastAsia" w:ascii="Calibri" w:hAnsi="Calibri" w:eastAsia="宋体" w:cs="Times New Roman"/>
                <w:color w:val="auto"/>
                <w:szCs w:val="22"/>
              </w:rPr>
              <w:t>12</w:t>
            </w:r>
          </w:p>
        </w:tc>
        <w:tc>
          <w:tcPr>
            <w:tcW w:w="1083" w:type="pct"/>
            <w:noWrap w:val="0"/>
            <w:vAlign w:val="center"/>
          </w:tcPr>
          <w:p w14:paraId="67AC57E5">
            <w:pPr>
              <w:rPr>
                <w:rFonts w:ascii="Calibri" w:hAnsi="Calibri" w:eastAsia="宋体" w:cs="Times New Roman"/>
                <w:color w:val="auto"/>
                <w:szCs w:val="22"/>
              </w:rPr>
            </w:pPr>
            <w:r>
              <w:rPr>
                <w:rFonts w:hint="eastAsia" w:ascii="Calibri" w:hAnsi="Calibri" w:eastAsia="宋体" w:cs="Times New Roman"/>
                <w:color w:val="auto"/>
                <w:szCs w:val="22"/>
              </w:rPr>
              <w:t>缓冲器</w:t>
            </w:r>
          </w:p>
        </w:tc>
        <w:tc>
          <w:tcPr>
            <w:tcW w:w="3658" w:type="pct"/>
            <w:noWrap w:val="0"/>
            <w:vAlign w:val="center"/>
          </w:tcPr>
          <w:p w14:paraId="1BA47A89">
            <w:pPr>
              <w:rPr>
                <w:rFonts w:ascii="Calibri" w:hAnsi="Calibri" w:eastAsia="宋体" w:cs="Times New Roman"/>
                <w:color w:val="auto"/>
                <w:szCs w:val="22"/>
              </w:rPr>
            </w:pPr>
            <w:r>
              <w:rPr>
                <w:rFonts w:hint="eastAsia" w:ascii="Calibri" w:hAnsi="Calibri" w:eastAsia="宋体" w:cs="Times New Roman"/>
                <w:color w:val="auto"/>
                <w:szCs w:val="22"/>
              </w:rPr>
              <w:t>耗能缓冲器电气安全装置功能有效，油量适宜，柱塞无锈蚀，非线性蓄能型缓冲器表面正常,无影响性能的变化，弹簧缓冲器无锈蚀</w:t>
            </w:r>
          </w:p>
        </w:tc>
      </w:tr>
      <w:tr w14:paraId="24EE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trPr>
        <w:tc>
          <w:tcPr>
            <w:tcW w:w="258" w:type="pct"/>
            <w:noWrap w:val="0"/>
            <w:vAlign w:val="center"/>
          </w:tcPr>
          <w:p w14:paraId="15039433">
            <w:pPr>
              <w:jc w:val="center"/>
              <w:rPr>
                <w:rFonts w:ascii="Calibri" w:hAnsi="Calibri" w:eastAsia="宋体" w:cs="Times New Roman"/>
                <w:color w:val="auto"/>
                <w:szCs w:val="22"/>
              </w:rPr>
            </w:pPr>
            <w:r>
              <w:rPr>
                <w:rFonts w:hint="eastAsia" w:ascii="Calibri" w:hAnsi="Calibri" w:eastAsia="宋体" w:cs="Times New Roman"/>
                <w:color w:val="auto"/>
                <w:szCs w:val="22"/>
              </w:rPr>
              <w:t>13</w:t>
            </w:r>
          </w:p>
        </w:tc>
        <w:tc>
          <w:tcPr>
            <w:tcW w:w="1083" w:type="pct"/>
            <w:noWrap w:val="0"/>
            <w:vAlign w:val="center"/>
          </w:tcPr>
          <w:p w14:paraId="743F4C86">
            <w:pPr>
              <w:rPr>
                <w:rFonts w:ascii="Calibri" w:hAnsi="Calibri" w:eastAsia="宋体" w:cs="Times New Roman"/>
                <w:color w:val="auto"/>
                <w:szCs w:val="22"/>
              </w:rPr>
            </w:pPr>
            <w:r>
              <w:rPr>
                <w:rFonts w:hint="eastAsia" w:ascii="Calibri" w:hAnsi="Calibri" w:eastAsia="宋体" w:cs="Times New Roman"/>
                <w:color w:val="auto"/>
                <w:szCs w:val="22"/>
              </w:rPr>
              <w:t>限速器张紧轮装置及其电气安全装置</w:t>
            </w:r>
          </w:p>
        </w:tc>
        <w:tc>
          <w:tcPr>
            <w:tcW w:w="3658" w:type="pct"/>
            <w:noWrap w:val="0"/>
            <w:vAlign w:val="center"/>
          </w:tcPr>
          <w:p w14:paraId="19048707">
            <w:pPr>
              <w:rPr>
                <w:rFonts w:ascii="Calibri" w:hAnsi="Calibri" w:eastAsia="宋体" w:cs="Times New Roman"/>
                <w:color w:val="auto"/>
                <w:szCs w:val="22"/>
              </w:rPr>
            </w:pPr>
            <w:r>
              <w:rPr>
                <w:rFonts w:hint="eastAsia" w:ascii="Calibri" w:hAnsi="Calibri" w:eastAsia="宋体" w:cs="Times New Roman"/>
                <w:color w:val="auto"/>
                <w:szCs w:val="22"/>
              </w:rPr>
              <w:t>清洁，工作正常</w:t>
            </w:r>
          </w:p>
        </w:tc>
      </w:tr>
    </w:tbl>
    <w:p w14:paraId="4CE4D327">
      <w:pPr>
        <w:rPr>
          <w:rFonts w:ascii="Calibri" w:hAnsi="Calibri" w:eastAsia="宋体" w:cs="Times New Roman"/>
          <w:color w:val="auto"/>
          <w:szCs w:val="22"/>
        </w:rPr>
      </w:pPr>
      <w:r>
        <w:rPr>
          <w:rFonts w:hint="eastAsia" w:ascii="Calibri" w:hAnsi="Calibri" w:eastAsia="宋体" w:cs="Times New Roman"/>
          <w:color w:val="auto"/>
          <w:szCs w:val="22"/>
        </w:rPr>
        <w:t>半年度维护保养项目除符合表A-2要求时，还应符合表A-3的要求</w:t>
      </w:r>
    </w:p>
    <w:p w14:paraId="43304356">
      <w:pPr>
        <w:rPr>
          <w:rFonts w:ascii="Calibri" w:hAnsi="Calibri" w:eastAsia="宋体" w:cs="Times New Roman"/>
          <w:bCs/>
          <w:color w:val="auto"/>
          <w:szCs w:val="22"/>
        </w:rPr>
      </w:pPr>
    </w:p>
    <w:p w14:paraId="0D76E10F">
      <w:pPr>
        <w:rPr>
          <w:rFonts w:ascii="Calibri" w:hAnsi="Calibri" w:eastAsia="宋体" w:cs="Times New Roman"/>
          <w:b/>
          <w:color w:val="auto"/>
          <w:szCs w:val="22"/>
        </w:rPr>
      </w:pPr>
      <w:r>
        <w:rPr>
          <w:rFonts w:hint="eastAsia" w:ascii="Calibri" w:hAnsi="Calibri" w:eastAsia="宋体" w:cs="Times New Roman"/>
          <w:b/>
          <w:color w:val="auto"/>
          <w:szCs w:val="22"/>
        </w:rPr>
        <w:t>表A-3    半年度维保项目（内容）和要求</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7"/>
        <w:gridCol w:w="2513"/>
        <w:gridCol w:w="5243"/>
      </w:tblGrid>
      <w:tr w14:paraId="62AD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3E85032B">
            <w:pPr>
              <w:jc w:val="center"/>
              <w:rPr>
                <w:rFonts w:ascii="Calibri" w:hAnsi="Calibri" w:eastAsia="宋体" w:cs="Times New Roman"/>
                <w:bCs/>
                <w:color w:val="auto"/>
                <w:szCs w:val="22"/>
              </w:rPr>
            </w:pPr>
            <w:r>
              <w:rPr>
                <w:rFonts w:hint="eastAsia" w:ascii="Calibri" w:hAnsi="Calibri" w:eastAsia="宋体" w:cs="Times New Roman"/>
                <w:bCs/>
                <w:color w:val="auto"/>
                <w:szCs w:val="22"/>
              </w:rPr>
              <w:t>序号</w:t>
            </w:r>
          </w:p>
        </w:tc>
        <w:tc>
          <w:tcPr>
            <w:tcW w:w="1511" w:type="pct"/>
            <w:noWrap w:val="0"/>
            <w:vAlign w:val="center"/>
          </w:tcPr>
          <w:p w14:paraId="1BECEF91">
            <w:pPr>
              <w:rPr>
                <w:rFonts w:ascii="Calibri" w:hAnsi="Calibri" w:eastAsia="宋体" w:cs="Times New Roman"/>
                <w:bCs/>
                <w:color w:val="auto"/>
                <w:szCs w:val="22"/>
              </w:rPr>
            </w:pPr>
            <w:r>
              <w:rPr>
                <w:rFonts w:hint="eastAsia" w:ascii="Calibri" w:hAnsi="Calibri" w:eastAsia="宋体" w:cs="Times New Roman"/>
                <w:bCs/>
                <w:color w:val="auto"/>
                <w:szCs w:val="22"/>
              </w:rPr>
              <w:t>维护保养项目（内容）</w:t>
            </w:r>
          </w:p>
        </w:tc>
        <w:tc>
          <w:tcPr>
            <w:tcW w:w="3152" w:type="pct"/>
            <w:noWrap w:val="0"/>
            <w:vAlign w:val="center"/>
          </w:tcPr>
          <w:p w14:paraId="7A958F88">
            <w:pPr>
              <w:rPr>
                <w:rFonts w:ascii="Calibri" w:hAnsi="Calibri" w:eastAsia="宋体" w:cs="Times New Roman"/>
                <w:bCs/>
                <w:color w:val="auto"/>
                <w:szCs w:val="22"/>
              </w:rPr>
            </w:pPr>
            <w:r>
              <w:rPr>
                <w:rFonts w:hint="eastAsia" w:ascii="Calibri" w:hAnsi="Calibri" w:eastAsia="宋体" w:cs="Times New Roman"/>
                <w:bCs/>
                <w:color w:val="auto"/>
                <w:szCs w:val="22"/>
              </w:rPr>
              <w:t>维护保养基本要求</w:t>
            </w:r>
          </w:p>
        </w:tc>
      </w:tr>
      <w:tr w14:paraId="0DAB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5F083A4F">
            <w:pPr>
              <w:jc w:val="center"/>
              <w:rPr>
                <w:rFonts w:ascii="Calibri" w:hAnsi="Calibri" w:eastAsia="宋体" w:cs="Times New Roman"/>
                <w:color w:val="auto"/>
                <w:szCs w:val="22"/>
              </w:rPr>
            </w:pPr>
            <w:r>
              <w:rPr>
                <w:rFonts w:hint="eastAsia" w:ascii="Calibri" w:hAnsi="Calibri" w:eastAsia="宋体" w:cs="Times New Roman"/>
                <w:color w:val="auto"/>
                <w:szCs w:val="22"/>
              </w:rPr>
              <w:t>1</w:t>
            </w:r>
          </w:p>
        </w:tc>
        <w:tc>
          <w:tcPr>
            <w:tcW w:w="1511" w:type="pct"/>
            <w:noWrap w:val="0"/>
            <w:vAlign w:val="center"/>
          </w:tcPr>
          <w:p w14:paraId="0E81DF51">
            <w:pPr>
              <w:rPr>
                <w:rFonts w:ascii="Calibri" w:hAnsi="Calibri" w:eastAsia="宋体" w:cs="Times New Roman"/>
                <w:color w:val="auto"/>
                <w:szCs w:val="22"/>
              </w:rPr>
            </w:pPr>
            <w:r>
              <w:rPr>
                <w:rFonts w:hint="eastAsia" w:ascii="Calibri" w:hAnsi="Calibri" w:eastAsia="宋体" w:cs="Times New Roman"/>
                <w:color w:val="auto"/>
                <w:szCs w:val="22"/>
              </w:rPr>
              <w:t>电动机与减速机联轴器螺栓</w:t>
            </w:r>
          </w:p>
        </w:tc>
        <w:tc>
          <w:tcPr>
            <w:tcW w:w="3152" w:type="pct"/>
            <w:noWrap w:val="0"/>
            <w:vAlign w:val="center"/>
          </w:tcPr>
          <w:p w14:paraId="42A4E915">
            <w:pPr>
              <w:rPr>
                <w:rFonts w:ascii="Calibri" w:hAnsi="Calibri" w:eastAsia="宋体" w:cs="Times New Roman"/>
                <w:color w:val="auto"/>
                <w:szCs w:val="22"/>
              </w:rPr>
            </w:pPr>
            <w:r>
              <w:rPr>
                <w:rFonts w:hint="eastAsia" w:ascii="Calibri" w:hAnsi="Calibri" w:eastAsia="宋体" w:cs="Times New Roman"/>
                <w:color w:val="auto"/>
                <w:szCs w:val="22"/>
              </w:rPr>
              <w:t>无松动，连接良好</w:t>
            </w:r>
          </w:p>
        </w:tc>
      </w:tr>
      <w:tr w14:paraId="0B19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034790F5">
            <w:pPr>
              <w:jc w:val="center"/>
              <w:rPr>
                <w:rFonts w:ascii="Calibri" w:hAnsi="Calibri" w:eastAsia="宋体" w:cs="Times New Roman"/>
                <w:color w:val="auto"/>
                <w:szCs w:val="22"/>
              </w:rPr>
            </w:pPr>
            <w:r>
              <w:rPr>
                <w:rFonts w:hint="eastAsia" w:ascii="Calibri" w:hAnsi="Calibri" w:eastAsia="宋体" w:cs="Times New Roman"/>
                <w:color w:val="auto"/>
                <w:szCs w:val="22"/>
              </w:rPr>
              <w:t>2</w:t>
            </w:r>
          </w:p>
        </w:tc>
        <w:tc>
          <w:tcPr>
            <w:tcW w:w="1511" w:type="pct"/>
            <w:noWrap w:val="0"/>
            <w:vAlign w:val="center"/>
          </w:tcPr>
          <w:p w14:paraId="491D95E7">
            <w:pPr>
              <w:rPr>
                <w:rFonts w:ascii="Calibri" w:hAnsi="Calibri" w:eastAsia="宋体" w:cs="Times New Roman"/>
                <w:color w:val="auto"/>
                <w:szCs w:val="22"/>
              </w:rPr>
            </w:pPr>
            <w:r>
              <w:rPr>
                <w:rFonts w:hint="eastAsia" w:ascii="Calibri" w:hAnsi="Calibri" w:eastAsia="宋体" w:cs="Times New Roman"/>
                <w:color w:val="auto"/>
                <w:szCs w:val="22"/>
              </w:rPr>
              <w:t>曳引轮、导向轮轴承部</w:t>
            </w:r>
          </w:p>
        </w:tc>
        <w:tc>
          <w:tcPr>
            <w:tcW w:w="3152" w:type="pct"/>
            <w:noWrap w:val="0"/>
            <w:vAlign w:val="center"/>
          </w:tcPr>
          <w:p w14:paraId="1CEB21CA">
            <w:pPr>
              <w:rPr>
                <w:rFonts w:ascii="Calibri" w:hAnsi="Calibri" w:eastAsia="宋体" w:cs="Times New Roman"/>
                <w:color w:val="auto"/>
                <w:szCs w:val="22"/>
              </w:rPr>
            </w:pPr>
            <w:r>
              <w:rPr>
                <w:rFonts w:hint="eastAsia" w:ascii="Calibri" w:hAnsi="Calibri" w:eastAsia="宋体" w:cs="Times New Roman"/>
                <w:color w:val="auto"/>
                <w:szCs w:val="22"/>
              </w:rPr>
              <w:t>无异常声，无振动，润滑良好</w:t>
            </w:r>
          </w:p>
        </w:tc>
      </w:tr>
      <w:tr w14:paraId="5088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67F2660D">
            <w:pPr>
              <w:jc w:val="center"/>
              <w:rPr>
                <w:rFonts w:ascii="Calibri" w:hAnsi="Calibri" w:eastAsia="宋体" w:cs="Times New Roman"/>
                <w:color w:val="auto"/>
                <w:szCs w:val="22"/>
              </w:rPr>
            </w:pPr>
            <w:r>
              <w:rPr>
                <w:rFonts w:hint="eastAsia" w:ascii="Calibri" w:hAnsi="Calibri" w:eastAsia="宋体" w:cs="Times New Roman"/>
                <w:color w:val="auto"/>
                <w:szCs w:val="22"/>
              </w:rPr>
              <w:t>3</w:t>
            </w:r>
          </w:p>
        </w:tc>
        <w:tc>
          <w:tcPr>
            <w:tcW w:w="1511" w:type="pct"/>
            <w:noWrap w:val="0"/>
            <w:vAlign w:val="center"/>
          </w:tcPr>
          <w:p w14:paraId="02D27722">
            <w:pPr>
              <w:rPr>
                <w:rFonts w:ascii="Calibri" w:hAnsi="Calibri" w:eastAsia="宋体" w:cs="Times New Roman"/>
                <w:color w:val="auto"/>
                <w:szCs w:val="22"/>
              </w:rPr>
            </w:pPr>
            <w:r>
              <w:rPr>
                <w:rFonts w:hint="eastAsia" w:ascii="Calibri" w:hAnsi="Calibri" w:eastAsia="宋体" w:cs="Times New Roman"/>
                <w:color w:val="auto"/>
                <w:szCs w:val="22"/>
              </w:rPr>
              <w:t>曳引轮槽</w:t>
            </w:r>
          </w:p>
        </w:tc>
        <w:tc>
          <w:tcPr>
            <w:tcW w:w="3152" w:type="pct"/>
            <w:noWrap w:val="0"/>
            <w:vAlign w:val="center"/>
          </w:tcPr>
          <w:p w14:paraId="433A161F">
            <w:pPr>
              <w:rPr>
                <w:rFonts w:ascii="Calibri" w:hAnsi="Calibri" w:eastAsia="宋体" w:cs="Times New Roman"/>
                <w:color w:val="auto"/>
                <w:szCs w:val="22"/>
              </w:rPr>
            </w:pPr>
            <w:r>
              <w:rPr>
                <w:rFonts w:hint="eastAsia" w:ascii="Calibri" w:hAnsi="Calibri" w:eastAsia="宋体" w:cs="Times New Roman"/>
                <w:color w:val="auto"/>
                <w:szCs w:val="22"/>
              </w:rPr>
              <w:t>磨损量不超过制造单位要求，无油腻，各绳槽磨损均匀</w:t>
            </w:r>
          </w:p>
        </w:tc>
      </w:tr>
      <w:tr w14:paraId="1200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22B94BCC">
            <w:pPr>
              <w:jc w:val="center"/>
              <w:rPr>
                <w:rFonts w:ascii="Calibri" w:hAnsi="Calibri" w:eastAsia="宋体" w:cs="Times New Roman"/>
                <w:color w:val="auto"/>
                <w:szCs w:val="22"/>
              </w:rPr>
            </w:pPr>
            <w:r>
              <w:rPr>
                <w:rFonts w:hint="eastAsia" w:ascii="Calibri" w:hAnsi="Calibri" w:eastAsia="宋体" w:cs="Times New Roman"/>
                <w:color w:val="auto"/>
                <w:szCs w:val="22"/>
              </w:rPr>
              <w:t>4</w:t>
            </w:r>
          </w:p>
        </w:tc>
        <w:tc>
          <w:tcPr>
            <w:tcW w:w="1511" w:type="pct"/>
            <w:noWrap w:val="0"/>
            <w:vAlign w:val="center"/>
          </w:tcPr>
          <w:p w14:paraId="455C9D24">
            <w:pPr>
              <w:rPr>
                <w:rFonts w:ascii="Calibri" w:hAnsi="Calibri" w:eastAsia="宋体" w:cs="Times New Roman"/>
                <w:color w:val="auto"/>
                <w:szCs w:val="22"/>
              </w:rPr>
            </w:pPr>
            <w:r>
              <w:rPr>
                <w:rFonts w:hint="eastAsia" w:ascii="Calibri" w:hAnsi="Calibri" w:eastAsia="宋体" w:cs="Times New Roman"/>
                <w:color w:val="auto"/>
                <w:szCs w:val="22"/>
              </w:rPr>
              <w:t>制动器上检测开关</w:t>
            </w:r>
          </w:p>
        </w:tc>
        <w:tc>
          <w:tcPr>
            <w:tcW w:w="3152" w:type="pct"/>
            <w:noWrap w:val="0"/>
            <w:vAlign w:val="center"/>
          </w:tcPr>
          <w:p w14:paraId="26CF7003">
            <w:pPr>
              <w:rPr>
                <w:rFonts w:ascii="Calibri" w:hAnsi="Calibri" w:eastAsia="宋体" w:cs="Times New Roman"/>
                <w:color w:val="auto"/>
                <w:szCs w:val="22"/>
              </w:rPr>
            </w:pPr>
            <w:r>
              <w:rPr>
                <w:rFonts w:hint="eastAsia" w:ascii="Calibri" w:hAnsi="Calibri" w:eastAsia="宋体" w:cs="Times New Roman"/>
                <w:color w:val="auto"/>
                <w:szCs w:val="22"/>
              </w:rPr>
              <w:t>工作正常，制动器动作可靠</w:t>
            </w:r>
          </w:p>
        </w:tc>
      </w:tr>
      <w:tr w14:paraId="13A3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6FA5EE99">
            <w:pPr>
              <w:jc w:val="center"/>
              <w:rPr>
                <w:rFonts w:ascii="Calibri" w:hAnsi="Calibri" w:eastAsia="宋体" w:cs="Times New Roman"/>
                <w:color w:val="auto"/>
                <w:szCs w:val="22"/>
              </w:rPr>
            </w:pPr>
            <w:r>
              <w:rPr>
                <w:rFonts w:hint="eastAsia" w:ascii="Calibri" w:hAnsi="Calibri" w:eastAsia="宋体" w:cs="Times New Roman"/>
                <w:color w:val="auto"/>
                <w:szCs w:val="22"/>
              </w:rPr>
              <w:t>5</w:t>
            </w:r>
          </w:p>
        </w:tc>
        <w:tc>
          <w:tcPr>
            <w:tcW w:w="1511" w:type="pct"/>
            <w:noWrap w:val="0"/>
            <w:vAlign w:val="center"/>
          </w:tcPr>
          <w:p w14:paraId="6A09CA98">
            <w:pPr>
              <w:rPr>
                <w:rFonts w:ascii="Calibri" w:hAnsi="Calibri" w:eastAsia="宋体" w:cs="Times New Roman"/>
                <w:color w:val="auto"/>
                <w:szCs w:val="22"/>
              </w:rPr>
            </w:pPr>
            <w:r>
              <w:rPr>
                <w:rFonts w:hint="eastAsia" w:ascii="Calibri" w:hAnsi="Calibri" w:eastAsia="宋体" w:cs="Times New Roman"/>
                <w:color w:val="auto"/>
                <w:szCs w:val="22"/>
              </w:rPr>
              <w:t>控制柜内各接线端子</w:t>
            </w:r>
          </w:p>
        </w:tc>
        <w:tc>
          <w:tcPr>
            <w:tcW w:w="3152" w:type="pct"/>
            <w:noWrap w:val="0"/>
            <w:vAlign w:val="center"/>
          </w:tcPr>
          <w:p w14:paraId="00ECF07E">
            <w:pPr>
              <w:rPr>
                <w:rFonts w:ascii="Calibri" w:hAnsi="Calibri" w:eastAsia="宋体" w:cs="Times New Roman"/>
                <w:color w:val="auto"/>
                <w:szCs w:val="22"/>
              </w:rPr>
            </w:pPr>
            <w:r>
              <w:rPr>
                <w:rFonts w:hint="eastAsia" w:ascii="Calibri" w:hAnsi="Calibri" w:eastAsia="宋体" w:cs="Times New Roman"/>
                <w:color w:val="auto"/>
                <w:szCs w:val="22"/>
              </w:rPr>
              <w:t>线号齐全清晰，布线整齐，各接线端子紧固，无积尘</w:t>
            </w:r>
          </w:p>
        </w:tc>
      </w:tr>
      <w:tr w14:paraId="7B38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17A4E55F">
            <w:pPr>
              <w:jc w:val="center"/>
              <w:rPr>
                <w:rFonts w:ascii="Calibri" w:hAnsi="Calibri" w:eastAsia="宋体" w:cs="Times New Roman"/>
                <w:color w:val="auto"/>
                <w:szCs w:val="22"/>
              </w:rPr>
            </w:pPr>
            <w:r>
              <w:rPr>
                <w:rFonts w:hint="eastAsia" w:ascii="Calibri" w:hAnsi="Calibri" w:eastAsia="宋体" w:cs="Times New Roman"/>
                <w:color w:val="auto"/>
                <w:szCs w:val="22"/>
              </w:rPr>
              <w:t>6</w:t>
            </w:r>
          </w:p>
        </w:tc>
        <w:tc>
          <w:tcPr>
            <w:tcW w:w="1511" w:type="pct"/>
            <w:noWrap w:val="0"/>
            <w:vAlign w:val="center"/>
          </w:tcPr>
          <w:p w14:paraId="2570F4F7">
            <w:pPr>
              <w:rPr>
                <w:rFonts w:ascii="Calibri" w:hAnsi="Calibri" w:eastAsia="宋体" w:cs="Times New Roman"/>
                <w:color w:val="auto"/>
                <w:szCs w:val="22"/>
              </w:rPr>
            </w:pPr>
            <w:r>
              <w:rPr>
                <w:rFonts w:hint="eastAsia" w:ascii="Calibri" w:hAnsi="Calibri" w:eastAsia="宋体" w:cs="Times New Roman"/>
                <w:color w:val="auto"/>
                <w:szCs w:val="22"/>
              </w:rPr>
              <w:t>控制柜各仪表</w:t>
            </w:r>
          </w:p>
        </w:tc>
        <w:tc>
          <w:tcPr>
            <w:tcW w:w="3152" w:type="pct"/>
            <w:noWrap w:val="0"/>
            <w:vAlign w:val="center"/>
          </w:tcPr>
          <w:p w14:paraId="273FF8DE">
            <w:pPr>
              <w:rPr>
                <w:rFonts w:ascii="Calibri" w:hAnsi="Calibri" w:eastAsia="宋体" w:cs="Times New Roman"/>
                <w:color w:val="auto"/>
                <w:szCs w:val="22"/>
              </w:rPr>
            </w:pPr>
            <w:r>
              <w:rPr>
                <w:rFonts w:hint="eastAsia" w:ascii="Calibri" w:hAnsi="Calibri" w:eastAsia="宋体" w:cs="Times New Roman"/>
                <w:color w:val="auto"/>
                <w:szCs w:val="22"/>
              </w:rPr>
              <w:t>显示正确</w:t>
            </w:r>
          </w:p>
        </w:tc>
      </w:tr>
      <w:tr w14:paraId="76FE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1E8C816D">
            <w:pPr>
              <w:jc w:val="center"/>
              <w:rPr>
                <w:rFonts w:ascii="Calibri" w:hAnsi="Calibri" w:eastAsia="宋体" w:cs="Times New Roman"/>
                <w:color w:val="auto"/>
                <w:szCs w:val="22"/>
              </w:rPr>
            </w:pPr>
            <w:r>
              <w:rPr>
                <w:rFonts w:hint="eastAsia" w:ascii="Calibri" w:hAnsi="Calibri" w:eastAsia="宋体" w:cs="Times New Roman"/>
                <w:color w:val="auto"/>
                <w:szCs w:val="22"/>
              </w:rPr>
              <w:t>7</w:t>
            </w:r>
          </w:p>
        </w:tc>
        <w:tc>
          <w:tcPr>
            <w:tcW w:w="1511" w:type="pct"/>
            <w:noWrap w:val="0"/>
            <w:vAlign w:val="center"/>
          </w:tcPr>
          <w:p w14:paraId="25879611">
            <w:pPr>
              <w:rPr>
                <w:rFonts w:ascii="Calibri" w:hAnsi="Calibri" w:eastAsia="宋体" w:cs="Times New Roman"/>
                <w:color w:val="auto"/>
                <w:szCs w:val="22"/>
              </w:rPr>
            </w:pPr>
            <w:r>
              <w:rPr>
                <w:rFonts w:hint="eastAsia" w:ascii="Calibri" w:hAnsi="Calibri" w:eastAsia="宋体" w:cs="Times New Roman"/>
                <w:color w:val="auto"/>
                <w:szCs w:val="22"/>
              </w:rPr>
              <w:t>井道、对重、轿顶各反绳轮轴承部</w:t>
            </w:r>
          </w:p>
        </w:tc>
        <w:tc>
          <w:tcPr>
            <w:tcW w:w="3152" w:type="pct"/>
            <w:noWrap w:val="0"/>
            <w:vAlign w:val="center"/>
          </w:tcPr>
          <w:p w14:paraId="30E1C7C4">
            <w:pPr>
              <w:rPr>
                <w:rFonts w:ascii="Calibri" w:hAnsi="Calibri" w:eastAsia="宋体" w:cs="Times New Roman"/>
                <w:color w:val="auto"/>
                <w:szCs w:val="22"/>
              </w:rPr>
            </w:pPr>
            <w:r>
              <w:rPr>
                <w:rFonts w:hint="eastAsia" w:ascii="Calibri" w:hAnsi="Calibri" w:eastAsia="宋体" w:cs="Times New Roman"/>
                <w:color w:val="auto"/>
                <w:szCs w:val="22"/>
              </w:rPr>
              <w:t>无异常声，无振动，润滑良好</w:t>
            </w:r>
          </w:p>
        </w:tc>
      </w:tr>
      <w:tr w14:paraId="761D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5539D43E">
            <w:pPr>
              <w:jc w:val="center"/>
              <w:rPr>
                <w:rFonts w:ascii="Calibri" w:hAnsi="Calibri" w:eastAsia="宋体" w:cs="Times New Roman"/>
                <w:color w:val="auto"/>
                <w:szCs w:val="22"/>
              </w:rPr>
            </w:pPr>
            <w:r>
              <w:rPr>
                <w:rFonts w:hint="eastAsia" w:ascii="Calibri" w:hAnsi="Calibri" w:eastAsia="宋体" w:cs="Times New Roman"/>
                <w:color w:val="auto"/>
                <w:szCs w:val="22"/>
              </w:rPr>
              <w:t>8</w:t>
            </w:r>
          </w:p>
        </w:tc>
        <w:tc>
          <w:tcPr>
            <w:tcW w:w="1511" w:type="pct"/>
            <w:noWrap w:val="0"/>
            <w:vAlign w:val="center"/>
          </w:tcPr>
          <w:p w14:paraId="31238061">
            <w:pPr>
              <w:rPr>
                <w:rFonts w:ascii="Calibri" w:hAnsi="Calibri" w:eastAsia="宋体" w:cs="Times New Roman"/>
                <w:color w:val="auto"/>
                <w:szCs w:val="22"/>
              </w:rPr>
            </w:pPr>
            <w:r>
              <w:rPr>
                <w:rFonts w:hint="eastAsia" w:ascii="Calibri" w:hAnsi="Calibri" w:eastAsia="宋体" w:cs="Times New Roman"/>
                <w:color w:val="auto"/>
                <w:szCs w:val="22"/>
              </w:rPr>
              <w:t>曳引绳、补偿绳</w:t>
            </w:r>
          </w:p>
        </w:tc>
        <w:tc>
          <w:tcPr>
            <w:tcW w:w="3152" w:type="pct"/>
            <w:noWrap w:val="0"/>
            <w:vAlign w:val="center"/>
          </w:tcPr>
          <w:p w14:paraId="71C4155E">
            <w:pPr>
              <w:rPr>
                <w:rFonts w:ascii="Calibri" w:hAnsi="Calibri" w:eastAsia="宋体" w:cs="Times New Roman"/>
                <w:color w:val="auto"/>
                <w:szCs w:val="22"/>
              </w:rPr>
            </w:pPr>
            <w:r>
              <w:rPr>
                <w:rFonts w:hint="eastAsia" w:ascii="Calibri" w:hAnsi="Calibri" w:eastAsia="宋体" w:cs="Times New Roman"/>
                <w:color w:val="auto"/>
                <w:szCs w:val="22"/>
              </w:rPr>
              <w:t>磨损量、断丝数不超过要求</w:t>
            </w:r>
          </w:p>
        </w:tc>
      </w:tr>
      <w:tr w14:paraId="1A98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067C17DC">
            <w:pPr>
              <w:jc w:val="center"/>
              <w:rPr>
                <w:rFonts w:ascii="Calibri" w:hAnsi="Calibri" w:eastAsia="宋体" w:cs="Times New Roman"/>
                <w:color w:val="auto"/>
                <w:szCs w:val="22"/>
              </w:rPr>
            </w:pPr>
            <w:r>
              <w:rPr>
                <w:rFonts w:hint="eastAsia" w:ascii="Calibri" w:hAnsi="Calibri" w:eastAsia="宋体" w:cs="Times New Roman"/>
                <w:color w:val="auto"/>
                <w:szCs w:val="22"/>
              </w:rPr>
              <w:t>9</w:t>
            </w:r>
          </w:p>
        </w:tc>
        <w:tc>
          <w:tcPr>
            <w:tcW w:w="1511" w:type="pct"/>
            <w:noWrap w:val="0"/>
            <w:vAlign w:val="center"/>
          </w:tcPr>
          <w:p w14:paraId="7C81FF75">
            <w:pPr>
              <w:rPr>
                <w:rFonts w:ascii="Calibri" w:hAnsi="Calibri" w:eastAsia="宋体" w:cs="Times New Roman"/>
                <w:color w:val="auto"/>
                <w:szCs w:val="22"/>
              </w:rPr>
            </w:pPr>
            <w:r>
              <w:rPr>
                <w:rFonts w:hint="eastAsia" w:ascii="Calibri" w:hAnsi="Calibri" w:eastAsia="宋体" w:cs="Times New Roman"/>
                <w:color w:val="auto"/>
                <w:szCs w:val="22"/>
              </w:rPr>
              <w:t>曳引绳绳头组合</w:t>
            </w:r>
          </w:p>
        </w:tc>
        <w:tc>
          <w:tcPr>
            <w:tcW w:w="3152" w:type="pct"/>
            <w:noWrap w:val="0"/>
            <w:vAlign w:val="center"/>
          </w:tcPr>
          <w:p w14:paraId="24F7B57F">
            <w:pPr>
              <w:rPr>
                <w:rFonts w:ascii="Calibri" w:hAnsi="Calibri" w:eastAsia="宋体" w:cs="Times New Roman"/>
                <w:color w:val="auto"/>
                <w:szCs w:val="22"/>
              </w:rPr>
            </w:pPr>
            <w:r>
              <w:rPr>
                <w:rFonts w:hint="eastAsia" w:ascii="Calibri" w:hAnsi="Calibri" w:eastAsia="宋体" w:cs="Times New Roman"/>
                <w:color w:val="auto"/>
                <w:szCs w:val="22"/>
              </w:rPr>
              <w:t>螺母无松动</w:t>
            </w:r>
          </w:p>
        </w:tc>
      </w:tr>
      <w:tr w14:paraId="6AC3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5DB02568">
            <w:pPr>
              <w:jc w:val="center"/>
              <w:rPr>
                <w:rFonts w:ascii="Calibri" w:hAnsi="Calibri" w:eastAsia="宋体" w:cs="Times New Roman"/>
                <w:color w:val="auto"/>
                <w:szCs w:val="22"/>
              </w:rPr>
            </w:pPr>
            <w:r>
              <w:rPr>
                <w:rFonts w:hint="eastAsia" w:ascii="Calibri" w:hAnsi="Calibri" w:eastAsia="宋体" w:cs="Times New Roman"/>
                <w:color w:val="auto"/>
                <w:szCs w:val="22"/>
              </w:rPr>
              <w:t>10</w:t>
            </w:r>
          </w:p>
        </w:tc>
        <w:tc>
          <w:tcPr>
            <w:tcW w:w="1511" w:type="pct"/>
            <w:noWrap w:val="0"/>
            <w:vAlign w:val="center"/>
          </w:tcPr>
          <w:p w14:paraId="48434A23">
            <w:pPr>
              <w:rPr>
                <w:rFonts w:ascii="Calibri" w:hAnsi="Calibri" w:eastAsia="宋体" w:cs="Times New Roman"/>
                <w:color w:val="auto"/>
                <w:szCs w:val="22"/>
              </w:rPr>
            </w:pPr>
            <w:r>
              <w:rPr>
                <w:rFonts w:hint="eastAsia" w:ascii="Calibri" w:hAnsi="Calibri" w:eastAsia="宋体" w:cs="Times New Roman"/>
                <w:color w:val="auto"/>
                <w:szCs w:val="22"/>
              </w:rPr>
              <w:t>限速器钢丝绳</w:t>
            </w:r>
          </w:p>
        </w:tc>
        <w:tc>
          <w:tcPr>
            <w:tcW w:w="3152" w:type="pct"/>
            <w:noWrap w:val="0"/>
            <w:vAlign w:val="center"/>
          </w:tcPr>
          <w:p w14:paraId="1D160458">
            <w:pPr>
              <w:rPr>
                <w:rFonts w:ascii="Calibri" w:hAnsi="Calibri" w:eastAsia="宋体" w:cs="Times New Roman"/>
                <w:color w:val="auto"/>
                <w:szCs w:val="22"/>
              </w:rPr>
            </w:pPr>
            <w:r>
              <w:rPr>
                <w:rFonts w:hint="eastAsia" w:ascii="Calibri" w:hAnsi="Calibri" w:eastAsia="宋体" w:cs="Times New Roman"/>
                <w:color w:val="auto"/>
                <w:szCs w:val="22"/>
              </w:rPr>
              <w:t>磨损量、断丝数不超过制造单位要求</w:t>
            </w:r>
          </w:p>
        </w:tc>
      </w:tr>
      <w:tr w14:paraId="707B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44392598">
            <w:pPr>
              <w:jc w:val="center"/>
              <w:rPr>
                <w:rFonts w:ascii="Calibri" w:hAnsi="Calibri" w:eastAsia="宋体" w:cs="Times New Roman"/>
                <w:color w:val="auto"/>
                <w:szCs w:val="22"/>
              </w:rPr>
            </w:pPr>
            <w:r>
              <w:rPr>
                <w:rFonts w:hint="eastAsia" w:ascii="Calibri" w:hAnsi="Calibri" w:eastAsia="宋体" w:cs="Times New Roman"/>
                <w:color w:val="auto"/>
                <w:szCs w:val="22"/>
              </w:rPr>
              <w:t>11</w:t>
            </w:r>
          </w:p>
        </w:tc>
        <w:tc>
          <w:tcPr>
            <w:tcW w:w="1511" w:type="pct"/>
            <w:noWrap w:val="0"/>
            <w:vAlign w:val="center"/>
          </w:tcPr>
          <w:p w14:paraId="608FAC3D">
            <w:pPr>
              <w:rPr>
                <w:rFonts w:ascii="Calibri" w:hAnsi="Calibri" w:eastAsia="宋体" w:cs="Times New Roman"/>
                <w:color w:val="auto"/>
                <w:szCs w:val="22"/>
              </w:rPr>
            </w:pPr>
            <w:r>
              <w:rPr>
                <w:rFonts w:hint="eastAsia" w:ascii="Calibri" w:hAnsi="Calibri" w:eastAsia="宋体" w:cs="Times New Roman"/>
                <w:color w:val="auto"/>
                <w:szCs w:val="22"/>
              </w:rPr>
              <w:t>层门、轿门门扇</w:t>
            </w:r>
          </w:p>
        </w:tc>
        <w:tc>
          <w:tcPr>
            <w:tcW w:w="3152" w:type="pct"/>
            <w:noWrap w:val="0"/>
            <w:vAlign w:val="center"/>
          </w:tcPr>
          <w:p w14:paraId="6A4E94D6">
            <w:pPr>
              <w:rPr>
                <w:rFonts w:ascii="Calibri" w:hAnsi="Calibri" w:eastAsia="宋体" w:cs="Times New Roman"/>
                <w:color w:val="auto"/>
                <w:szCs w:val="22"/>
              </w:rPr>
            </w:pPr>
            <w:r>
              <w:rPr>
                <w:rFonts w:hint="eastAsia" w:ascii="Calibri" w:hAnsi="Calibri" w:eastAsia="宋体" w:cs="Times New Roman"/>
                <w:color w:val="auto"/>
                <w:szCs w:val="22"/>
              </w:rPr>
              <w:t>门扇各相关间隙符合标准</w:t>
            </w:r>
          </w:p>
        </w:tc>
      </w:tr>
      <w:tr w14:paraId="2334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1F07CD1D">
            <w:pPr>
              <w:jc w:val="center"/>
              <w:rPr>
                <w:rFonts w:ascii="Calibri" w:hAnsi="Calibri" w:eastAsia="宋体" w:cs="Times New Roman"/>
                <w:color w:val="auto"/>
                <w:szCs w:val="22"/>
              </w:rPr>
            </w:pPr>
            <w:r>
              <w:rPr>
                <w:rFonts w:hint="eastAsia" w:ascii="Calibri" w:hAnsi="Calibri" w:eastAsia="宋体" w:cs="Times New Roman"/>
                <w:color w:val="auto"/>
                <w:szCs w:val="22"/>
              </w:rPr>
              <w:t>12</w:t>
            </w:r>
          </w:p>
        </w:tc>
        <w:tc>
          <w:tcPr>
            <w:tcW w:w="1511" w:type="pct"/>
            <w:noWrap w:val="0"/>
            <w:vAlign w:val="center"/>
          </w:tcPr>
          <w:p w14:paraId="22BDC6A7">
            <w:pPr>
              <w:rPr>
                <w:rFonts w:ascii="Calibri" w:hAnsi="Calibri" w:eastAsia="宋体" w:cs="Times New Roman"/>
                <w:color w:val="auto"/>
                <w:szCs w:val="22"/>
              </w:rPr>
            </w:pPr>
            <w:r>
              <w:rPr>
                <w:rFonts w:hint="eastAsia" w:ascii="Calibri" w:hAnsi="Calibri" w:eastAsia="宋体" w:cs="Times New Roman"/>
                <w:color w:val="auto"/>
                <w:szCs w:val="22"/>
              </w:rPr>
              <w:t>对重缓冲距</w:t>
            </w:r>
          </w:p>
        </w:tc>
        <w:tc>
          <w:tcPr>
            <w:tcW w:w="3152" w:type="pct"/>
            <w:noWrap w:val="0"/>
            <w:vAlign w:val="center"/>
          </w:tcPr>
          <w:p w14:paraId="41565DA2">
            <w:pPr>
              <w:rPr>
                <w:rFonts w:ascii="Calibri" w:hAnsi="Calibri" w:eastAsia="宋体" w:cs="Times New Roman"/>
                <w:color w:val="auto"/>
                <w:szCs w:val="22"/>
              </w:rPr>
            </w:pPr>
            <w:r>
              <w:rPr>
                <w:rFonts w:hint="eastAsia" w:ascii="Calibri" w:hAnsi="Calibri" w:eastAsia="宋体" w:cs="Times New Roman"/>
                <w:color w:val="auto"/>
                <w:szCs w:val="22"/>
              </w:rPr>
              <w:t xml:space="preserve">符合标准 </w:t>
            </w:r>
          </w:p>
        </w:tc>
      </w:tr>
      <w:tr w14:paraId="2A18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208E606E">
            <w:pPr>
              <w:jc w:val="center"/>
              <w:rPr>
                <w:rFonts w:ascii="Calibri" w:hAnsi="Calibri" w:eastAsia="宋体" w:cs="Times New Roman"/>
                <w:color w:val="auto"/>
                <w:szCs w:val="22"/>
              </w:rPr>
            </w:pPr>
            <w:r>
              <w:rPr>
                <w:rFonts w:hint="eastAsia" w:ascii="Calibri" w:hAnsi="Calibri" w:eastAsia="宋体" w:cs="Times New Roman"/>
                <w:color w:val="auto"/>
                <w:szCs w:val="22"/>
              </w:rPr>
              <w:t>13</w:t>
            </w:r>
          </w:p>
        </w:tc>
        <w:tc>
          <w:tcPr>
            <w:tcW w:w="1511" w:type="pct"/>
            <w:noWrap w:val="0"/>
            <w:vAlign w:val="center"/>
          </w:tcPr>
          <w:p w14:paraId="18CEE9EA">
            <w:pPr>
              <w:rPr>
                <w:rFonts w:ascii="Calibri" w:hAnsi="Calibri" w:eastAsia="宋体" w:cs="Times New Roman"/>
                <w:color w:val="auto"/>
                <w:szCs w:val="22"/>
              </w:rPr>
            </w:pPr>
            <w:r>
              <w:rPr>
                <w:rFonts w:hint="eastAsia" w:ascii="Calibri" w:hAnsi="Calibri" w:eastAsia="宋体" w:cs="Times New Roman"/>
                <w:color w:val="auto"/>
                <w:szCs w:val="22"/>
              </w:rPr>
              <w:t>补偿链（绳）与轿厢、对重接合处</w:t>
            </w:r>
          </w:p>
        </w:tc>
        <w:tc>
          <w:tcPr>
            <w:tcW w:w="3152" w:type="pct"/>
            <w:noWrap w:val="0"/>
            <w:vAlign w:val="center"/>
          </w:tcPr>
          <w:p w14:paraId="4E6469E3">
            <w:pPr>
              <w:rPr>
                <w:rFonts w:ascii="Calibri" w:hAnsi="Calibri" w:eastAsia="宋体" w:cs="Times New Roman"/>
                <w:color w:val="auto"/>
                <w:szCs w:val="22"/>
              </w:rPr>
            </w:pPr>
            <w:r>
              <w:rPr>
                <w:rFonts w:hint="eastAsia" w:ascii="Calibri" w:hAnsi="Calibri" w:eastAsia="宋体" w:cs="Times New Roman"/>
                <w:color w:val="auto"/>
                <w:szCs w:val="22"/>
              </w:rPr>
              <w:t>两端固定可靠无松动</w:t>
            </w:r>
          </w:p>
        </w:tc>
      </w:tr>
      <w:tr w14:paraId="5994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39E8238D">
            <w:pPr>
              <w:jc w:val="center"/>
              <w:rPr>
                <w:rFonts w:ascii="Calibri" w:hAnsi="Calibri" w:eastAsia="宋体" w:cs="Times New Roman"/>
                <w:color w:val="auto"/>
                <w:szCs w:val="22"/>
              </w:rPr>
            </w:pPr>
            <w:r>
              <w:rPr>
                <w:rFonts w:hint="eastAsia" w:ascii="Calibri" w:hAnsi="Calibri" w:eastAsia="宋体" w:cs="Times New Roman"/>
                <w:color w:val="auto"/>
                <w:szCs w:val="22"/>
              </w:rPr>
              <w:t>14</w:t>
            </w:r>
          </w:p>
        </w:tc>
        <w:tc>
          <w:tcPr>
            <w:tcW w:w="1511" w:type="pct"/>
            <w:noWrap w:val="0"/>
            <w:vAlign w:val="center"/>
          </w:tcPr>
          <w:p w14:paraId="24110A05">
            <w:pPr>
              <w:rPr>
                <w:rFonts w:ascii="Calibri" w:hAnsi="Calibri" w:eastAsia="宋体" w:cs="Times New Roman"/>
                <w:color w:val="auto"/>
                <w:szCs w:val="22"/>
              </w:rPr>
            </w:pPr>
            <w:r>
              <w:rPr>
                <w:rFonts w:hint="eastAsia" w:ascii="Calibri" w:hAnsi="Calibri" w:eastAsia="宋体" w:cs="Times New Roman"/>
                <w:color w:val="auto"/>
                <w:szCs w:val="22"/>
              </w:rPr>
              <w:t>上下极限开关</w:t>
            </w:r>
          </w:p>
        </w:tc>
        <w:tc>
          <w:tcPr>
            <w:tcW w:w="3152" w:type="pct"/>
            <w:noWrap w:val="0"/>
            <w:vAlign w:val="center"/>
          </w:tcPr>
          <w:p w14:paraId="48E5DE01">
            <w:pPr>
              <w:rPr>
                <w:rFonts w:ascii="Calibri" w:hAnsi="Calibri" w:eastAsia="宋体" w:cs="Times New Roman"/>
                <w:color w:val="auto"/>
                <w:szCs w:val="22"/>
              </w:rPr>
            </w:pPr>
            <w:r>
              <w:rPr>
                <w:rFonts w:hint="eastAsia" w:ascii="Calibri" w:hAnsi="Calibri" w:eastAsia="宋体" w:cs="Times New Roman"/>
                <w:color w:val="auto"/>
                <w:szCs w:val="22"/>
              </w:rPr>
              <w:t>工作正常</w:t>
            </w:r>
          </w:p>
        </w:tc>
      </w:tr>
    </w:tbl>
    <w:p w14:paraId="5E75DBD7">
      <w:pPr>
        <w:rPr>
          <w:rFonts w:ascii="Calibri" w:hAnsi="Calibri" w:eastAsia="宋体" w:cs="Times New Roman"/>
          <w:color w:val="auto"/>
          <w:szCs w:val="22"/>
        </w:rPr>
      </w:pPr>
      <w:r>
        <w:rPr>
          <w:rFonts w:hint="eastAsia" w:ascii="Calibri" w:hAnsi="Calibri" w:eastAsia="宋体" w:cs="Times New Roman"/>
          <w:color w:val="auto"/>
          <w:szCs w:val="22"/>
        </w:rPr>
        <w:t>年度维护保养项目除符合表A-3要求时，还应符合表A-4的要求</w:t>
      </w:r>
    </w:p>
    <w:p w14:paraId="3641E3C2">
      <w:pPr>
        <w:rPr>
          <w:rFonts w:ascii="Calibri" w:hAnsi="Calibri" w:eastAsia="宋体" w:cs="Times New Roman"/>
          <w:bCs/>
          <w:color w:val="auto"/>
          <w:szCs w:val="22"/>
        </w:rPr>
      </w:pPr>
    </w:p>
    <w:p w14:paraId="5798F979">
      <w:pPr>
        <w:rPr>
          <w:rFonts w:ascii="Calibri" w:hAnsi="Calibri" w:eastAsia="宋体" w:cs="Times New Roman"/>
          <w:b/>
          <w:color w:val="auto"/>
          <w:szCs w:val="22"/>
        </w:rPr>
      </w:pPr>
      <w:r>
        <w:rPr>
          <w:rFonts w:hint="eastAsia" w:ascii="Calibri" w:hAnsi="Calibri" w:eastAsia="宋体" w:cs="Times New Roman"/>
          <w:b/>
          <w:color w:val="auto"/>
          <w:szCs w:val="22"/>
        </w:rPr>
        <w:t>表A-4    年度维保项目（内容）和要求</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0"/>
        <w:gridCol w:w="2493"/>
        <w:gridCol w:w="5270"/>
      </w:tblGrid>
      <w:tr w14:paraId="104A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31" w:type="pct"/>
            <w:noWrap w:val="0"/>
            <w:vAlign w:val="center"/>
          </w:tcPr>
          <w:p w14:paraId="1B073DC7">
            <w:pPr>
              <w:jc w:val="center"/>
              <w:rPr>
                <w:rFonts w:ascii="Calibri" w:hAnsi="Calibri" w:eastAsia="宋体" w:cs="Times New Roman"/>
                <w:bCs/>
                <w:color w:val="auto"/>
                <w:szCs w:val="22"/>
              </w:rPr>
            </w:pPr>
            <w:r>
              <w:rPr>
                <w:rFonts w:hint="eastAsia" w:ascii="Calibri" w:hAnsi="Calibri" w:eastAsia="宋体" w:cs="Times New Roman"/>
                <w:bCs/>
                <w:color w:val="auto"/>
                <w:szCs w:val="22"/>
              </w:rPr>
              <w:t>序号</w:t>
            </w:r>
          </w:p>
        </w:tc>
        <w:tc>
          <w:tcPr>
            <w:tcW w:w="1499" w:type="pct"/>
            <w:noWrap w:val="0"/>
            <w:vAlign w:val="center"/>
          </w:tcPr>
          <w:p w14:paraId="18A05A64">
            <w:pPr>
              <w:rPr>
                <w:rFonts w:ascii="Calibri" w:hAnsi="Calibri" w:eastAsia="宋体" w:cs="Times New Roman"/>
                <w:bCs/>
                <w:color w:val="auto"/>
                <w:szCs w:val="22"/>
              </w:rPr>
            </w:pPr>
            <w:r>
              <w:rPr>
                <w:rFonts w:hint="eastAsia" w:ascii="Calibri" w:hAnsi="Calibri" w:eastAsia="宋体" w:cs="Times New Roman"/>
                <w:bCs/>
                <w:color w:val="auto"/>
                <w:szCs w:val="22"/>
              </w:rPr>
              <w:t>维护保养项目（内容）</w:t>
            </w:r>
          </w:p>
        </w:tc>
        <w:tc>
          <w:tcPr>
            <w:tcW w:w="3169" w:type="pct"/>
            <w:noWrap w:val="0"/>
            <w:vAlign w:val="center"/>
          </w:tcPr>
          <w:p w14:paraId="38799EBA">
            <w:pPr>
              <w:rPr>
                <w:rFonts w:ascii="Calibri" w:hAnsi="Calibri" w:eastAsia="宋体" w:cs="Times New Roman"/>
                <w:bCs/>
                <w:color w:val="auto"/>
                <w:szCs w:val="22"/>
              </w:rPr>
            </w:pPr>
            <w:r>
              <w:rPr>
                <w:rFonts w:hint="eastAsia" w:ascii="Calibri" w:hAnsi="Calibri" w:eastAsia="宋体" w:cs="Times New Roman"/>
                <w:bCs/>
                <w:color w:val="auto"/>
                <w:szCs w:val="22"/>
              </w:rPr>
              <w:t>维护保养基本要求</w:t>
            </w:r>
          </w:p>
        </w:tc>
      </w:tr>
      <w:tr w14:paraId="648D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31" w:type="pct"/>
            <w:noWrap w:val="0"/>
            <w:vAlign w:val="center"/>
          </w:tcPr>
          <w:p w14:paraId="18D92FD4">
            <w:pPr>
              <w:jc w:val="center"/>
              <w:rPr>
                <w:rFonts w:ascii="Calibri" w:hAnsi="Calibri" w:eastAsia="宋体" w:cs="Times New Roman"/>
                <w:color w:val="auto"/>
                <w:szCs w:val="22"/>
              </w:rPr>
            </w:pPr>
            <w:r>
              <w:rPr>
                <w:rFonts w:hint="eastAsia" w:ascii="Calibri" w:hAnsi="Calibri" w:eastAsia="宋体" w:cs="Times New Roman"/>
                <w:color w:val="auto"/>
                <w:szCs w:val="22"/>
              </w:rPr>
              <w:t>1</w:t>
            </w:r>
          </w:p>
        </w:tc>
        <w:tc>
          <w:tcPr>
            <w:tcW w:w="1499" w:type="pct"/>
            <w:noWrap w:val="0"/>
            <w:vAlign w:val="center"/>
          </w:tcPr>
          <w:p w14:paraId="1EC7F3AB">
            <w:pPr>
              <w:rPr>
                <w:rFonts w:ascii="Calibri" w:hAnsi="Calibri" w:eastAsia="宋体" w:cs="Times New Roman"/>
                <w:color w:val="auto"/>
                <w:szCs w:val="22"/>
              </w:rPr>
            </w:pPr>
            <w:r>
              <w:rPr>
                <w:rFonts w:hint="eastAsia" w:ascii="Calibri" w:hAnsi="Calibri" w:eastAsia="宋体" w:cs="Times New Roman"/>
                <w:color w:val="auto"/>
                <w:szCs w:val="22"/>
              </w:rPr>
              <w:t>减速机润滑油</w:t>
            </w:r>
          </w:p>
        </w:tc>
        <w:tc>
          <w:tcPr>
            <w:tcW w:w="3169" w:type="pct"/>
            <w:noWrap w:val="0"/>
            <w:vAlign w:val="center"/>
          </w:tcPr>
          <w:p w14:paraId="19745A9A">
            <w:pPr>
              <w:rPr>
                <w:rFonts w:ascii="Calibri" w:hAnsi="Calibri" w:eastAsia="宋体" w:cs="Times New Roman"/>
                <w:color w:val="auto"/>
                <w:szCs w:val="22"/>
              </w:rPr>
            </w:pPr>
            <w:r>
              <w:rPr>
                <w:rFonts w:hint="eastAsia" w:ascii="Calibri" w:hAnsi="Calibri" w:eastAsia="宋体" w:cs="Times New Roman"/>
                <w:color w:val="auto"/>
                <w:szCs w:val="22"/>
              </w:rPr>
              <w:t>按照制造单位要求适时更换，保证油质符合要求</w:t>
            </w:r>
          </w:p>
        </w:tc>
      </w:tr>
      <w:tr w14:paraId="29AB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31" w:type="pct"/>
            <w:noWrap w:val="0"/>
            <w:vAlign w:val="center"/>
          </w:tcPr>
          <w:p w14:paraId="2EF97BB9">
            <w:pPr>
              <w:jc w:val="center"/>
              <w:rPr>
                <w:rFonts w:ascii="Calibri" w:hAnsi="Calibri" w:eastAsia="宋体" w:cs="Times New Roman"/>
                <w:color w:val="auto"/>
                <w:szCs w:val="22"/>
              </w:rPr>
            </w:pPr>
            <w:r>
              <w:rPr>
                <w:rFonts w:hint="eastAsia" w:ascii="Calibri" w:hAnsi="Calibri" w:eastAsia="宋体" w:cs="Times New Roman"/>
                <w:color w:val="auto"/>
                <w:szCs w:val="22"/>
              </w:rPr>
              <w:t>2</w:t>
            </w:r>
          </w:p>
        </w:tc>
        <w:tc>
          <w:tcPr>
            <w:tcW w:w="1499" w:type="pct"/>
            <w:noWrap w:val="0"/>
            <w:vAlign w:val="center"/>
          </w:tcPr>
          <w:p w14:paraId="5B52BE9E">
            <w:pPr>
              <w:rPr>
                <w:rFonts w:ascii="Calibri" w:hAnsi="Calibri" w:eastAsia="宋体" w:cs="Times New Roman"/>
                <w:color w:val="auto"/>
                <w:szCs w:val="22"/>
              </w:rPr>
            </w:pPr>
            <w:r>
              <w:rPr>
                <w:rFonts w:hint="eastAsia" w:ascii="Calibri" w:hAnsi="Calibri" w:eastAsia="宋体" w:cs="Times New Roman"/>
                <w:color w:val="auto"/>
                <w:szCs w:val="22"/>
              </w:rPr>
              <w:t>控制柜接触器、继电器触点</w:t>
            </w:r>
          </w:p>
        </w:tc>
        <w:tc>
          <w:tcPr>
            <w:tcW w:w="3169" w:type="pct"/>
            <w:noWrap w:val="0"/>
            <w:vAlign w:val="center"/>
          </w:tcPr>
          <w:p w14:paraId="4BD4AA64">
            <w:pPr>
              <w:rPr>
                <w:rFonts w:ascii="Calibri" w:hAnsi="Calibri" w:eastAsia="宋体" w:cs="Times New Roman"/>
                <w:color w:val="auto"/>
                <w:szCs w:val="22"/>
              </w:rPr>
            </w:pPr>
            <w:r>
              <w:rPr>
                <w:rFonts w:hint="eastAsia" w:ascii="Calibri" w:hAnsi="Calibri" w:eastAsia="宋体" w:cs="Times New Roman"/>
                <w:color w:val="auto"/>
                <w:szCs w:val="22"/>
              </w:rPr>
              <w:t>接触良好，接触器、继电器固定可靠、工作正常</w:t>
            </w:r>
          </w:p>
        </w:tc>
      </w:tr>
      <w:tr w14:paraId="170B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31" w:type="pct"/>
            <w:noWrap w:val="0"/>
            <w:vAlign w:val="center"/>
          </w:tcPr>
          <w:p w14:paraId="21DC6EB6">
            <w:pPr>
              <w:jc w:val="center"/>
              <w:rPr>
                <w:rFonts w:ascii="Calibri" w:hAnsi="Calibri" w:eastAsia="宋体" w:cs="Times New Roman"/>
                <w:color w:val="auto"/>
                <w:szCs w:val="22"/>
              </w:rPr>
            </w:pPr>
            <w:r>
              <w:rPr>
                <w:rFonts w:hint="eastAsia" w:ascii="Calibri" w:hAnsi="Calibri" w:eastAsia="宋体" w:cs="Times New Roman"/>
                <w:color w:val="auto"/>
                <w:szCs w:val="22"/>
              </w:rPr>
              <w:t>3</w:t>
            </w:r>
          </w:p>
        </w:tc>
        <w:tc>
          <w:tcPr>
            <w:tcW w:w="1499" w:type="pct"/>
            <w:noWrap w:val="0"/>
            <w:vAlign w:val="center"/>
          </w:tcPr>
          <w:p w14:paraId="5B80A901">
            <w:pPr>
              <w:rPr>
                <w:rFonts w:ascii="Calibri" w:hAnsi="Calibri" w:eastAsia="宋体" w:cs="Times New Roman"/>
                <w:color w:val="auto"/>
                <w:szCs w:val="22"/>
              </w:rPr>
            </w:pPr>
            <w:r>
              <w:rPr>
                <w:rFonts w:hint="eastAsia" w:ascii="Calibri" w:hAnsi="Calibri" w:eastAsia="宋体" w:cs="Times New Roman"/>
                <w:color w:val="auto"/>
                <w:szCs w:val="22"/>
              </w:rPr>
              <w:t>制动器铁芯（柱塞）</w:t>
            </w:r>
          </w:p>
        </w:tc>
        <w:tc>
          <w:tcPr>
            <w:tcW w:w="3169" w:type="pct"/>
            <w:noWrap w:val="0"/>
            <w:vAlign w:val="center"/>
          </w:tcPr>
          <w:p w14:paraId="03FAABB6">
            <w:pPr>
              <w:rPr>
                <w:rFonts w:ascii="Calibri" w:hAnsi="Calibri" w:eastAsia="宋体" w:cs="Times New Roman"/>
                <w:color w:val="auto"/>
                <w:szCs w:val="22"/>
              </w:rPr>
            </w:pPr>
            <w:r>
              <w:rPr>
                <w:rFonts w:hint="eastAsia" w:ascii="Calibri" w:hAnsi="Calibri" w:eastAsia="宋体" w:cs="Times New Roman"/>
                <w:color w:val="auto"/>
                <w:szCs w:val="22"/>
              </w:rPr>
              <w:t>铁芯表面清洁，磨损量不超过制造单位要求；各运动部件选用规定润滑剂润滑</w:t>
            </w:r>
          </w:p>
        </w:tc>
      </w:tr>
      <w:tr w14:paraId="1D96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31" w:type="pct"/>
            <w:noWrap w:val="0"/>
            <w:vAlign w:val="center"/>
          </w:tcPr>
          <w:p w14:paraId="6D626768">
            <w:pPr>
              <w:jc w:val="center"/>
              <w:rPr>
                <w:rFonts w:ascii="Calibri" w:hAnsi="Calibri" w:eastAsia="宋体" w:cs="Times New Roman"/>
                <w:bCs/>
                <w:color w:val="auto"/>
                <w:szCs w:val="22"/>
              </w:rPr>
            </w:pPr>
            <w:r>
              <w:rPr>
                <w:rFonts w:hint="eastAsia" w:ascii="Calibri" w:hAnsi="Calibri" w:eastAsia="宋体" w:cs="Times New Roman"/>
                <w:bCs/>
                <w:color w:val="auto"/>
                <w:szCs w:val="22"/>
              </w:rPr>
              <w:t>序号</w:t>
            </w:r>
          </w:p>
        </w:tc>
        <w:tc>
          <w:tcPr>
            <w:tcW w:w="1499" w:type="pct"/>
            <w:noWrap w:val="0"/>
            <w:vAlign w:val="center"/>
          </w:tcPr>
          <w:p w14:paraId="3E5F5EB4">
            <w:pPr>
              <w:rPr>
                <w:rFonts w:ascii="Calibri" w:hAnsi="Calibri" w:eastAsia="宋体" w:cs="Times New Roman"/>
                <w:bCs/>
                <w:color w:val="auto"/>
                <w:szCs w:val="22"/>
              </w:rPr>
            </w:pPr>
            <w:r>
              <w:rPr>
                <w:rFonts w:hint="eastAsia" w:ascii="Calibri" w:hAnsi="Calibri" w:eastAsia="宋体" w:cs="Times New Roman"/>
                <w:bCs/>
                <w:color w:val="auto"/>
                <w:szCs w:val="22"/>
              </w:rPr>
              <w:t>维护保养项目（内容）</w:t>
            </w:r>
          </w:p>
        </w:tc>
        <w:tc>
          <w:tcPr>
            <w:tcW w:w="3169" w:type="pct"/>
            <w:noWrap w:val="0"/>
            <w:vAlign w:val="center"/>
          </w:tcPr>
          <w:p w14:paraId="04E8BE3E">
            <w:pPr>
              <w:rPr>
                <w:rFonts w:ascii="Calibri" w:hAnsi="Calibri" w:eastAsia="宋体" w:cs="Times New Roman"/>
                <w:bCs/>
                <w:color w:val="auto"/>
                <w:szCs w:val="22"/>
              </w:rPr>
            </w:pPr>
            <w:r>
              <w:rPr>
                <w:rFonts w:hint="eastAsia" w:ascii="Calibri" w:hAnsi="Calibri" w:eastAsia="宋体" w:cs="Times New Roman"/>
                <w:bCs/>
                <w:color w:val="auto"/>
                <w:szCs w:val="22"/>
              </w:rPr>
              <w:t>维护保养基本要求</w:t>
            </w:r>
          </w:p>
        </w:tc>
      </w:tr>
      <w:tr w14:paraId="11C1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31" w:type="pct"/>
            <w:noWrap w:val="0"/>
            <w:vAlign w:val="center"/>
          </w:tcPr>
          <w:p w14:paraId="29E5C9FD">
            <w:pPr>
              <w:jc w:val="center"/>
              <w:rPr>
                <w:rFonts w:ascii="Calibri" w:hAnsi="Calibri" w:eastAsia="宋体" w:cs="Times New Roman"/>
                <w:color w:val="auto"/>
                <w:szCs w:val="22"/>
              </w:rPr>
            </w:pPr>
            <w:r>
              <w:rPr>
                <w:rFonts w:hint="eastAsia" w:ascii="Calibri" w:hAnsi="Calibri" w:eastAsia="宋体" w:cs="Times New Roman"/>
                <w:color w:val="auto"/>
                <w:szCs w:val="22"/>
              </w:rPr>
              <w:t>4</w:t>
            </w:r>
          </w:p>
        </w:tc>
        <w:tc>
          <w:tcPr>
            <w:tcW w:w="1499" w:type="pct"/>
            <w:noWrap w:val="0"/>
            <w:vAlign w:val="center"/>
          </w:tcPr>
          <w:p w14:paraId="29811B39">
            <w:pPr>
              <w:rPr>
                <w:rFonts w:ascii="Calibri" w:hAnsi="Calibri" w:eastAsia="宋体" w:cs="Times New Roman"/>
                <w:color w:val="auto"/>
                <w:szCs w:val="22"/>
              </w:rPr>
            </w:pPr>
            <w:r>
              <w:rPr>
                <w:rFonts w:hint="eastAsia" w:ascii="Calibri" w:hAnsi="Calibri" w:eastAsia="宋体" w:cs="Times New Roman"/>
                <w:color w:val="auto"/>
                <w:szCs w:val="22"/>
              </w:rPr>
              <w:t>制动器制动弹簧压缩量</w:t>
            </w:r>
          </w:p>
        </w:tc>
        <w:tc>
          <w:tcPr>
            <w:tcW w:w="3169" w:type="pct"/>
            <w:noWrap w:val="0"/>
            <w:vAlign w:val="center"/>
          </w:tcPr>
          <w:p w14:paraId="44D4522B">
            <w:pPr>
              <w:rPr>
                <w:rFonts w:ascii="Calibri" w:hAnsi="Calibri" w:eastAsia="宋体" w:cs="Times New Roman"/>
                <w:color w:val="auto"/>
                <w:szCs w:val="22"/>
              </w:rPr>
            </w:pPr>
            <w:r>
              <w:rPr>
                <w:rFonts w:hint="eastAsia" w:ascii="Calibri" w:hAnsi="Calibri" w:eastAsia="宋体" w:cs="Times New Roman"/>
                <w:color w:val="auto"/>
                <w:szCs w:val="22"/>
              </w:rPr>
              <w:t>符合制造单位要求，保持有足够的制动力</w:t>
            </w:r>
          </w:p>
        </w:tc>
      </w:tr>
      <w:tr w14:paraId="3DDA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31" w:type="pct"/>
            <w:noWrap w:val="0"/>
            <w:vAlign w:val="center"/>
          </w:tcPr>
          <w:p w14:paraId="4BB3B4B0">
            <w:pPr>
              <w:jc w:val="center"/>
              <w:rPr>
                <w:rFonts w:ascii="Calibri" w:hAnsi="Calibri" w:eastAsia="宋体" w:cs="Times New Roman"/>
                <w:color w:val="auto"/>
                <w:szCs w:val="22"/>
              </w:rPr>
            </w:pPr>
            <w:r>
              <w:rPr>
                <w:rFonts w:hint="eastAsia" w:ascii="Calibri" w:hAnsi="Calibri" w:eastAsia="宋体" w:cs="Times New Roman"/>
                <w:color w:val="auto"/>
                <w:szCs w:val="22"/>
              </w:rPr>
              <w:t>5</w:t>
            </w:r>
          </w:p>
        </w:tc>
        <w:tc>
          <w:tcPr>
            <w:tcW w:w="1499" w:type="pct"/>
            <w:noWrap w:val="0"/>
            <w:vAlign w:val="center"/>
          </w:tcPr>
          <w:p w14:paraId="1B8AE425">
            <w:pPr>
              <w:rPr>
                <w:rFonts w:ascii="Calibri" w:hAnsi="Calibri" w:eastAsia="宋体" w:cs="Times New Roman"/>
                <w:color w:val="auto"/>
                <w:szCs w:val="22"/>
              </w:rPr>
            </w:pPr>
            <w:r>
              <w:rPr>
                <w:rFonts w:hint="eastAsia" w:ascii="Calibri" w:hAnsi="Calibri" w:eastAsia="宋体" w:cs="Times New Roman"/>
                <w:color w:val="auto"/>
                <w:szCs w:val="22"/>
              </w:rPr>
              <w:t>导电回路绝缘性能测试</w:t>
            </w:r>
          </w:p>
        </w:tc>
        <w:tc>
          <w:tcPr>
            <w:tcW w:w="3169" w:type="pct"/>
            <w:noWrap w:val="0"/>
            <w:vAlign w:val="center"/>
          </w:tcPr>
          <w:p w14:paraId="620560DC">
            <w:pPr>
              <w:rPr>
                <w:rFonts w:ascii="Calibri" w:hAnsi="Calibri" w:eastAsia="宋体" w:cs="Times New Roman"/>
                <w:color w:val="auto"/>
                <w:szCs w:val="22"/>
              </w:rPr>
            </w:pPr>
            <w:r>
              <w:rPr>
                <w:rFonts w:hint="eastAsia" w:ascii="Calibri" w:hAnsi="Calibri" w:eastAsia="宋体" w:cs="Times New Roman"/>
                <w:color w:val="auto"/>
                <w:szCs w:val="22"/>
              </w:rPr>
              <w:t>动力电路和电气安全装置电路不小于0.5MΩ；照明电路和其他电路不小于0.25 MΩ</w:t>
            </w:r>
          </w:p>
        </w:tc>
      </w:tr>
      <w:tr w14:paraId="35A8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31" w:type="pct"/>
            <w:noWrap w:val="0"/>
            <w:vAlign w:val="center"/>
          </w:tcPr>
          <w:p w14:paraId="5059E98A">
            <w:pPr>
              <w:jc w:val="center"/>
              <w:rPr>
                <w:rFonts w:ascii="Calibri" w:hAnsi="Calibri" w:eastAsia="宋体" w:cs="Times New Roman"/>
                <w:color w:val="auto"/>
                <w:szCs w:val="22"/>
              </w:rPr>
            </w:pPr>
            <w:r>
              <w:rPr>
                <w:rFonts w:hint="eastAsia" w:ascii="Calibri" w:hAnsi="Calibri" w:eastAsia="宋体" w:cs="Times New Roman"/>
                <w:color w:val="auto"/>
                <w:szCs w:val="22"/>
              </w:rPr>
              <w:t>6</w:t>
            </w:r>
          </w:p>
        </w:tc>
        <w:tc>
          <w:tcPr>
            <w:tcW w:w="1499" w:type="pct"/>
            <w:noWrap w:val="0"/>
            <w:vAlign w:val="center"/>
          </w:tcPr>
          <w:p w14:paraId="229FE744">
            <w:pPr>
              <w:rPr>
                <w:rFonts w:ascii="Calibri" w:hAnsi="Calibri" w:eastAsia="宋体" w:cs="Times New Roman"/>
                <w:color w:val="auto"/>
                <w:szCs w:val="22"/>
              </w:rPr>
            </w:pPr>
            <w:r>
              <w:rPr>
                <w:rFonts w:hint="eastAsia" w:ascii="Calibri" w:hAnsi="Calibri" w:eastAsia="宋体" w:cs="Times New Roman"/>
                <w:color w:val="auto"/>
                <w:szCs w:val="22"/>
              </w:rPr>
              <w:t>限速器安全钳联动试验</w:t>
            </w:r>
          </w:p>
        </w:tc>
        <w:tc>
          <w:tcPr>
            <w:tcW w:w="3169" w:type="pct"/>
            <w:noWrap w:val="0"/>
            <w:vAlign w:val="center"/>
          </w:tcPr>
          <w:p w14:paraId="4C9528C2">
            <w:pPr>
              <w:rPr>
                <w:rFonts w:ascii="Calibri" w:hAnsi="Calibri" w:eastAsia="宋体" w:cs="Times New Roman"/>
                <w:color w:val="auto"/>
                <w:szCs w:val="22"/>
              </w:rPr>
            </w:pPr>
            <w:r>
              <w:rPr>
                <w:rFonts w:hint="eastAsia" w:ascii="Calibri" w:hAnsi="Calibri" w:eastAsia="宋体" w:cs="Times New Roman"/>
                <w:color w:val="auto"/>
                <w:szCs w:val="22"/>
              </w:rPr>
              <w:t>工作正常（每2年进行一次限速器动作速度校验）</w:t>
            </w:r>
          </w:p>
        </w:tc>
      </w:tr>
      <w:tr w14:paraId="25DB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31" w:type="pct"/>
            <w:noWrap w:val="0"/>
            <w:vAlign w:val="center"/>
          </w:tcPr>
          <w:p w14:paraId="42E86106">
            <w:pPr>
              <w:jc w:val="center"/>
              <w:rPr>
                <w:rFonts w:ascii="Calibri" w:hAnsi="Calibri" w:eastAsia="宋体" w:cs="Times New Roman"/>
                <w:color w:val="auto"/>
                <w:szCs w:val="22"/>
              </w:rPr>
            </w:pPr>
            <w:r>
              <w:rPr>
                <w:rFonts w:hint="eastAsia" w:ascii="Calibri" w:hAnsi="Calibri" w:eastAsia="宋体" w:cs="Times New Roman"/>
                <w:color w:val="auto"/>
                <w:szCs w:val="22"/>
              </w:rPr>
              <w:t>7</w:t>
            </w:r>
          </w:p>
        </w:tc>
        <w:tc>
          <w:tcPr>
            <w:tcW w:w="1499" w:type="pct"/>
            <w:noWrap w:val="0"/>
            <w:vAlign w:val="center"/>
          </w:tcPr>
          <w:p w14:paraId="3A846D00">
            <w:pPr>
              <w:rPr>
                <w:rFonts w:ascii="Calibri" w:hAnsi="Calibri" w:eastAsia="宋体" w:cs="Times New Roman"/>
                <w:color w:val="auto"/>
                <w:szCs w:val="22"/>
              </w:rPr>
            </w:pPr>
            <w:r>
              <w:rPr>
                <w:rFonts w:hint="eastAsia" w:ascii="Calibri" w:hAnsi="Calibri" w:eastAsia="宋体" w:cs="Times New Roman"/>
                <w:color w:val="auto"/>
                <w:szCs w:val="22"/>
              </w:rPr>
              <w:t>上行超速保护装置动作试验</w:t>
            </w:r>
          </w:p>
        </w:tc>
        <w:tc>
          <w:tcPr>
            <w:tcW w:w="3169" w:type="pct"/>
            <w:noWrap w:val="0"/>
            <w:vAlign w:val="center"/>
          </w:tcPr>
          <w:p w14:paraId="3162907D">
            <w:pPr>
              <w:rPr>
                <w:rFonts w:ascii="Calibri" w:hAnsi="Calibri" w:eastAsia="宋体" w:cs="Times New Roman"/>
                <w:color w:val="auto"/>
                <w:szCs w:val="22"/>
              </w:rPr>
            </w:pPr>
            <w:r>
              <w:rPr>
                <w:rFonts w:hint="eastAsia" w:ascii="Calibri" w:hAnsi="Calibri" w:eastAsia="宋体" w:cs="Times New Roman"/>
                <w:color w:val="auto"/>
                <w:szCs w:val="22"/>
              </w:rPr>
              <w:t>工作正常，速度监控部件和制动减速部件完好，速度监控部件能在检测出上行轿厢的速度失控时操纵制动减速元件动作</w:t>
            </w:r>
          </w:p>
        </w:tc>
      </w:tr>
      <w:tr w14:paraId="0F16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31" w:type="pct"/>
            <w:noWrap w:val="0"/>
            <w:vAlign w:val="center"/>
          </w:tcPr>
          <w:p w14:paraId="2C41523B">
            <w:pPr>
              <w:jc w:val="center"/>
              <w:rPr>
                <w:rFonts w:ascii="Calibri" w:hAnsi="Calibri" w:eastAsia="宋体" w:cs="Times New Roman"/>
                <w:color w:val="auto"/>
                <w:szCs w:val="22"/>
              </w:rPr>
            </w:pPr>
            <w:r>
              <w:rPr>
                <w:rFonts w:hint="eastAsia" w:ascii="Calibri" w:hAnsi="Calibri" w:eastAsia="宋体" w:cs="Times New Roman"/>
                <w:color w:val="auto"/>
                <w:szCs w:val="22"/>
              </w:rPr>
              <w:t>8</w:t>
            </w:r>
          </w:p>
        </w:tc>
        <w:tc>
          <w:tcPr>
            <w:tcW w:w="1499" w:type="pct"/>
            <w:noWrap w:val="0"/>
            <w:vAlign w:val="center"/>
          </w:tcPr>
          <w:p w14:paraId="07DEE08E">
            <w:pPr>
              <w:rPr>
                <w:rFonts w:ascii="Calibri" w:hAnsi="Calibri" w:eastAsia="宋体" w:cs="Times New Roman"/>
                <w:color w:val="auto"/>
                <w:szCs w:val="22"/>
              </w:rPr>
            </w:pPr>
            <w:r>
              <w:rPr>
                <w:rFonts w:hint="eastAsia" w:ascii="Calibri" w:hAnsi="Calibri" w:eastAsia="宋体" w:cs="Times New Roman"/>
                <w:color w:val="auto"/>
                <w:szCs w:val="22"/>
              </w:rPr>
              <w:t>轿顶、轿厢架、轿门</w:t>
            </w:r>
          </w:p>
          <w:p w14:paraId="60DF3126">
            <w:pPr>
              <w:rPr>
                <w:rFonts w:ascii="Calibri" w:hAnsi="Calibri" w:eastAsia="宋体" w:cs="Times New Roman"/>
                <w:color w:val="auto"/>
                <w:szCs w:val="22"/>
              </w:rPr>
            </w:pPr>
            <w:r>
              <w:rPr>
                <w:rFonts w:hint="eastAsia" w:ascii="Calibri" w:hAnsi="Calibri" w:eastAsia="宋体" w:cs="Times New Roman"/>
                <w:color w:val="auto"/>
                <w:szCs w:val="22"/>
              </w:rPr>
              <w:t>及其附件的螺栓</w:t>
            </w:r>
          </w:p>
        </w:tc>
        <w:tc>
          <w:tcPr>
            <w:tcW w:w="3169" w:type="pct"/>
            <w:noWrap w:val="0"/>
            <w:vAlign w:val="center"/>
          </w:tcPr>
          <w:p w14:paraId="5BD547D8">
            <w:pPr>
              <w:rPr>
                <w:rFonts w:ascii="Calibri" w:hAnsi="Calibri" w:eastAsia="宋体" w:cs="Times New Roman"/>
                <w:color w:val="auto"/>
                <w:szCs w:val="22"/>
              </w:rPr>
            </w:pPr>
            <w:r>
              <w:rPr>
                <w:rFonts w:hint="eastAsia" w:ascii="Calibri" w:hAnsi="Calibri" w:eastAsia="宋体" w:cs="Times New Roman"/>
                <w:color w:val="auto"/>
                <w:szCs w:val="22"/>
              </w:rPr>
              <w:t>固定螺栓齐全牢固，无松动</w:t>
            </w:r>
          </w:p>
        </w:tc>
      </w:tr>
      <w:tr w14:paraId="3BE6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31" w:type="pct"/>
            <w:noWrap w:val="0"/>
            <w:vAlign w:val="center"/>
          </w:tcPr>
          <w:p w14:paraId="1613672A">
            <w:pPr>
              <w:jc w:val="center"/>
              <w:rPr>
                <w:rFonts w:ascii="Calibri" w:hAnsi="Calibri" w:eastAsia="宋体" w:cs="Times New Roman"/>
                <w:color w:val="auto"/>
                <w:szCs w:val="22"/>
              </w:rPr>
            </w:pPr>
            <w:r>
              <w:rPr>
                <w:rFonts w:hint="eastAsia" w:ascii="Calibri" w:hAnsi="Calibri" w:eastAsia="宋体" w:cs="Times New Roman"/>
                <w:color w:val="auto"/>
                <w:szCs w:val="22"/>
              </w:rPr>
              <w:t>9</w:t>
            </w:r>
          </w:p>
        </w:tc>
        <w:tc>
          <w:tcPr>
            <w:tcW w:w="1499" w:type="pct"/>
            <w:noWrap w:val="0"/>
            <w:vAlign w:val="center"/>
          </w:tcPr>
          <w:p w14:paraId="5DFC0706">
            <w:pPr>
              <w:rPr>
                <w:rFonts w:ascii="Calibri" w:hAnsi="Calibri" w:eastAsia="宋体" w:cs="Times New Roman"/>
                <w:color w:val="auto"/>
                <w:szCs w:val="22"/>
              </w:rPr>
            </w:pPr>
            <w:r>
              <w:rPr>
                <w:rFonts w:hint="eastAsia" w:ascii="Calibri" w:hAnsi="Calibri" w:eastAsia="宋体" w:cs="Times New Roman"/>
                <w:color w:val="auto"/>
                <w:szCs w:val="22"/>
              </w:rPr>
              <w:t>轿厢和对重的导轨支架</w:t>
            </w:r>
          </w:p>
        </w:tc>
        <w:tc>
          <w:tcPr>
            <w:tcW w:w="3169" w:type="pct"/>
            <w:noWrap w:val="0"/>
            <w:vAlign w:val="center"/>
          </w:tcPr>
          <w:p w14:paraId="6C8E81A9">
            <w:pPr>
              <w:rPr>
                <w:rFonts w:ascii="Calibri" w:hAnsi="Calibri" w:eastAsia="宋体" w:cs="Times New Roman"/>
                <w:color w:val="auto"/>
                <w:szCs w:val="22"/>
              </w:rPr>
            </w:pPr>
            <w:r>
              <w:rPr>
                <w:rFonts w:hint="eastAsia" w:ascii="Calibri" w:hAnsi="Calibri" w:eastAsia="宋体" w:cs="Times New Roman"/>
                <w:color w:val="auto"/>
                <w:szCs w:val="22"/>
              </w:rPr>
              <w:t xml:space="preserve">齐全牢固，无松动，无锈蚀 </w:t>
            </w:r>
          </w:p>
        </w:tc>
      </w:tr>
      <w:tr w14:paraId="0B21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31" w:type="pct"/>
            <w:noWrap w:val="0"/>
            <w:vAlign w:val="center"/>
          </w:tcPr>
          <w:p w14:paraId="33A76597">
            <w:pPr>
              <w:jc w:val="center"/>
              <w:rPr>
                <w:rFonts w:ascii="Calibri" w:hAnsi="Calibri" w:eastAsia="宋体" w:cs="Times New Roman"/>
                <w:color w:val="auto"/>
                <w:szCs w:val="22"/>
              </w:rPr>
            </w:pPr>
            <w:r>
              <w:rPr>
                <w:rFonts w:hint="eastAsia" w:ascii="Calibri" w:hAnsi="Calibri" w:eastAsia="宋体" w:cs="Times New Roman"/>
                <w:color w:val="auto"/>
                <w:szCs w:val="22"/>
              </w:rPr>
              <w:t>10</w:t>
            </w:r>
          </w:p>
        </w:tc>
        <w:tc>
          <w:tcPr>
            <w:tcW w:w="1499" w:type="pct"/>
            <w:noWrap w:val="0"/>
            <w:vAlign w:val="center"/>
          </w:tcPr>
          <w:p w14:paraId="5A25E75A">
            <w:pPr>
              <w:rPr>
                <w:rFonts w:ascii="Calibri" w:hAnsi="Calibri" w:eastAsia="宋体" w:cs="Times New Roman"/>
                <w:color w:val="auto"/>
                <w:szCs w:val="22"/>
              </w:rPr>
            </w:pPr>
            <w:r>
              <w:rPr>
                <w:rFonts w:hint="eastAsia" w:ascii="Calibri" w:hAnsi="Calibri" w:eastAsia="宋体" w:cs="Times New Roman"/>
                <w:color w:val="auto"/>
                <w:szCs w:val="22"/>
              </w:rPr>
              <w:t>轿厢和对重的导轨</w:t>
            </w:r>
          </w:p>
        </w:tc>
        <w:tc>
          <w:tcPr>
            <w:tcW w:w="3169" w:type="pct"/>
            <w:noWrap w:val="0"/>
            <w:vAlign w:val="center"/>
          </w:tcPr>
          <w:p w14:paraId="2D3D7E07">
            <w:pPr>
              <w:rPr>
                <w:rFonts w:ascii="Calibri" w:hAnsi="Calibri" w:eastAsia="宋体" w:cs="Times New Roman"/>
                <w:color w:val="auto"/>
                <w:szCs w:val="22"/>
              </w:rPr>
            </w:pPr>
            <w:r>
              <w:rPr>
                <w:rFonts w:hint="eastAsia" w:ascii="Calibri" w:hAnsi="Calibri" w:eastAsia="宋体" w:cs="Times New Roman"/>
                <w:color w:val="auto"/>
                <w:szCs w:val="22"/>
              </w:rPr>
              <w:t>表面清洁，压板牢固</w:t>
            </w:r>
          </w:p>
        </w:tc>
      </w:tr>
      <w:tr w14:paraId="3102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trPr>
        <w:tc>
          <w:tcPr>
            <w:tcW w:w="331" w:type="pct"/>
            <w:noWrap w:val="0"/>
            <w:vAlign w:val="center"/>
          </w:tcPr>
          <w:p w14:paraId="286D08F2">
            <w:pPr>
              <w:jc w:val="center"/>
              <w:rPr>
                <w:rFonts w:ascii="Calibri" w:hAnsi="Calibri" w:eastAsia="宋体" w:cs="Times New Roman"/>
                <w:color w:val="auto"/>
                <w:szCs w:val="22"/>
              </w:rPr>
            </w:pPr>
            <w:r>
              <w:rPr>
                <w:rFonts w:hint="eastAsia" w:ascii="Calibri" w:hAnsi="Calibri" w:eastAsia="宋体" w:cs="Times New Roman"/>
                <w:color w:val="auto"/>
                <w:szCs w:val="22"/>
              </w:rPr>
              <w:t>11</w:t>
            </w:r>
          </w:p>
        </w:tc>
        <w:tc>
          <w:tcPr>
            <w:tcW w:w="1499" w:type="pct"/>
            <w:noWrap w:val="0"/>
            <w:vAlign w:val="center"/>
          </w:tcPr>
          <w:p w14:paraId="21054B2A">
            <w:pPr>
              <w:rPr>
                <w:rFonts w:ascii="Calibri" w:hAnsi="Calibri" w:eastAsia="宋体" w:cs="Times New Roman"/>
                <w:color w:val="auto"/>
                <w:szCs w:val="22"/>
              </w:rPr>
            </w:pPr>
            <w:r>
              <w:rPr>
                <w:rFonts w:hint="eastAsia" w:ascii="Calibri" w:hAnsi="Calibri" w:eastAsia="宋体" w:cs="Times New Roman"/>
                <w:color w:val="auto"/>
                <w:szCs w:val="22"/>
              </w:rPr>
              <w:t>随行电缆</w:t>
            </w:r>
          </w:p>
        </w:tc>
        <w:tc>
          <w:tcPr>
            <w:tcW w:w="3169" w:type="pct"/>
            <w:noWrap w:val="0"/>
            <w:vAlign w:val="center"/>
          </w:tcPr>
          <w:p w14:paraId="51A5E1FC">
            <w:pPr>
              <w:rPr>
                <w:rFonts w:ascii="Calibri" w:hAnsi="Calibri" w:eastAsia="宋体" w:cs="Times New Roman"/>
                <w:color w:val="auto"/>
                <w:szCs w:val="22"/>
              </w:rPr>
            </w:pPr>
            <w:r>
              <w:rPr>
                <w:rFonts w:hint="eastAsia" w:ascii="Calibri" w:hAnsi="Calibri" w:eastAsia="宋体" w:cs="Times New Roman"/>
                <w:color w:val="auto"/>
                <w:szCs w:val="22"/>
              </w:rPr>
              <w:t xml:space="preserve">随行电缆无损伤；随行电缆两端应可靠固定，不应有打结及波浪扭曲现象；运行时随行电缆不应触及其他部件而导致磨损或损坏；轿厢完全压缩缓冲器后，电缆不得与底坑地面及其他部件接触 </w:t>
            </w:r>
          </w:p>
        </w:tc>
      </w:tr>
      <w:tr w14:paraId="2226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31" w:type="pct"/>
            <w:noWrap w:val="0"/>
            <w:vAlign w:val="center"/>
          </w:tcPr>
          <w:p w14:paraId="40B11A77">
            <w:pPr>
              <w:jc w:val="center"/>
              <w:rPr>
                <w:rFonts w:ascii="Calibri" w:hAnsi="Calibri" w:eastAsia="宋体" w:cs="Times New Roman"/>
                <w:color w:val="auto"/>
                <w:szCs w:val="22"/>
              </w:rPr>
            </w:pPr>
            <w:r>
              <w:rPr>
                <w:rFonts w:hint="eastAsia" w:ascii="Calibri" w:hAnsi="Calibri" w:eastAsia="宋体" w:cs="Times New Roman"/>
                <w:color w:val="auto"/>
                <w:szCs w:val="22"/>
              </w:rPr>
              <w:t>12</w:t>
            </w:r>
          </w:p>
        </w:tc>
        <w:tc>
          <w:tcPr>
            <w:tcW w:w="1499" w:type="pct"/>
            <w:noWrap w:val="0"/>
            <w:vAlign w:val="center"/>
          </w:tcPr>
          <w:p w14:paraId="4B7A4F8D">
            <w:pPr>
              <w:rPr>
                <w:rFonts w:ascii="Calibri" w:hAnsi="Calibri" w:eastAsia="宋体" w:cs="Times New Roman"/>
                <w:color w:val="auto"/>
                <w:szCs w:val="22"/>
              </w:rPr>
            </w:pPr>
            <w:r>
              <w:rPr>
                <w:rFonts w:hint="eastAsia" w:ascii="Calibri" w:hAnsi="Calibri" w:eastAsia="宋体" w:cs="Times New Roman"/>
                <w:color w:val="auto"/>
                <w:szCs w:val="22"/>
              </w:rPr>
              <w:t>层门装置和地坎</w:t>
            </w:r>
          </w:p>
        </w:tc>
        <w:tc>
          <w:tcPr>
            <w:tcW w:w="3169" w:type="pct"/>
            <w:noWrap w:val="0"/>
            <w:vAlign w:val="center"/>
          </w:tcPr>
          <w:p w14:paraId="6FAA1A22">
            <w:pPr>
              <w:rPr>
                <w:rFonts w:ascii="Calibri" w:hAnsi="Calibri" w:eastAsia="宋体" w:cs="Times New Roman"/>
                <w:color w:val="auto"/>
                <w:szCs w:val="22"/>
              </w:rPr>
            </w:pPr>
            <w:r>
              <w:rPr>
                <w:rFonts w:hint="eastAsia" w:ascii="Calibri" w:hAnsi="Calibri" w:eastAsia="宋体" w:cs="Times New Roman"/>
                <w:color w:val="auto"/>
                <w:szCs w:val="22"/>
              </w:rPr>
              <w:t>无影响正常使用的变形，各固定螺栓紧固</w:t>
            </w:r>
          </w:p>
        </w:tc>
      </w:tr>
      <w:tr w14:paraId="4DD4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31" w:type="pct"/>
            <w:noWrap w:val="0"/>
            <w:vAlign w:val="center"/>
          </w:tcPr>
          <w:p w14:paraId="68982B4B">
            <w:pPr>
              <w:jc w:val="center"/>
              <w:rPr>
                <w:rFonts w:ascii="Calibri" w:hAnsi="Calibri" w:eastAsia="宋体" w:cs="Times New Roman"/>
                <w:color w:val="auto"/>
                <w:szCs w:val="22"/>
              </w:rPr>
            </w:pPr>
            <w:r>
              <w:rPr>
                <w:rFonts w:hint="eastAsia" w:ascii="Calibri" w:hAnsi="Calibri" w:eastAsia="宋体" w:cs="Times New Roman"/>
                <w:color w:val="auto"/>
                <w:szCs w:val="22"/>
              </w:rPr>
              <w:t>13</w:t>
            </w:r>
          </w:p>
        </w:tc>
        <w:tc>
          <w:tcPr>
            <w:tcW w:w="1499" w:type="pct"/>
            <w:noWrap w:val="0"/>
            <w:vAlign w:val="center"/>
          </w:tcPr>
          <w:p w14:paraId="3D4088B7">
            <w:pPr>
              <w:rPr>
                <w:rFonts w:ascii="Calibri" w:hAnsi="Calibri" w:eastAsia="宋体" w:cs="Times New Roman"/>
                <w:color w:val="auto"/>
                <w:szCs w:val="22"/>
              </w:rPr>
            </w:pPr>
            <w:r>
              <w:rPr>
                <w:rFonts w:hint="eastAsia" w:ascii="Calibri" w:hAnsi="Calibri" w:eastAsia="宋体" w:cs="Times New Roman"/>
                <w:color w:val="auto"/>
                <w:szCs w:val="22"/>
              </w:rPr>
              <w:t>轿厢称重装置</w:t>
            </w:r>
          </w:p>
        </w:tc>
        <w:tc>
          <w:tcPr>
            <w:tcW w:w="3169" w:type="pct"/>
            <w:noWrap w:val="0"/>
            <w:vAlign w:val="center"/>
          </w:tcPr>
          <w:p w14:paraId="222F0C3D">
            <w:pPr>
              <w:rPr>
                <w:rFonts w:ascii="Calibri" w:hAnsi="Calibri" w:eastAsia="宋体" w:cs="Times New Roman"/>
                <w:color w:val="auto"/>
                <w:szCs w:val="22"/>
              </w:rPr>
            </w:pPr>
            <w:r>
              <w:rPr>
                <w:rFonts w:hint="eastAsia" w:ascii="Calibri" w:hAnsi="Calibri" w:eastAsia="宋体" w:cs="Times New Roman"/>
                <w:color w:val="auto"/>
                <w:szCs w:val="22"/>
              </w:rPr>
              <w:t>准确有效，满载、超载信号所对应的相关声光信号正常</w:t>
            </w:r>
          </w:p>
        </w:tc>
      </w:tr>
      <w:tr w14:paraId="129D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31" w:type="pct"/>
            <w:noWrap w:val="0"/>
            <w:vAlign w:val="center"/>
          </w:tcPr>
          <w:p w14:paraId="7C84C4B1">
            <w:pPr>
              <w:jc w:val="center"/>
              <w:rPr>
                <w:rFonts w:ascii="Calibri" w:hAnsi="Calibri" w:eastAsia="宋体" w:cs="Times New Roman"/>
                <w:color w:val="auto"/>
                <w:szCs w:val="22"/>
              </w:rPr>
            </w:pPr>
            <w:r>
              <w:rPr>
                <w:rFonts w:hint="eastAsia" w:ascii="Calibri" w:hAnsi="Calibri" w:eastAsia="宋体" w:cs="Times New Roman"/>
                <w:color w:val="auto"/>
                <w:szCs w:val="22"/>
              </w:rPr>
              <w:t>14</w:t>
            </w:r>
          </w:p>
        </w:tc>
        <w:tc>
          <w:tcPr>
            <w:tcW w:w="1499" w:type="pct"/>
            <w:noWrap w:val="0"/>
            <w:vAlign w:val="center"/>
          </w:tcPr>
          <w:p w14:paraId="0F02270B">
            <w:pPr>
              <w:rPr>
                <w:rFonts w:ascii="Calibri" w:hAnsi="Calibri" w:eastAsia="宋体" w:cs="Times New Roman"/>
                <w:color w:val="auto"/>
                <w:szCs w:val="22"/>
              </w:rPr>
            </w:pPr>
            <w:r>
              <w:rPr>
                <w:rFonts w:hint="eastAsia" w:ascii="Calibri" w:hAnsi="Calibri" w:eastAsia="宋体" w:cs="Times New Roman"/>
                <w:color w:val="auto"/>
                <w:szCs w:val="22"/>
              </w:rPr>
              <w:t>安全钳钳座</w:t>
            </w:r>
          </w:p>
        </w:tc>
        <w:tc>
          <w:tcPr>
            <w:tcW w:w="3169" w:type="pct"/>
            <w:noWrap w:val="0"/>
            <w:vAlign w:val="center"/>
          </w:tcPr>
          <w:p w14:paraId="20FD66C0">
            <w:pPr>
              <w:rPr>
                <w:rFonts w:ascii="Calibri" w:hAnsi="Calibri" w:eastAsia="宋体" w:cs="Times New Roman"/>
                <w:color w:val="auto"/>
                <w:szCs w:val="22"/>
              </w:rPr>
            </w:pPr>
            <w:r>
              <w:rPr>
                <w:rFonts w:hint="eastAsia" w:ascii="Calibri" w:hAnsi="Calibri" w:eastAsia="宋体" w:cs="Times New Roman"/>
                <w:color w:val="auto"/>
                <w:szCs w:val="22"/>
              </w:rPr>
              <w:t>固定，无松动；安全钳及联动机构各部件齐全，无过量磨损及损坏；安全钳各楔块与导轨间隙均匀并符合产品要求，夹紧位置正确；安全钳各部件无油污</w:t>
            </w:r>
          </w:p>
        </w:tc>
      </w:tr>
      <w:tr w14:paraId="4B90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31" w:type="pct"/>
            <w:noWrap w:val="0"/>
            <w:vAlign w:val="center"/>
          </w:tcPr>
          <w:p w14:paraId="5AFAD26F">
            <w:pPr>
              <w:jc w:val="center"/>
              <w:rPr>
                <w:rFonts w:ascii="Calibri" w:hAnsi="Calibri" w:eastAsia="宋体" w:cs="Times New Roman"/>
                <w:color w:val="auto"/>
                <w:szCs w:val="22"/>
              </w:rPr>
            </w:pPr>
            <w:r>
              <w:rPr>
                <w:rFonts w:hint="eastAsia" w:ascii="Calibri" w:hAnsi="Calibri" w:eastAsia="宋体" w:cs="Times New Roman"/>
                <w:color w:val="auto"/>
                <w:szCs w:val="22"/>
              </w:rPr>
              <w:t>15</w:t>
            </w:r>
          </w:p>
        </w:tc>
        <w:tc>
          <w:tcPr>
            <w:tcW w:w="1499" w:type="pct"/>
            <w:noWrap w:val="0"/>
            <w:vAlign w:val="center"/>
          </w:tcPr>
          <w:p w14:paraId="1AB15978">
            <w:pPr>
              <w:rPr>
                <w:rFonts w:ascii="Calibri" w:hAnsi="Calibri" w:eastAsia="宋体" w:cs="Times New Roman"/>
                <w:color w:val="auto"/>
                <w:szCs w:val="22"/>
              </w:rPr>
            </w:pPr>
            <w:r>
              <w:rPr>
                <w:rFonts w:hint="eastAsia" w:ascii="Calibri" w:hAnsi="Calibri" w:eastAsia="宋体" w:cs="Times New Roman"/>
                <w:color w:val="auto"/>
                <w:szCs w:val="22"/>
              </w:rPr>
              <w:t>轿底各安装螺栓</w:t>
            </w:r>
          </w:p>
        </w:tc>
        <w:tc>
          <w:tcPr>
            <w:tcW w:w="3169" w:type="pct"/>
            <w:noWrap w:val="0"/>
            <w:vAlign w:val="center"/>
          </w:tcPr>
          <w:p w14:paraId="1A8D8179">
            <w:pPr>
              <w:rPr>
                <w:rFonts w:ascii="Calibri" w:hAnsi="Calibri" w:eastAsia="宋体" w:cs="Times New Roman"/>
                <w:color w:val="auto"/>
                <w:szCs w:val="22"/>
              </w:rPr>
            </w:pPr>
            <w:r>
              <w:rPr>
                <w:rFonts w:hint="eastAsia" w:ascii="Calibri" w:hAnsi="Calibri" w:eastAsia="宋体" w:cs="Times New Roman"/>
                <w:color w:val="auto"/>
                <w:szCs w:val="22"/>
              </w:rPr>
              <w:t>齐全牢固，无松动</w:t>
            </w:r>
          </w:p>
        </w:tc>
      </w:tr>
      <w:tr w14:paraId="6E40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31" w:type="pct"/>
            <w:noWrap w:val="0"/>
            <w:vAlign w:val="center"/>
          </w:tcPr>
          <w:p w14:paraId="14724EE3">
            <w:pPr>
              <w:jc w:val="center"/>
              <w:rPr>
                <w:rFonts w:ascii="Calibri" w:hAnsi="Calibri" w:eastAsia="宋体" w:cs="Times New Roman"/>
                <w:color w:val="auto"/>
                <w:szCs w:val="22"/>
              </w:rPr>
            </w:pPr>
            <w:r>
              <w:rPr>
                <w:rFonts w:hint="eastAsia" w:ascii="Calibri" w:hAnsi="Calibri" w:eastAsia="宋体" w:cs="Times New Roman"/>
                <w:color w:val="auto"/>
                <w:szCs w:val="22"/>
              </w:rPr>
              <w:t>16</w:t>
            </w:r>
          </w:p>
        </w:tc>
        <w:tc>
          <w:tcPr>
            <w:tcW w:w="1499" w:type="pct"/>
            <w:noWrap w:val="0"/>
            <w:vAlign w:val="center"/>
          </w:tcPr>
          <w:p w14:paraId="65EFD115">
            <w:pPr>
              <w:rPr>
                <w:rFonts w:ascii="Calibri" w:hAnsi="Calibri" w:eastAsia="宋体" w:cs="Times New Roman"/>
                <w:color w:val="auto"/>
                <w:szCs w:val="22"/>
              </w:rPr>
            </w:pPr>
            <w:r>
              <w:rPr>
                <w:rFonts w:hint="eastAsia" w:ascii="Calibri" w:hAnsi="Calibri" w:eastAsia="宋体" w:cs="Times New Roman"/>
                <w:color w:val="auto"/>
                <w:szCs w:val="22"/>
              </w:rPr>
              <w:t>缓冲器</w:t>
            </w:r>
          </w:p>
        </w:tc>
        <w:tc>
          <w:tcPr>
            <w:tcW w:w="3169" w:type="pct"/>
            <w:noWrap w:val="0"/>
            <w:vAlign w:val="center"/>
          </w:tcPr>
          <w:p w14:paraId="0DBE96E6">
            <w:pPr>
              <w:rPr>
                <w:rFonts w:ascii="Calibri" w:hAnsi="Calibri" w:eastAsia="宋体" w:cs="Times New Roman"/>
                <w:color w:val="auto"/>
                <w:szCs w:val="22"/>
              </w:rPr>
            </w:pPr>
            <w:r>
              <w:rPr>
                <w:rFonts w:hint="eastAsia" w:ascii="Calibri" w:hAnsi="Calibri" w:eastAsia="宋体" w:cs="Times New Roman"/>
                <w:color w:val="auto"/>
                <w:szCs w:val="22"/>
              </w:rPr>
              <w:t>固定，无松动</w:t>
            </w:r>
          </w:p>
        </w:tc>
      </w:tr>
    </w:tbl>
    <w:p w14:paraId="3CB36E29">
      <w:pPr>
        <w:pStyle w:val="2"/>
        <w:rPr>
          <w:rFonts w:hint="eastAsia"/>
          <w:color w:val="auto"/>
        </w:rPr>
      </w:pPr>
    </w:p>
    <w:p w14:paraId="141D1F3E">
      <w:pPr>
        <w:spacing w:line="360" w:lineRule="auto"/>
        <w:ind w:right="640"/>
        <w:rPr>
          <w:rFonts w:hint="eastAsia" w:ascii="宋体" w:hAnsi="宋体" w:eastAsia="宋体" w:cs="宋体"/>
          <w:color w:val="auto"/>
          <w:szCs w:val="21"/>
        </w:rPr>
      </w:pPr>
    </w:p>
    <w:p w14:paraId="5ACE0E9E">
      <w:pPr>
        <w:pStyle w:val="2"/>
        <w:rPr>
          <w:rFonts w:hint="default"/>
          <w:color w:val="auto"/>
          <w:lang w:val="en-US" w:eastAsia="zh-CN"/>
        </w:rPr>
      </w:pPr>
    </w:p>
    <w:p w14:paraId="1A519F66">
      <w:pPr>
        <w:pStyle w:val="2"/>
        <w:rPr>
          <w:rFonts w:hint="default"/>
          <w:color w:val="auto"/>
          <w:lang w:val="en-US" w:eastAsia="zh-CN"/>
        </w:rPr>
      </w:pPr>
    </w:p>
    <w:p w14:paraId="64A0F4CE">
      <w:pPr>
        <w:pStyle w:val="2"/>
        <w:rPr>
          <w:rFonts w:hint="default"/>
          <w:color w:val="auto"/>
          <w:lang w:val="en-US" w:eastAsia="zh-CN"/>
        </w:rPr>
      </w:pPr>
    </w:p>
    <w:p w14:paraId="6B612071">
      <w:pPr>
        <w:pStyle w:val="2"/>
        <w:rPr>
          <w:rFonts w:hint="default"/>
          <w:color w:val="auto"/>
          <w:lang w:val="en-US" w:eastAsia="zh-CN"/>
        </w:rPr>
      </w:pPr>
    </w:p>
    <w:p w14:paraId="0682876E">
      <w:pPr>
        <w:pStyle w:val="2"/>
        <w:rPr>
          <w:rFonts w:hint="default"/>
          <w:color w:val="auto"/>
          <w:lang w:val="en-US" w:eastAsia="zh-CN"/>
        </w:rPr>
      </w:pPr>
    </w:p>
    <w:p w14:paraId="1DE135EF">
      <w:pPr>
        <w:pStyle w:val="2"/>
        <w:rPr>
          <w:rFonts w:hint="default"/>
          <w:color w:val="auto"/>
          <w:lang w:val="en-US" w:eastAsia="zh-CN"/>
        </w:rPr>
      </w:pPr>
    </w:p>
    <w:p w14:paraId="1F8C140F">
      <w:pPr>
        <w:pStyle w:val="2"/>
        <w:rPr>
          <w:rFonts w:hint="default"/>
          <w:color w:val="auto"/>
          <w:lang w:val="en-US" w:eastAsia="zh-CN"/>
        </w:rPr>
      </w:pPr>
    </w:p>
    <w:p w14:paraId="05BF434C">
      <w:pPr>
        <w:pStyle w:val="2"/>
        <w:rPr>
          <w:rFonts w:hint="default"/>
          <w:color w:val="auto"/>
          <w:lang w:val="en-US" w:eastAsia="zh-CN"/>
        </w:rPr>
      </w:pPr>
    </w:p>
    <w:p w14:paraId="672E6208">
      <w:pPr>
        <w:pStyle w:val="2"/>
        <w:rPr>
          <w:rFonts w:hint="default"/>
          <w:color w:val="auto"/>
          <w:lang w:val="en-US" w:eastAsia="zh-CN"/>
        </w:rPr>
      </w:pPr>
    </w:p>
    <w:p w14:paraId="44D107F9">
      <w:pPr>
        <w:pStyle w:val="2"/>
        <w:rPr>
          <w:rFonts w:hint="default"/>
          <w:color w:val="auto"/>
          <w:lang w:val="en-US" w:eastAsia="zh-CN"/>
        </w:rPr>
      </w:pPr>
    </w:p>
    <w:p w14:paraId="0E7981D3">
      <w:pPr>
        <w:pStyle w:val="2"/>
        <w:rPr>
          <w:rFonts w:hint="default"/>
          <w:color w:val="auto"/>
          <w:lang w:val="en-US" w:eastAsia="zh-CN"/>
        </w:rPr>
      </w:pPr>
    </w:p>
    <w:p w14:paraId="5C6C2C15">
      <w:pPr>
        <w:pStyle w:val="2"/>
        <w:rPr>
          <w:rFonts w:hint="default"/>
          <w:color w:val="auto"/>
          <w:lang w:val="en-US" w:eastAsia="zh-CN"/>
        </w:rPr>
      </w:pPr>
    </w:p>
    <w:p w14:paraId="3F760504">
      <w:pPr>
        <w:pStyle w:val="2"/>
        <w:rPr>
          <w:rFonts w:hint="default"/>
          <w:color w:val="auto"/>
          <w:lang w:val="en-US" w:eastAsia="zh-CN"/>
        </w:rPr>
      </w:pPr>
    </w:p>
    <w:p w14:paraId="664FEBEB">
      <w:pPr>
        <w:pStyle w:val="2"/>
        <w:rPr>
          <w:rFonts w:hint="default"/>
          <w:color w:val="auto"/>
          <w:lang w:val="en-US" w:eastAsia="zh-CN"/>
        </w:rPr>
      </w:pPr>
    </w:p>
    <w:p w14:paraId="68E9E2C6">
      <w:pPr>
        <w:rPr>
          <w:rFonts w:hint="eastAsia"/>
          <w:color w:val="auto"/>
          <w:lang w:val="en-US" w:eastAsia="zh-CN"/>
        </w:rPr>
      </w:pPr>
      <w:r>
        <w:rPr>
          <w:rFonts w:hint="eastAsia"/>
          <w:color w:val="auto"/>
          <w:lang w:val="en-US" w:eastAsia="zh-CN"/>
        </w:rPr>
        <w:br w:type="page"/>
      </w:r>
    </w:p>
    <w:p w14:paraId="2379A28F">
      <w:pPr>
        <w:pStyle w:val="16"/>
        <w:numPr>
          <w:ilvl w:val="0"/>
          <w:numId w:val="0"/>
        </w:numPr>
        <w:spacing w:before="0" w:after="0" w:line="360" w:lineRule="auto"/>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202</w:t>
      </w:r>
      <w:r>
        <w:rPr>
          <w:rFonts w:hint="eastAsia" w:ascii="宋体" w:hAnsi="宋体" w:eastAsia="宋体" w:cs="宋体"/>
          <w:b/>
          <w:bCs/>
          <w:color w:val="auto"/>
          <w:sz w:val="32"/>
          <w:szCs w:val="32"/>
          <w:lang w:val="en-US" w:eastAsia="zh-CN"/>
        </w:rPr>
        <w:t>5</w:t>
      </w:r>
      <w:r>
        <w:rPr>
          <w:rFonts w:hint="eastAsia" w:ascii="宋体" w:hAnsi="宋体" w:eastAsia="宋体" w:cs="宋体"/>
          <w:b/>
          <w:bCs/>
          <w:color w:val="auto"/>
          <w:sz w:val="32"/>
          <w:szCs w:val="32"/>
        </w:rPr>
        <w:t>年-202</w:t>
      </w:r>
      <w:r>
        <w:rPr>
          <w:rFonts w:hint="eastAsia" w:ascii="宋体" w:hAnsi="宋体" w:eastAsia="宋体" w:cs="宋体"/>
          <w:b/>
          <w:bCs/>
          <w:color w:val="auto"/>
          <w:sz w:val="32"/>
          <w:szCs w:val="32"/>
          <w:lang w:val="en-US" w:eastAsia="zh-CN"/>
        </w:rPr>
        <w:t>7</w:t>
      </w:r>
      <w:r>
        <w:rPr>
          <w:rFonts w:hint="eastAsia" w:ascii="宋体" w:hAnsi="宋体" w:eastAsia="宋体" w:cs="宋体"/>
          <w:b/>
          <w:bCs/>
          <w:color w:val="auto"/>
          <w:sz w:val="32"/>
          <w:szCs w:val="32"/>
        </w:rPr>
        <w:t>年泉州师范学院</w:t>
      </w:r>
      <w:r>
        <w:rPr>
          <w:rFonts w:hint="eastAsia" w:ascii="宋体" w:hAnsi="宋体" w:eastAsia="宋体" w:cs="宋体"/>
          <w:b/>
          <w:bCs/>
          <w:color w:val="auto"/>
          <w:sz w:val="32"/>
          <w:szCs w:val="32"/>
          <w:lang w:eastAsia="zh-CN"/>
        </w:rPr>
        <w:t>主校区</w:t>
      </w:r>
      <w:r>
        <w:rPr>
          <w:rFonts w:hint="eastAsia" w:ascii="宋体" w:hAnsi="宋体" w:eastAsia="宋体" w:cs="宋体"/>
          <w:b/>
          <w:bCs/>
          <w:color w:val="auto"/>
          <w:sz w:val="32"/>
          <w:szCs w:val="32"/>
        </w:rPr>
        <w:t>电梯维保服务项目采购</w:t>
      </w:r>
      <w:r>
        <w:rPr>
          <w:rFonts w:hint="eastAsia" w:ascii="宋体" w:hAnsi="宋体" w:eastAsia="宋体" w:cs="宋体"/>
          <w:b/>
          <w:bCs/>
          <w:color w:val="auto"/>
          <w:sz w:val="32"/>
          <w:szCs w:val="32"/>
          <w:lang w:eastAsia="zh-CN"/>
        </w:rPr>
        <w:t>半包</w:t>
      </w:r>
      <w:r>
        <w:rPr>
          <w:rFonts w:hint="eastAsia" w:ascii="宋体" w:hAnsi="宋体" w:eastAsia="宋体" w:cs="宋体"/>
          <w:b/>
          <w:bCs/>
          <w:color w:val="auto"/>
          <w:sz w:val="32"/>
          <w:szCs w:val="32"/>
        </w:rPr>
        <w:t>合同</w:t>
      </w: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rPr>
        <w:t>包</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rPr>
        <w:t>）</w:t>
      </w:r>
    </w:p>
    <w:p w14:paraId="6F7B347E">
      <w:pPr>
        <w:pStyle w:val="2"/>
        <w:ind w:firstLine="5520" w:firstLineChars="2300"/>
        <w:jc w:val="right"/>
        <w:rPr>
          <w:rFonts w:hint="eastAsia" w:hAnsi="宋体"/>
          <w:color w:val="auto"/>
          <w:szCs w:val="21"/>
          <w:lang w:val="en-US" w:eastAsia="zh-CN"/>
        </w:rPr>
      </w:pPr>
    </w:p>
    <w:p w14:paraId="7A822DD3">
      <w:pPr>
        <w:pStyle w:val="2"/>
        <w:ind w:firstLine="5520" w:firstLineChars="2300"/>
        <w:jc w:val="right"/>
        <w:rPr>
          <w:rFonts w:hint="eastAsia" w:hAnsi="宋体"/>
          <w:color w:val="auto"/>
          <w:szCs w:val="21"/>
          <w:lang w:val="en-US" w:eastAsia="zh-CN"/>
        </w:rPr>
      </w:pPr>
    </w:p>
    <w:p w14:paraId="6CF68BEE">
      <w:pPr>
        <w:spacing w:line="360" w:lineRule="auto"/>
        <w:rPr>
          <w:rFonts w:hint="eastAsia" w:ascii="宋体" w:hAnsi="宋体" w:eastAsia="宋体" w:cs="宋体"/>
          <w:b/>
          <w:color w:val="auto"/>
          <w:kern w:val="0"/>
          <w:szCs w:val="21"/>
        </w:rPr>
      </w:pPr>
      <w:r>
        <w:rPr>
          <w:rFonts w:hint="eastAsia" w:ascii="宋体" w:hAnsi="宋体" w:eastAsia="宋体" w:cs="宋体"/>
          <w:b/>
          <w:color w:val="auto"/>
          <w:kern w:val="0"/>
          <w:szCs w:val="21"/>
        </w:rPr>
        <w:t xml:space="preserve">使用单位（甲方）                </w:t>
      </w:r>
    </w:p>
    <w:p w14:paraId="2CBCFE60">
      <w:pPr>
        <w:spacing w:line="360" w:lineRule="auto"/>
        <w:jc w:val="left"/>
        <w:rPr>
          <w:rFonts w:hint="eastAsia" w:ascii="宋体" w:hAnsi="宋体" w:eastAsia="宋体" w:cs="宋体"/>
          <w:color w:val="auto"/>
          <w:kern w:val="0"/>
          <w:szCs w:val="21"/>
          <w:u w:val="single"/>
        </w:rPr>
      </w:pPr>
      <w:r>
        <w:rPr>
          <w:rFonts w:hint="eastAsia" w:ascii="宋体" w:hAnsi="宋体" w:eastAsia="宋体" w:cs="宋体"/>
          <w:b/>
          <w:color w:val="auto"/>
          <w:kern w:val="0"/>
          <w:szCs w:val="21"/>
        </w:rPr>
        <w:t>维保单位（乙方）</w:t>
      </w:r>
      <w:r>
        <w:rPr>
          <w:rFonts w:hint="eastAsia" w:ascii="宋体" w:hAnsi="宋体" w:eastAsia="宋体" w:cs="宋体"/>
          <w:b/>
          <w:color w:val="auto"/>
          <w:kern w:val="0"/>
          <w:szCs w:val="21"/>
          <w:lang w:val="en-US" w:eastAsia="zh-CN"/>
        </w:rPr>
        <w:t xml:space="preserve"> </w:t>
      </w:r>
    </w:p>
    <w:p w14:paraId="6EB9AB28">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公司于</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rPr>
        <w:t>组织的单一来源招标采购（</w:t>
      </w:r>
      <w:r>
        <w:rPr>
          <w:rFonts w:hint="eastAsia" w:ascii="宋体" w:hAnsi="宋体" w:eastAsia="宋体" w:cs="宋体"/>
          <w:color w:val="auto"/>
          <w:kern w:val="0"/>
          <w:szCs w:val="21"/>
          <w:lang w:eastAsia="zh-CN"/>
        </w:rPr>
        <w:t>采购</w:t>
      </w:r>
      <w:r>
        <w:rPr>
          <w:rFonts w:hint="eastAsia" w:ascii="宋体" w:hAnsi="宋体" w:eastAsia="宋体" w:cs="宋体"/>
          <w:color w:val="auto"/>
          <w:kern w:val="0"/>
          <w:szCs w:val="21"/>
        </w:rPr>
        <w:t>编号：）活动中，确认乙方为</w:t>
      </w:r>
      <w:r>
        <w:rPr>
          <w:rFonts w:hint="eastAsia" w:ascii="宋体" w:hAnsi="宋体" w:eastAsia="宋体" w:cs="宋体"/>
          <w:color w:val="auto"/>
          <w:kern w:val="0"/>
          <w:szCs w:val="21"/>
          <w:lang w:eastAsia="zh-CN"/>
        </w:rPr>
        <w:t>采购包</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的中标供应商，中标总金额为人民币(大写)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w:t>
      </w:r>
      <w:r>
        <w:rPr>
          <w:rFonts w:hint="eastAsia" w:ascii="宋体" w:hAnsi="宋体" w:eastAsia="宋体" w:cs="宋体"/>
          <w:color w:val="auto"/>
          <w:kern w:val="0"/>
          <w:szCs w:val="21"/>
        </w:rPr>
        <w:t>为贯彻“安全生产，预防为主”的方针，保障电梯安全运行，防止事故发生，依照《中华人民共和国民法典》、《中华人民共和国特种设备安全法》、《特种设备安全监察条例》、《电梯维护保养规则》（TSG T5002-2017）等规定，遵循平等、自愿、公平和诚实信用的原则，经甲、乙双方协商，现就有关事项达成如下合同，双方同意严格执行本合同规定的所有条款。</w:t>
      </w:r>
    </w:p>
    <w:p w14:paraId="0AC26B5A">
      <w:pPr>
        <w:spacing w:line="360" w:lineRule="auto"/>
        <w:ind w:left="1" w:firstLine="420" w:firstLineChars="199"/>
        <w:rPr>
          <w:rFonts w:hint="eastAsia" w:ascii="宋体" w:hAnsi="宋体" w:eastAsia="宋体" w:cs="宋体"/>
          <w:color w:val="auto"/>
          <w:kern w:val="0"/>
          <w:szCs w:val="21"/>
        </w:rPr>
      </w:pPr>
      <w:r>
        <w:rPr>
          <w:rFonts w:hint="eastAsia" w:ascii="宋体" w:hAnsi="宋体" w:eastAsia="宋体" w:cs="宋体"/>
          <w:b/>
          <w:color w:val="auto"/>
          <w:kern w:val="0"/>
          <w:szCs w:val="21"/>
        </w:rPr>
        <w:t xml:space="preserve">第一条  </w:t>
      </w:r>
      <w:r>
        <w:rPr>
          <w:rFonts w:hint="eastAsia" w:ascii="宋体" w:hAnsi="宋体" w:eastAsia="宋体" w:cs="宋体"/>
          <w:color w:val="auto"/>
          <w:kern w:val="0"/>
          <w:szCs w:val="21"/>
        </w:rPr>
        <w:t>乙方为本合同《电梯保养时间和保养费明细表》（附件1）中列明的电梯提供维保和紧急救援服务单位。保养项目应覆盖《电梯维护保养规则》规定的半月、季度、半年、年度保养项目和电梯制造单位技术文件所要求的特殊保养项目，以及与电梯安全运行相关的其他项目。</w:t>
      </w:r>
    </w:p>
    <w:p w14:paraId="1C917CF0">
      <w:pPr>
        <w:spacing w:line="360" w:lineRule="auto"/>
        <w:ind w:left="1" w:firstLine="420" w:firstLineChars="199"/>
        <w:rPr>
          <w:rFonts w:hint="eastAsia" w:ascii="宋体" w:hAnsi="宋体" w:eastAsia="宋体" w:cs="宋体"/>
          <w:color w:val="auto"/>
          <w:kern w:val="0"/>
          <w:szCs w:val="21"/>
        </w:rPr>
      </w:pPr>
      <w:r>
        <w:rPr>
          <w:rFonts w:hint="eastAsia" w:ascii="宋体" w:hAnsi="宋体" w:eastAsia="宋体" w:cs="宋体"/>
          <w:b/>
          <w:color w:val="auto"/>
          <w:kern w:val="0"/>
          <w:szCs w:val="21"/>
        </w:rPr>
        <w:t xml:space="preserve">第二条  </w:t>
      </w:r>
      <w:r>
        <w:rPr>
          <w:rFonts w:hint="eastAsia" w:ascii="宋体" w:hAnsi="宋体" w:eastAsia="宋体" w:cs="宋体"/>
          <w:color w:val="auto"/>
          <w:kern w:val="0"/>
          <w:szCs w:val="21"/>
        </w:rPr>
        <w:t>乙方提供维保服务的方式：</w:t>
      </w:r>
    </w:p>
    <w:p w14:paraId="6EFA729F">
      <w:pPr>
        <w:spacing w:line="360" w:lineRule="auto"/>
        <w:ind w:left="1" w:firstLine="470" w:firstLineChars="224"/>
        <w:rPr>
          <w:rFonts w:hint="eastAsia" w:ascii="宋体" w:hAnsi="宋体" w:eastAsia="宋体" w:cs="宋体"/>
          <w:color w:val="auto"/>
          <w:kern w:val="0"/>
          <w:szCs w:val="21"/>
        </w:rPr>
      </w:pPr>
      <w:r>
        <w:rPr>
          <w:rFonts w:hint="eastAsia" w:ascii="宋体" w:hAnsi="宋体" w:eastAsia="宋体" w:cs="宋体"/>
          <w:color w:val="auto"/>
          <w:kern w:val="0"/>
          <w:szCs w:val="21"/>
        </w:rPr>
        <w:t>半包：</w:t>
      </w:r>
      <w:r>
        <w:rPr>
          <w:rFonts w:hint="eastAsia" w:ascii="宋体" w:hAnsi="宋体" w:eastAsia="宋体" w:cs="宋体"/>
          <w:color w:val="auto"/>
          <w:kern w:val="0"/>
          <w:szCs w:val="21"/>
          <w:lang w:val="en-US" w:eastAsia="zh-CN"/>
        </w:rPr>
        <w:t>提供维保所需工具和劳务，并免费提供单价在人民币300 元以下（含本数）电梯零部件。</w:t>
      </w:r>
    </w:p>
    <w:p w14:paraId="472C18AD">
      <w:pPr>
        <w:spacing w:line="360" w:lineRule="auto"/>
        <w:ind w:left="1" w:firstLine="470" w:firstLineChars="224"/>
        <w:rPr>
          <w:rFonts w:hint="eastAsia" w:ascii="宋体" w:hAnsi="宋体" w:eastAsia="宋体" w:cs="宋体"/>
          <w:color w:val="auto"/>
          <w:kern w:val="0"/>
          <w:szCs w:val="21"/>
        </w:rPr>
      </w:pPr>
      <w:r>
        <w:rPr>
          <w:rFonts w:hint="eastAsia" w:ascii="宋体" w:hAnsi="宋体" w:eastAsia="宋体" w:cs="宋体"/>
          <w:color w:val="auto"/>
          <w:kern w:val="0"/>
          <w:szCs w:val="21"/>
        </w:rPr>
        <w:t>下列外围设备和辅助周边设备将不在本合同之内：</w:t>
      </w:r>
    </w:p>
    <w:p w14:paraId="4BCA5202">
      <w:pPr>
        <w:spacing w:line="360" w:lineRule="auto"/>
        <w:ind w:left="1" w:firstLine="470" w:firstLineChars="224"/>
        <w:rPr>
          <w:rFonts w:hint="eastAsia" w:ascii="宋体" w:hAnsi="宋体" w:eastAsia="宋体" w:cs="宋体"/>
          <w:color w:val="auto"/>
          <w:kern w:val="0"/>
          <w:szCs w:val="21"/>
        </w:rPr>
      </w:pPr>
      <w:r>
        <w:rPr>
          <w:rFonts w:hint="eastAsia" w:ascii="宋体" w:hAnsi="宋体" w:eastAsia="宋体" w:cs="宋体"/>
          <w:color w:val="auto"/>
          <w:kern w:val="0"/>
          <w:szCs w:val="21"/>
        </w:rPr>
        <w:t>电梯及液压梯：轿厢围壁、包括固定或可移动的面板、门面板、轿门、吊顶、光线散射屏、扶手、镜子、地面装饰、地毯及其它建筑装饰和配件；厅门、门框及地坎、沉箱、液缸和管道，从配电房至机房的供电装置、通讯设备、音乐装置、保安系统等非</w:t>
      </w:r>
      <w:r>
        <w:rPr>
          <w:rFonts w:hint="eastAsia" w:ascii="宋体" w:hAnsi="宋体" w:eastAsia="宋体" w:cs="宋体"/>
          <w:color w:val="auto"/>
          <w:kern w:val="0"/>
          <w:szCs w:val="21"/>
          <w:u w:val="single"/>
          <w:lang w:val="en-US" w:eastAsia="zh-CN"/>
        </w:rPr>
        <w:t xml:space="preserve">     （乙方品牌）</w:t>
      </w:r>
      <w:r>
        <w:rPr>
          <w:rFonts w:hint="eastAsia" w:ascii="宋体" w:hAnsi="宋体" w:eastAsia="宋体" w:cs="宋体"/>
          <w:color w:val="auto"/>
          <w:kern w:val="0"/>
          <w:szCs w:val="21"/>
        </w:rPr>
        <w:t>提供的设备及电梯井道机房之外的电线。</w:t>
      </w:r>
    </w:p>
    <w:p w14:paraId="6FD9C374">
      <w:pPr>
        <w:spacing w:line="360" w:lineRule="auto"/>
        <w:ind w:left="1" w:firstLine="470" w:firstLineChars="224"/>
        <w:rPr>
          <w:rFonts w:hint="eastAsia" w:ascii="宋体" w:hAnsi="宋体" w:eastAsia="宋体" w:cs="宋体"/>
          <w:color w:val="auto"/>
          <w:kern w:val="0"/>
          <w:szCs w:val="21"/>
        </w:rPr>
      </w:pPr>
      <w:r>
        <w:rPr>
          <w:rFonts w:hint="eastAsia" w:ascii="宋体" w:hAnsi="宋体" w:eastAsia="宋体" w:cs="宋体"/>
          <w:color w:val="auto"/>
          <w:kern w:val="0"/>
          <w:szCs w:val="21"/>
        </w:rPr>
        <w:t>扶梯：扶梯照明、扶手带、楔块护板、桁架包层、桁架内照明。</w:t>
      </w:r>
    </w:p>
    <w:p w14:paraId="4CDA6E15">
      <w:pPr>
        <w:spacing w:line="360" w:lineRule="auto"/>
        <w:ind w:left="1" w:firstLine="470" w:firstLineChars="224"/>
        <w:rPr>
          <w:rFonts w:hint="eastAsia" w:ascii="宋体" w:hAnsi="宋体" w:eastAsia="宋体" w:cs="宋体"/>
          <w:color w:val="auto"/>
          <w:kern w:val="0"/>
          <w:szCs w:val="21"/>
        </w:rPr>
      </w:pPr>
      <w:r>
        <w:rPr>
          <w:rFonts w:hint="eastAsia" w:ascii="宋体" w:hAnsi="宋体" w:eastAsia="宋体" w:cs="宋体"/>
          <w:color w:val="auto"/>
          <w:kern w:val="0"/>
          <w:szCs w:val="21"/>
        </w:rPr>
        <w:t>涉及需向</w:t>
      </w:r>
      <w:r>
        <w:rPr>
          <w:rFonts w:hint="eastAsia" w:ascii="宋体" w:hAnsi="宋体" w:eastAsia="宋体" w:cs="宋体"/>
          <w:color w:val="auto"/>
          <w:kern w:val="0"/>
          <w:szCs w:val="21"/>
          <w:lang w:eastAsia="zh-CN"/>
        </w:rPr>
        <w:t>质</w:t>
      </w:r>
      <w:r>
        <w:rPr>
          <w:rFonts w:hint="eastAsia" w:ascii="宋体" w:hAnsi="宋体" w:eastAsia="宋体" w:cs="宋体"/>
          <w:color w:val="auto"/>
          <w:kern w:val="0"/>
          <w:szCs w:val="21"/>
        </w:rPr>
        <w:t>监局报开工的修理项目（如控制柜、曵引轮、抱闸、主机、限速器、安全钳、上行保护装置等），政府所需收取的监检费由甲方负责承担。</w:t>
      </w:r>
    </w:p>
    <w:p w14:paraId="5971DC98">
      <w:pPr>
        <w:spacing w:line="360" w:lineRule="auto"/>
        <w:ind w:left="1" w:firstLine="417" w:firstLineChars="199"/>
        <w:rPr>
          <w:rFonts w:hint="eastAsia" w:ascii="宋体" w:hAnsi="宋体" w:eastAsia="宋体" w:cs="宋体"/>
          <w:color w:val="auto"/>
          <w:kern w:val="0"/>
          <w:szCs w:val="21"/>
        </w:rPr>
      </w:pPr>
      <w:r>
        <w:rPr>
          <w:rFonts w:hint="eastAsia" w:ascii="宋体" w:hAnsi="宋体" w:eastAsia="宋体" w:cs="宋体"/>
          <w:color w:val="auto"/>
          <w:kern w:val="0"/>
          <w:szCs w:val="21"/>
        </w:rPr>
        <w:t>政府部门每年定期检验的年检费用由甲方负责承担。</w:t>
      </w:r>
    </w:p>
    <w:p w14:paraId="5C8BEF54">
      <w:pPr>
        <w:widowControl/>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一般故障，乙方必须在24小时内修好以保证电梯正常运行；大故障（如更换变频器、主板等），乙方应无条件提供配件替代品，并在12天内恢复电梯正常运行。</w:t>
      </w:r>
    </w:p>
    <w:p w14:paraId="2C464A0E">
      <w:pPr>
        <w:widowControl/>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乙方需储存合理数量的电梯原厂备件，并且24小时可随时取用，以备及时的更换，电梯配件要求更换的零部件必须使用厂家正品部件和配件，不能用仿制品和维修翻新品取代。维保期间必须免费提供电梯主板的软件升级服务。</w:t>
      </w:r>
    </w:p>
    <w:p w14:paraId="1BB812EC">
      <w:pPr>
        <w:spacing w:line="360" w:lineRule="auto"/>
        <w:ind w:left="1" w:firstLine="420" w:firstLineChars="199"/>
        <w:rPr>
          <w:rFonts w:hint="eastAsia" w:ascii="宋体" w:hAnsi="宋体" w:eastAsia="宋体" w:cs="宋体"/>
          <w:color w:val="auto"/>
          <w:kern w:val="0"/>
          <w:szCs w:val="21"/>
        </w:rPr>
      </w:pPr>
      <w:r>
        <w:rPr>
          <w:rFonts w:hint="eastAsia" w:ascii="宋体" w:hAnsi="宋体" w:eastAsia="宋体" w:cs="宋体"/>
          <w:b/>
          <w:color w:val="auto"/>
          <w:kern w:val="0"/>
          <w:szCs w:val="21"/>
        </w:rPr>
        <w:t xml:space="preserve">第三条  </w:t>
      </w:r>
      <w:r>
        <w:rPr>
          <w:rFonts w:hint="eastAsia" w:ascii="宋体" w:hAnsi="宋体" w:eastAsia="宋体" w:cs="宋体"/>
          <w:color w:val="auto"/>
          <w:kern w:val="0"/>
          <w:szCs w:val="21"/>
        </w:rPr>
        <w:t>维保期限</w:t>
      </w:r>
    </w:p>
    <w:p w14:paraId="071F024A">
      <w:pPr>
        <w:spacing w:line="360" w:lineRule="auto"/>
        <w:ind w:left="1" w:firstLine="417" w:firstLineChars="199"/>
        <w:rPr>
          <w:rFonts w:hint="eastAsia" w:ascii="宋体" w:hAnsi="宋体" w:eastAsia="宋体" w:cs="宋体"/>
          <w:color w:val="auto"/>
          <w:kern w:val="0"/>
          <w:szCs w:val="21"/>
        </w:rPr>
      </w:pPr>
      <w:r>
        <w:rPr>
          <w:rFonts w:hint="eastAsia" w:ascii="宋体" w:hAnsi="宋体" w:eastAsia="宋体" w:cs="宋体"/>
          <w:color w:val="auto"/>
          <w:kern w:val="0"/>
          <w:szCs w:val="21"/>
        </w:rPr>
        <w:t>本合同约定维保期限自</w:t>
      </w:r>
      <w:r>
        <w:rPr>
          <w:rFonts w:hint="eastAsia" w:ascii="宋体" w:hAnsi="宋体" w:eastAsia="宋体" w:cs="宋体"/>
          <w:color w:val="auto"/>
          <w:kern w:val="0"/>
          <w:szCs w:val="21"/>
          <w:u w:val="single"/>
        </w:rPr>
        <w:t xml:space="preserve"> 202</w:t>
      </w:r>
      <w:r>
        <w:rPr>
          <w:rFonts w:hint="eastAsia" w:ascii="宋体" w:hAnsi="宋体" w:eastAsia="宋体" w:cs="宋体"/>
          <w:color w:val="auto"/>
          <w:kern w:val="0"/>
          <w:szCs w:val="21"/>
          <w:u w:val="single"/>
          <w:lang w:val="en-US" w:eastAsia="zh-CN"/>
        </w:rPr>
        <w:t>5</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7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1  </w:t>
      </w:r>
      <w:r>
        <w:rPr>
          <w:rFonts w:hint="eastAsia" w:ascii="宋体" w:hAnsi="宋体" w:eastAsia="宋体" w:cs="宋体"/>
          <w:color w:val="auto"/>
          <w:kern w:val="0"/>
          <w:szCs w:val="21"/>
        </w:rPr>
        <w:t>日起至</w:t>
      </w:r>
      <w:r>
        <w:rPr>
          <w:rFonts w:hint="eastAsia" w:ascii="宋体" w:hAnsi="宋体" w:eastAsia="宋体" w:cs="宋体"/>
          <w:color w:val="auto"/>
          <w:kern w:val="0"/>
          <w:szCs w:val="21"/>
          <w:u w:val="single"/>
        </w:rPr>
        <w:t>20</w:t>
      </w:r>
      <w:r>
        <w:rPr>
          <w:rFonts w:hint="eastAsia" w:ascii="宋体" w:hAnsi="宋体" w:eastAsia="宋体" w:cs="宋体"/>
          <w:color w:val="auto"/>
          <w:kern w:val="0"/>
          <w:szCs w:val="21"/>
          <w:u w:val="single"/>
          <w:lang w:val="en-US" w:eastAsia="zh-CN"/>
        </w:rPr>
        <w:t>27</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6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30 </w:t>
      </w:r>
      <w:r>
        <w:rPr>
          <w:rFonts w:hint="eastAsia" w:ascii="宋体" w:hAnsi="宋体" w:eastAsia="宋体" w:cs="宋体"/>
          <w:color w:val="auto"/>
          <w:kern w:val="0"/>
          <w:szCs w:val="21"/>
        </w:rPr>
        <w:t xml:space="preserve">日止。  </w:t>
      </w:r>
    </w:p>
    <w:p w14:paraId="2A6CBE60">
      <w:pPr>
        <w:spacing w:line="360" w:lineRule="auto"/>
        <w:ind w:left="1" w:firstLine="420" w:firstLineChars="199"/>
        <w:rPr>
          <w:rFonts w:hint="eastAsia" w:ascii="宋体" w:hAnsi="宋体" w:eastAsia="宋体" w:cs="宋体"/>
          <w:color w:val="auto"/>
          <w:kern w:val="0"/>
          <w:szCs w:val="21"/>
        </w:rPr>
      </w:pPr>
      <w:r>
        <w:rPr>
          <w:rFonts w:hint="eastAsia" w:ascii="宋体" w:hAnsi="宋体" w:eastAsia="宋体" w:cs="宋体"/>
          <w:b/>
          <w:color w:val="auto"/>
          <w:kern w:val="0"/>
          <w:szCs w:val="21"/>
        </w:rPr>
        <w:t>第四条</w:t>
      </w:r>
      <w:r>
        <w:rPr>
          <w:rFonts w:hint="eastAsia" w:ascii="宋体" w:hAnsi="宋体" w:eastAsia="宋体" w:cs="宋体"/>
          <w:color w:val="auto"/>
          <w:kern w:val="0"/>
          <w:szCs w:val="21"/>
        </w:rPr>
        <w:t xml:space="preserve">  维保费用</w:t>
      </w:r>
    </w:p>
    <w:p w14:paraId="1D109327">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共</w:t>
      </w:r>
      <w:r>
        <w:rPr>
          <w:rFonts w:hint="eastAsia" w:ascii="宋体" w:hAnsi="宋体" w:eastAsia="宋体" w:cs="宋体"/>
          <w:color w:val="auto"/>
          <w:kern w:val="0"/>
          <w:szCs w:val="21"/>
          <w:u w:val="single"/>
        </w:rPr>
        <w:t xml:space="preserve"> 2 </w:t>
      </w:r>
      <w:r>
        <w:rPr>
          <w:rFonts w:hint="eastAsia" w:ascii="宋体" w:hAnsi="宋体" w:eastAsia="宋体" w:cs="宋体"/>
          <w:color w:val="auto"/>
          <w:kern w:val="0"/>
          <w:szCs w:val="21"/>
        </w:rPr>
        <w:t>台电梯，合同期维保费：总计人民币</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元，大写：</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元</w:t>
      </w:r>
      <w:r>
        <w:rPr>
          <w:rFonts w:hint="eastAsia" w:ascii="宋体" w:hAnsi="宋体" w:eastAsia="宋体" w:cs="宋体"/>
          <w:color w:val="auto"/>
          <w:kern w:val="0"/>
          <w:szCs w:val="21"/>
          <w:u w:val="single"/>
        </w:rPr>
        <w:t xml:space="preserve">整 </w:t>
      </w:r>
      <w:r>
        <w:rPr>
          <w:rFonts w:hint="eastAsia" w:ascii="宋体" w:hAnsi="宋体" w:eastAsia="宋体" w:cs="宋体"/>
          <w:color w:val="auto"/>
          <w:kern w:val="0"/>
          <w:szCs w:val="21"/>
        </w:rPr>
        <w:t xml:space="preserve"> 。</w:t>
      </w:r>
    </w:p>
    <w:p w14:paraId="62E99AFF">
      <w:pPr>
        <w:spacing w:line="360" w:lineRule="auto"/>
        <w:ind w:firstLine="422" w:firstLineChars="200"/>
        <w:rPr>
          <w:rFonts w:hint="eastAsia" w:ascii="宋体" w:hAnsi="宋体" w:eastAsia="宋体" w:cs="宋体"/>
          <w:b/>
          <w:color w:val="auto"/>
          <w:kern w:val="0"/>
          <w:szCs w:val="21"/>
        </w:rPr>
      </w:pPr>
      <w:r>
        <w:rPr>
          <w:rFonts w:hint="eastAsia" w:ascii="宋体" w:hAnsi="宋体" w:eastAsia="宋体" w:cs="宋体"/>
          <w:b/>
          <w:color w:val="auto"/>
          <w:kern w:val="0"/>
          <w:szCs w:val="21"/>
        </w:rPr>
        <w:t>第五条 结算</w:t>
      </w:r>
    </w:p>
    <w:p w14:paraId="36DB0E0B">
      <w:pPr>
        <w:spacing w:line="360" w:lineRule="auto"/>
        <w:ind w:firstLine="480"/>
        <w:rPr>
          <w:rFonts w:hint="eastAsia" w:ascii="宋体" w:hAnsi="宋体" w:eastAsia="宋体" w:cs="宋体"/>
          <w:color w:val="auto"/>
          <w:szCs w:val="21"/>
          <w:u w:val="single"/>
        </w:rPr>
      </w:pPr>
      <w:r>
        <w:rPr>
          <w:rFonts w:hint="eastAsia" w:ascii="宋体" w:hAnsi="宋体" w:eastAsia="宋体" w:cs="宋体"/>
          <w:color w:val="auto"/>
          <w:kern w:val="0"/>
          <w:szCs w:val="21"/>
        </w:rPr>
        <w:t>1、甲方按</w:t>
      </w:r>
      <w:r>
        <w:rPr>
          <w:rFonts w:hint="eastAsia" w:ascii="宋体" w:hAnsi="宋体" w:eastAsia="宋体" w:cs="宋体"/>
          <w:b/>
          <w:color w:val="auto"/>
          <w:kern w:val="0"/>
          <w:szCs w:val="21"/>
        </w:rPr>
        <w:t>季</w:t>
      </w:r>
      <w:r>
        <w:rPr>
          <w:rFonts w:hint="eastAsia" w:ascii="宋体" w:hAnsi="宋体" w:eastAsia="宋体" w:cs="宋体"/>
          <w:color w:val="auto"/>
          <w:kern w:val="0"/>
          <w:szCs w:val="21"/>
        </w:rPr>
        <w:t>度支付维保费， 具体支付时间和金额为：付款周期为 3个月，共分 8期支付，</w:t>
      </w:r>
      <w:r>
        <w:rPr>
          <w:rFonts w:hint="eastAsia" w:ascii="宋体" w:hAnsi="宋体" w:eastAsia="宋体" w:cs="宋体"/>
          <w:iCs/>
          <w:color w:val="auto"/>
          <w:szCs w:val="21"/>
        </w:rPr>
        <w:t>甲方根据乙方</w:t>
      </w:r>
      <w:r>
        <w:rPr>
          <w:rFonts w:hint="eastAsia" w:ascii="宋体" w:hAnsi="宋体" w:eastAsia="宋体" w:cs="宋体"/>
          <w:iCs/>
          <w:color w:val="auto"/>
          <w:szCs w:val="21"/>
          <w:lang w:eastAsia="zh-CN"/>
        </w:rPr>
        <w:t>开具</w:t>
      </w:r>
      <w:r>
        <w:rPr>
          <w:rFonts w:hint="eastAsia" w:ascii="宋体" w:hAnsi="宋体" w:eastAsia="宋体" w:cs="宋体"/>
          <w:iCs/>
          <w:color w:val="auto"/>
          <w:szCs w:val="21"/>
        </w:rPr>
        <w:t>的增值税普通发票按</w:t>
      </w:r>
      <w:r>
        <w:rPr>
          <w:rFonts w:hint="eastAsia" w:ascii="宋体" w:hAnsi="宋体" w:eastAsia="宋体" w:cs="宋体"/>
          <w:b/>
          <w:iCs/>
          <w:color w:val="auto"/>
          <w:szCs w:val="21"/>
        </w:rPr>
        <w:t>季度</w:t>
      </w:r>
      <w:r>
        <w:rPr>
          <w:rFonts w:hint="eastAsia" w:ascii="宋体" w:hAnsi="宋体" w:eastAsia="宋体" w:cs="宋体"/>
          <w:iCs/>
          <w:color w:val="auto"/>
          <w:szCs w:val="21"/>
        </w:rPr>
        <w:t>支付维保费，每季度保养期满后无质量问题，一个月内支付维保费用。</w:t>
      </w:r>
    </w:p>
    <w:p w14:paraId="1CFE096A">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2、甲方需支付零部件费用的，付款方式另行协商。</w:t>
      </w:r>
    </w:p>
    <w:p w14:paraId="5248F00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3、支付方式：</w:t>
      </w:r>
      <w:r>
        <w:rPr>
          <w:rFonts w:hint="eastAsia" w:ascii="宋体" w:hAnsi="宋体" w:eastAsia="宋体" w:cs="宋体"/>
          <w:color w:val="auto"/>
          <w:szCs w:val="21"/>
        </w:rPr>
        <w:t>汇到乙方指定</w:t>
      </w:r>
      <w:r>
        <w:rPr>
          <w:rFonts w:hint="eastAsia" w:ascii="宋体" w:hAnsi="宋体" w:eastAsia="宋体" w:cs="宋体"/>
          <w:color w:val="auto"/>
          <w:szCs w:val="21"/>
          <w:lang w:eastAsia="zh-CN"/>
        </w:rPr>
        <w:t>账户</w:t>
      </w:r>
      <w:r>
        <w:rPr>
          <w:rFonts w:hint="eastAsia" w:ascii="宋体" w:hAnsi="宋体" w:eastAsia="宋体" w:cs="宋体"/>
          <w:color w:val="auto"/>
          <w:szCs w:val="21"/>
        </w:rPr>
        <w:t>。</w:t>
      </w:r>
    </w:p>
    <w:p w14:paraId="08D7FCFA">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w:t>
      </w:r>
      <w:r>
        <w:rPr>
          <w:rFonts w:hint="eastAsia" w:ascii="宋体" w:hAnsi="宋体" w:eastAsia="宋体" w:cs="宋体"/>
          <w:b/>
          <w:color w:val="auto"/>
          <w:kern w:val="0"/>
          <w:szCs w:val="21"/>
        </w:rPr>
        <w:t>六</w:t>
      </w:r>
      <w:r>
        <w:rPr>
          <w:rFonts w:hint="eastAsia" w:ascii="宋体" w:hAnsi="宋体" w:eastAsia="宋体" w:cs="宋体"/>
          <w:b/>
          <w:color w:val="auto"/>
          <w:szCs w:val="21"/>
        </w:rPr>
        <w:t>条  履约验收</w:t>
      </w:r>
    </w:p>
    <w:p w14:paraId="5233C79D">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乙方按照维保合同要求完成电梯维保服务，乙方的维保人员每次完成电梯维保服务需拍照发给甲方电梯安全管理员，并进行登记，做好维保记录，甲方电梯安全管理员查看工作完成情况。甲方按照年度对乙方的维保服务进行验收及质量评价。</w:t>
      </w:r>
    </w:p>
    <w:p w14:paraId="021F0EB2">
      <w:pPr>
        <w:spacing w:line="360" w:lineRule="auto"/>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w:t>
      </w:r>
      <w:r>
        <w:rPr>
          <w:rFonts w:hint="eastAsia" w:ascii="宋体" w:hAnsi="宋体" w:eastAsia="宋体" w:cs="宋体"/>
          <w:b/>
          <w:color w:val="auto"/>
          <w:kern w:val="0"/>
          <w:szCs w:val="21"/>
          <w:lang w:eastAsia="zh-CN"/>
        </w:rPr>
        <w:t>七</w:t>
      </w:r>
      <w:r>
        <w:rPr>
          <w:rFonts w:hint="eastAsia" w:ascii="宋体" w:hAnsi="宋体" w:eastAsia="宋体" w:cs="宋体"/>
          <w:b/>
          <w:color w:val="auto"/>
          <w:szCs w:val="21"/>
        </w:rPr>
        <w:t xml:space="preserve">条  </w:t>
      </w:r>
      <w:r>
        <w:rPr>
          <w:rFonts w:hint="eastAsia" w:ascii="宋体" w:hAnsi="宋体" w:eastAsia="宋体" w:cs="宋体"/>
          <w:color w:val="auto"/>
          <w:szCs w:val="21"/>
        </w:rPr>
        <w:t>甲方权利、义务</w:t>
      </w:r>
    </w:p>
    <w:p w14:paraId="1880000A">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1、权利</w:t>
      </w:r>
    </w:p>
    <w:p w14:paraId="4BB3B28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（1）有权监督检查乙方依照合同约定实施维保计划的情况，监督经乙方维保后的</w:t>
      </w:r>
      <w:r>
        <w:rPr>
          <w:rFonts w:hint="eastAsia" w:ascii="宋体" w:hAnsi="宋体" w:eastAsia="宋体" w:cs="宋体"/>
          <w:color w:val="auto"/>
          <w:kern w:val="0"/>
          <w:szCs w:val="21"/>
        </w:rPr>
        <w:t>电梯是否符合法律法规、安全技术规范、强制性标准和电梯制造单位的技术要求，监督电梯安全性能是否良好。</w:t>
      </w:r>
    </w:p>
    <w:p w14:paraId="77650D7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有权检查受乙方委派为本单位电梯提供维保服务人员的持证上岗情况，有权拒绝无证人员开展维保活动。有权要求乙方人员服从本单位现场安全管理，对不服从现场安全管理的乙方人员，有权要求乙方更换人员。</w:t>
      </w:r>
    </w:p>
    <w:p w14:paraId="59C61FC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（3）乙方的维护保养达不到合同约定的维护保养标准或要求的，甲方有权拒绝在维护保养记录上签字。</w:t>
      </w:r>
    </w:p>
    <w:p w14:paraId="6B9CB14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（4）除国家规定的法定监督检验与定期检验外，有权委托特种设备检验机构或第三方中介机构对乙方按照合同约定实施维保工作的情况进行评定。</w:t>
      </w:r>
    </w:p>
    <w:p w14:paraId="66FB2F3A">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2、义务</w:t>
      </w:r>
    </w:p>
    <w:p w14:paraId="6B2560CC">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（1）建立电梯安全运行的相关管理机构、制度，确保制度、人员、资金落实到位。</w:t>
      </w:r>
    </w:p>
    <w:p w14:paraId="5C4F36E8">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（2）按照合同约定按期支付维保和零部件款。</w:t>
      </w:r>
    </w:p>
    <w:p w14:paraId="17C2B76D">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szCs w:val="21"/>
        </w:rPr>
        <w:t>配备持有电梯安全管理员资格证件的人员</w:t>
      </w:r>
      <w:r>
        <w:rPr>
          <w:rFonts w:hint="eastAsia" w:ascii="宋体" w:hAnsi="宋体" w:eastAsia="宋体" w:cs="宋体"/>
          <w:color w:val="auto"/>
          <w:kern w:val="0"/>
          <w:szCs w:val="21"/>
        </w:rPr>
        <w:t>负责电梯的日常安全管理工作，并在更换电梯管理人员时及时通知乙方。督促</w:t>
      </w:r>
      <w:r>
        <w:rPr>
          <w:rFonts w:hint="eastAsia" w:ascii="宋体" w:hAnsi="宋体" w:eastAsia="宋体" w:cs="宋体"/>
          <w:color w:val="auto"/>
          <w:szCs w:val="21"/>
        </w:rPr>
        <w:t>电梯安全管理人员</w:t>
      </w:r>
      <w:r>
        <w:rPr>
          <w:rFonts w:hint="eastAsia" w:ascii="宋体" w:hAnsi="宋体" w:eastAsia="宋体" w:cs="宋体"/>
          <w:color w:val="auto"/>
          <w:kern w:val="0"/>
          <w:szCs w:val="21"/>
        </w:rPr>
        <w:t>按照电梯使用检查表完成电梯的日常检查工作和每月检查工作，并严格按照电梯钥匙使用管理有关要求对电梯钥匙进行管理，实行钥匙领用登记，不将电梯钥匙交给非持证人员使用。</w:t>
      </w:r>
    </w:p>
    <w:p w14:paraId="7D85B46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（4）督促</w:t>
      </w:r>
      <w:r>
        <w:rPr>
          <w:rFonts w:hint="eastAsia" w:ascii="宋体" w:hAnsi="宋体" w:eastAsia="宋体" w:cs="宋体"/>
          <w:color w:val="auto"/>
          <w:szCs w:val="21"/>
        </w:rPr>
        <w:t>电梯安全管理人员</w:t>
      </w:r>
      <w:r>
        <w:rPr>
          <w:rFonts w:hint="eastAsia" w:ascii="宋体" w:hAnsi="宋体" w:eastAsia="宋体" w:cs="宋体"/>
          <w:color w:val="auto"/>
          <w:kern w:val="0"/>
          <w:szCs w:val="21"/>
        </w:rPr>
        <w:t>现场监督检查乙方的电梯保养工作过程和结果、对乙方的维保记录、修理记录签字确认，</w:t>
      </w:r>
      <w:r>
        <w:rPr>
          <w:rFonts w:hint="eastAsia" w:ascii="宋体" w:hAnsi="宋体" w:eastAsia="宋体" w:cs="宋体"/>
          <w:color w:val="auto"/>
          <w:szCs w:val="21"/>
        </w:rPr>
        <w:t>签收乙方提交的与电梯维保工作有关的文件。</w:t>
      </w:r>
    </w:p>
    <w:p w14:paraId="69AE9C7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kern w:val="0"/>
          <w:szCs w:val="21"/>
        </w:rPr>
        <w:t>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14:paraId="5ED5D9CE">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（6）</w:t>
      </w:r>
      <w:r>
        <w:rPr>
          <w:rFonts w:hint="eastAsia" w:ascii="宋体" w:hAnsi="宋体" w:eastAsia="宋体" w:cs="宋体"/>
          <w:color w:val="auto"/>
          <w:szCs w:val="21"/>
        </w:rPr>
        <w:t>制订有关电梯的应急救援预案（如：电梯困人、消防、电梯水浸、自动扶梯人身伤害等）。每年至少开展一次应急救援演练，确保应急系统运行有效。</w:t>
      </w:r>
    </w:p>
    <w:p w14:paraId="5616BA9D">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（7）保证电梯供电、消防、防雷、通风等系统安全可靠，满足国家标准规定。</w:t>
      </w:r>
    </w:p>
    <w:p w14:paraId="710B1759">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8）为乙方提供维保所需的工作环境。保证机房、井道、底坑无漏水、渗水现象。通往机房、底坑、滑轮间、井道安全门的通道畅通、照明充分；确保作业环境中应由甲方提供的安全防护措施到位，避免无关人员进入。</w:t>
      </w:r>
    </w:p>
    <w:p w14:paraId="3B8780C2">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（9</w:t>
      </w:r>
      <w:r>
        <w:rPr>
          <w:rFonts w:hint="eastAsia" w:ascii="宋体" w:hAnsi="宋体" w:eastAsia="宋体" w:cs="宋体"/>
          <w:color w:val="auto"/>
          <w:szCs w:val="21"/>
        </w:rPr>
        <w:t>）采取有效措施监控电梯使用情况，积极主动开展文明乘梯宣传活动，及时制止乘客不文明乘梯行为或恶意破坏电梯的行为。</w:t>
      </w:r>
    </w:p>
    <w:p w14:paraId="3A33264C">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rPr>
        <w:t>（10）未经</w:t>
      </w:r>
      <w:r>
        <w:rPr>
          <w:rFonts w:hint="eastAsia" w:ascii="宋体" w:hAnsi="宋体" w:eastAsia="宋体" w:cs="宋体"/>
          <w:color w:val="auto"/>
          <w:kern w:val="0"/>
          <w:szCs w:val="21"/>
        </w:rPr>
        <w:t>乙方书面许可不得允许非乙方人员从事与电梯维保有关的工作。</w:t>
      </w:r>
    </w:p>
    <w:p w14:paraId="6C658CF8">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rPr>
        <w:t>（11）应认真审核乙方</w:t>
      </w:r>
      <w:r>
        <w:rPr>
          <w:rFonts w:hint="eastAsia" w:ascii="宋体" w:hAnsi="宋体" w:eastAsia="宋体" w:cs="宋体"/>
          <w:color w:val="auto"/>
          <w:kern w:val="0"/>
          <w:szCs w:val="21"/>
        </w:rPr>
        <w:t>书面提出的更换电梯零部件要求，并在乙方书面要求的期限内书面予以答复。</w:t>
      </w:r>
    </w:p>
    <w:p w14:paraId="7E1AC654">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（12）在电梯使用标志所标注的下次检验日期前１个月，向特种设备检验机构提出定期检验申请。</w:t>
      </w:r>
    </w:p>
    <w:p w14:paraId="7084B109">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（13）电梯因不可抗拒因素（如战争、火灾、水浸、风暴和地震等）所造成设备损坏、丢失的，自行承担全部责任。</w:t>
      </w:r>
    </w:p>
    <w:p w14:paraId="264F113C">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（14）2017年10月新执行的《电梯监督检验和定期检验规则--曳引与强制驱动电梯》 TSG T7001-2009第2号修改单、《电梯监督检验和定期检验规则--自动扶梯与自动人行道》 TSG T7005-2012 第2号修改单、《电梯监督检验和定期检验规则--杂物电梯》 TSG T7006-2012第2号修改单、《电梯监督检验和定期检验规则--液压电梯》 TSG T7004-2012 第2号修改单、《电梯监督检验和定期检验规则--防爆电梯》 TSG T7003-2011 第2号修改单、《电梯监督检验和定期检验规则--消防员电梯》 TSG T7002-2011 第2号修改单中因</w:t>
      </w:r>
      <w:r>
        <w:rPr>
          <w:rFonts w:hint="eastAsia" w:ascii="宋体" w:hAnsi="宋体" w:eastAsia="宋体" w:cs="宋体"/>
          <w:color w:val="auto"/>
          <w:kern w:val="0"/>
          <w:szCs w:val="21"/>
          <w:lang w:eastAsia="zh-CN"/>
        </w:rPr>
        <w:t>质</w:t>
      </w:r>
      <w:r>
        <w:rPr>
          <w:rFonts w:hint="eastAsia" w:ascii="宋体" w:hAnsi="宋体" w:eastAsia="宋体" w:cs="宋体"/>
          <w:color w:val="auto"/>
          <w:kern w:val="0"/>
          <w:szCs w:val="21"/>
        </w:rPr>
        <w:t>监局新增检测项目（包括曳引与强制驱动电梯中8.6运行试验C、2.9限速器B、8.13制动试验A（B）、自动扶梯与自动人行道4.2条扶手防爬/阻挡/防滑行装置B等）所增加的费用由甲方承担。</w:t>
      </w:r>
    </w:p>
    <w:p w14:paraId="621C730B">
      <w:pPr>
        <w:spacing w:line="360" w:lineRule="auto"/>
        <w:ind w:firstLine="413" w:firstLineChars="196"/>
        <w:rPr>
          <w:rFonts w:hint="eastAsia" w:ascii="宋体" w:hAnsi="宋体" w:eastAsia="宋体" w:cs="宋体"/>
          <w:b/>
          <w:color w:val="auto"/>
          <w:szCs w:val="21"/>
        </w:rPr>
      </w:pPr>
      <w:r>
        <w:rPr>
          <w:rFonts w:hint="eastAsia" w:ascii="宋体" w:hAnsi="宋体" w:eastAsia="宋体" w:cs="宋体"/>
          <w:b/>
          <w:color w:val="auto"/>
          <w:szCs w:val="21"/>
        </w:rPr>
        <w:t>第</w:t>
      </w:r>
      <w:r>
        <w:rPr>
          <w:rFonts w:hint="eastAsia" w:ascii="宋体" w:hAnsi="宋体" w:eastAsia="宋体" w:cs="宋体"/>
          <w:b/>
          <w:color w:val="auto"/>
          <w:szCs w:val="21"/>
          <w:lang w:val="en-US" w:eastAsia="zh-CN"/>
        </w:rPr>
        <w:t>八</w:t>
      </w:r>
      <w:r>
        <w:rPr>
          <w:rFonts w:hint="eastAsia" w:ascii="宋体" w:hAnsi="宋体" w:eastAsia="宋体" w:cs="宋体"/>
          <w:b/>
          <w:color w:val="auto"/>
          <w:szCs w:val="21"/>
        </w:rPr>
        <w:t>条 乙方权利、义务</w:t>
      </w:r>
    </w:p>
    <w:p w14:paraId="08ACE562">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kern w:val="0"/>
          <w:szCs w:val="21"/>
        </w:rPr>
        <w:t>1、</w:t>
      </w:r>
      <w:r>
        <w:rPr>
          <w:rFonts w:hint="eastAsia" w:ascii="宋体" w:hAnsi="宋体" w:eastAsia="宋体" w:cs="宋体"/>
          <w:b/>
          <w:color w:val="auto"/>
          <w:szCs w:val="21"/>
        </w:rPr>
        <w:t>权利</w:t>
      </w:r>
    </w:p>
    <w:p w14:paraId="40EB9E2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（1）有权要求甲方提供维保所需的工作环境，查询电梯相关资料。</w:t>
      </w:r>
    </w:p>
    <w:p w14:paraId="16E035C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（2）当电梯存在事故隐患时，乙方有权采取停梯措施及阻止冒险作业的权利。</w:t>
      </w:r>
    </w:p>
    <w:p w14:paraId="5E9BE7F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（3）有权拒绝甲方提出的影响电梯安全运行的要求。</w:t>
      </w:r>
    </w:p>
    <w:p w14:paraId="0F8E539E">
      <w:pPr>
        <w:spacing w:line="360" w:lineRule="auto"/>
        <w:ind w:left="795" w:leftChars="228" w:hanging="316" w:hangingChars="150"/>
        <w:rPr>
          <w:rFonts w:hint="eastAsia" w:ascii="宋体" w:hAnsi="宋体" w:eastAsia="宋体" w:cs="宋体"/>
          <w:b/>
          <w:color w:val="auto"/>
          <w:szCs w:val="21"/>
        </w:rPr>
      </w:pPr>
      <w:r>
        <w:rPr>
          <w:rFonts w:hint="eastAsia" w:ascii="宋体" w:hAnsi="宋体" w:eastAsia="宋体" w:cs="宋体"/>
          <w:b/>
          <w:color w:val="auto"/>
          <w:szCs w:val="21"/>
        </w:rPr>
        <w:t>2、义务</w:t>
      </w:r>
    </w:p>
    <w:p w14:paraId="274D53F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kern w:val="0"/>
          <w:szCs w:val="21"/>
        </w:rPr>
        <w:t>按照《电梯维护保养规则》（TSG T5002-2017）并根据</w:t>
      </w:r>
      <w:r>
        <w:rPr>
          <w:rFonts w:hint="eastAsia" w:ascii="宋体" w:hAnsi="宋体" w:eastAsia="宋体" w:cs="宋体"/>
          <w:color w:val="auto"/>
          <w:szCs w:val="21"/>
        </w:rPr>
        <w:t>电梯的使用情况和设备状况，经双方协商确认后，提供全年保养计划和各项定期保养计划的具体实施时间表。每台每次保养时间不得少于合同约定的相应最少保养时间(2小时)。如需调整原保养计划，应提前</w:t>
      </w:r>
      <w:r>
        <w:rPr>
          <w:rFonts w:hint="eastAsia" w:ascii="宋体" w:hAnsi="宋体" w:eastAsia="宋体" w:cs="宋体"/>
          <w:color w:val="auto"/>
          <w:szCs w:val="21"/>
          <w:u w:val="single"/>
        </w:rPr>
        <w:t xml:space="preserve"> 7 </w:t>
      </w:r>
      <w:r>
        <w:rPr>
          <w:rFonts w:hint="eastAsia" w:ascii="宋体" w:hAnsi="宋体" w:eastAsia="宋体" w:cs="宋体"/>
          <w:color w:val="auto"/>
          <w:szCs w:val="21"/>
        </w:rPr>
        <w:t>日通知甲方并经甲方同意后方可调整，但应保证保养时间间隔不得超过15日；</w:t>
      </w:r>
    </w:p>
    <w:p w14:paraId="3D1CFAD9">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 xml:space="preserve">（2）乙方实施日常维护保养后的电梯应当符合《电梯维修规范》（GB/T18775）、《电梯制造与安装安全规范》（GB 7588）和《自动扶梯、垃圾梯和自动人行道的制造与安装安全规范》（GB 16899）的相关规定。 </w:t>
      </w:r>
    </w:p>
    <w:p w14:paraId="655517A9">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乙方对其维保的电梯安全性能负责。应当在本合同签订后对电梯是否符合安全技术规范要求进行确认，发现上个维保周期中电梯存在安全隐患的，应书面通知使用单位，并及时进行维修。维保后的电梯应当符合相应的安全技术规范，并且处于正常的运行状态。</w:t>
      </w:r>
    </w:p>
    <w:p w14:paraId="17B87750">
      <w:pPr>
        <w:spacing w:line="360" w:lineRule="auto"/>
        <w:ind w:right="-169"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（4）乙方提供24小时的紧急救援服务。</w:t>
      </w:r>
    </w:p>
    <w:p w14:paraId="317A5256">
      <w:pPr>
        <w:spacing w:line="360" w:lineRule="auto"/>
        <w:ind w:left="594" w:leftChars="283" w:right="-169"/>
        <w:rPr>
          <w:rFonts w:hint="eastAsia" w:ascii="宋体" w:hAnsi="宋体" w:eastAsia="宋体" w:cs="宋体"/>
          <w:color w:val="auto"/>
          <w:kern w:val="0"/>
          <w:szCs w:val="21"/>
        </w:rPr>
      </w:pPr>
      <w:r>
        <w:rPr>
          <w:rFonts w:hint="eastAsia" w:ascii="宋体" w:hAnsi="宋体" w:eastAsia="宋体" w:cs="宋体"/>
          <w:color w:val="auto"/>
          <w:szCs w:val="21"/>
        </w:rPr>
        <w:t>乙方维保负责人: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，联系电话: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。24</w:t>
      </w:r>
      <w:r>
        <w:rPr>
          <w:rFonts w:hint="eastAsia" w:ascii="宋体" w:hAnsi="宋体" w:eastAsia="宋体" w:cs="宋体"/>
          <w:color w:val="auto"/>
          <w:kern w:val="0"/>
          <w:szCs w:val="21"/>
        </w:rPr>
        <w:t>小时紧急救援服务热线电话：</w:t>
      </w:r>
    </w:p>
    <w:p w14:paraId="799D62A9">
      <w:pPr>
        <w:spacing w:line="360" w:lineRule="auto"/>
        <w:ind w:right="-169"/>
        <w:rPr>
          <w:rFonts w:hint="eastAsia" w:ascii="宋体" w:hAnsi="宋体" w:eastAsia="宋体" w:cs="宋体"/>
          <w:color w:val="auto"/>
          <w:kern w:val="0"/>
          <w:szCs w:val="21"/>
        </w:rPr>
      </w:pP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rPr>
        <w:t xml:space="preserve">，手机用户可拨打: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rPr>
        <w:t>。当电梯发生困人故障，乙方应在接到甲方通知后30分钟内赶赴现场实施紧急救援；电梯发生其他故障，乙方应在接到甲方通知后</w:t>
      </w:r>
      <w:r>
        <w:rPr>
          <w:rFonts w:hint="eastAsia" w:ascii="宋体" w:hAnsi="宋体" w:eastAsia="宋体" w:cs="宋体"/>
          <w:color w:val="auto"/>
          <w:kern w:val="0"/>
          <w:szCs w:val="21"/>
          <w:u w:val="single"/>
        </w:rPr>
        <w:t xml:space="preserve">  30  </w:t>
      </w:r>
      <w:r>
        <w:rPr>
          <w:rFonts w:hint="eastAsia" w:ascii="宋体" w:hAnsi="宋体" w:eastAsia="宋体" w:cs="宋体"/>
          <w:color w:val="auto"/>
          <w:kern w:val="0"/>
          <w:szCs w:val="21"/>
        </w:rPr>
        <w:t>分钟内赶到现场实施抢修。</w:t>
      </w:r>
    </w:p>
    <w:p w14:paraId="4E3D1DC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kern w:val="0"/>
          <w:szCs w:val="21"/>
        </w:rPr>
        <w:t>现场作业人员应当取得相应的《特种设备作业人员证》。</w:t>
      </w:r>
      <w:r>
        <w:rPr>
          <w:rFonts w:hint="eastAsia" w:ascii="宋体" w:hAnsi="宋体" w:eastAsia="宋体" w:cs="宋体"/>
          <w:color w:val="auto"/>
          <w:szCs w:val="21"/>
        </w:rPr>
        <w:t>为有效实施保养计划，乙方应安排熟悉所维保电梯原理、结构、性能、安全要求的特种设备作业人员负责维保工作，并督促其严格按照产品工艺要求、安全及技术规范进行维保。</w:t>
      </w:r>
    </w:p>
    <w:p w14:paraId="20E2B6C0">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rPr>
        <w:t>（6）</w:t>
      </w:r>
      <w:r>
        <w:rPr>
          <w:rFonts w:hint="eastAsia" w:ascii="宋体" w:hAnsi="宋体" w:eastAsia="宋体" w:cs="宋体"/>
          <w:color w:val="auto"/>
          <w:kern w:val="0"/>
          <w:szCs w:val="21"/>
        </w:rPr>
        <w:t>作业过程中应服从甲方现场安全管理，落实现场安全防护措施，保证作业安全。需要安全监护作业的内容应书面告知甲方，作业时，作业人员不得少于二人。</w:t>
      </w:r>
    </w:p>
    <w:p w14:paraId="3AD7946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（7）现场需采取停梯措施时，应立即通知甲方并及时组织抢修。</w:t>
      </w:r>
    </w:p>
    <w:p w14:paraId="6EB456A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（8）</w:t>
      </w:r>
      <w:r>
        <w:rPr>
          <w:rFonts w:hint="eastAsia" w:ascii="宋体" w:hAnsi="宋体" w:eastAsia="宋体" w:cs="宋体"/>
          <w:color w:val="auto"/>
          <w:szCs w:val="21"/>
        </w:rPr>
        <w:t>根据甲方的故障统计记录，乙方应至少每季度一次提出故障分析报告。报告中应包含电梯故障的统计分析、整改措施和预防措施，以及有关电梯使用管理的合理化建议。</w:t>
      </w:r>
    </w:p>
    <w:p w14:paraId="7BF7CB8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乙方在本合同签订后对电梯进行一次全面的年度自检，将已发现上个维保周期中电梯存在的安全隐患，并报送使用单位，及时进行维修。应当配合电梯检验检测机构对电梯的定期检验，并参与电梯安全管理活动。负责完成年检中发生的属于本合同范围内的整改工作。维保后的电梯应当符合相应的安全技术规范，并且处于正常的运行状态。负责完成每年办理政府部门的电梯年度安全检查“年检”手续，并协助政府部门进行年度安全检查，并完成定期检验（年检）中发生的属本合同范围内的整改工作，直至取得电梯使用合格证。</w:t>
      </w:r>
    </w:p>
    <w:p w14:paraId="4A7B9D2A">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（10）乙方应当配合电梯检验检测机构开展电梯定期检验，并</w:t>
      </w:r>
      <w:r>
        <w:rPr>
          <w:rFonts w:hint="eastAsia" w:ascii="宋体" w:hAnsi="宋体" w:eastAsia="宋体" w:cs="宋体"/>
          <w:color w:val="auto"/>
          <w:szCs w:val="21"/>
        </w:rPr>
        <w:t>参与电梯安全管理活动。</w:t>
      </w:r>
      <w:r>
        <w:rPr>
          <w:rFonts w:hint="eastAsia" w:ascii="宋体" w:hAnsi="宋体" w:eastAsia="宋体" w:cs="宋体"/>
          <w:color w:val="auto"/>
          <w:kern w:val="0"/>
          <w:szCs w:val="21"/>
        </w:rPr>
        <w:t>负责完成年检中发现的属于电梯本体安全隐患的整改工作。</w:t>
      </w:r>
    </w:p>
    <w:p w14:paraId="10BE7375">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（11）乙方应在每年1月31日前向所在地市级特种设备监察机构报备本单位所承担维保电梯清单，如维保情况有变动，在变动后5个工作日内申报变动情况。</w:t>
      </w:r>
    </w:p>
    <w:p w14:paraId="07143E3C">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（12）乙方应在维保后3日内将规定格式的电梯维保记录，张贴在电梯轿厢、电梯过道、小区公告栏或在轿厢内电子显示屏内滚动公示，接受用户监督。此外，需将维保记录公示情况拍照留存备查。</w:t>
      </w:r>
    </w:p>
    <w:p w14:paraId="54B817A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（13）乙方应当妥善保管电梯图纸及相关资料，并在合同终止后交还甲方。应当协助甲方建立健全安全管理制度、安全技术档案、应急救援预案，配合甲方开展应急救援演练。</w:t>
      </w:r>
    </w:p>
    <w:p w14:paraId="1A86BC84">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kern w:val="0"/>
          <w:szCs w:val="21"/>
        </w:rPr>
        <w:t>（14</w:t>
      </w:r>
      <w:r>
        <w:rPr>
          <w:rFonts w:hint="eastAsia" w:ascii="宋体" w:hAnsi="宋体" w:eastAsia="宋体" w:cs="宋体"/>
          <w:color w:val="auto"/>
          <w:szCs w:val="21"/>
        </w:rPr>
        <w:t>）乙方不得以任何形式将维保工作非法分包、转包。否则，甲方有权终止合同，并由乙方赔偿甲方合同总金额10%的违约金。</w:t>
      </w:r>
    </w:p>
    <w:p w14:paraId="6EE1454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(15)乙方在作业中应当负责落实现场安全防护措施，保证作业安全，并做好相关警示标志，防止乘客进入正在维保的电梯，若因此导致的不良后果由乙方法定承担。</w:t>
      </w:r>
    </w:p>
    <w:p w14:paraId="035C813A">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（16）乙方提供假冒、劣质或以次充好的产品，一经证实，乙方必须承担由于产品质量、安装不当等引发的事故（财产损失、人身伤亡）责任和全部费用。</w:t>
      </w:r>
    </w:p>
    <w:p w14:paraId="35A3EB8F">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（17）乙方应为维修保养和施工人员购买保险（如：高空作业险和人身事故险等）；维修保养和施工人员在工作过程中造成的人身事故，由乙方承担全部负责。</w:t>
      </w:r>
    </w:p>
    <w:p w14:paraId="0383520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乙方应完成半月、月、季度、半年、年保养项目，并做好记录。乙方应在电梯定期检验前进行安全性能自行检查，出具自行检查报告。负责完成每年办理政府部门的电梯年度安全检查“年检”手续，并协助政府部门进行年度安全检查，并完成定期检验（年检）中发生的属本合同范围内的整改工作，直至取得电梯使用合格证。政府部门每年定期检验的年检费用由甲方负责承担。</w:t>
      </w:r>
    </w:p>
    <w:p w14:paraId="448671A7">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19）乙方应对合同范围内的设备每季度调整一次并每年进行一次“年度安全检查”及“负荷调整试验”，确保设备得到必要的检查、测试、调整和校验。“年度安全检查”可结合政府部门的“年检”同时进行。每次例行维护保养和维修后，维保单位须填写《电梯保养报告书》交校方签字确认。乙方应确保每台电梯均应当建立独立的维护保养记录。维护保养记录应当一式两份，乙方、甲方双方各保存一份，维修、重大维修、改造协议与抢修记录均应当与维护保养记录一并保存。</w:t>
      </w:r>
    </w:p>
    <w:p w14:paraId="485C34BC">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（20）乙方需定期清理井底，如电梯井底受水淹时，乙方应及时清除，必要时甲方给予配合。</w:t>
      </w:r>
    </w:p>
    <w:p w14:paraId="3A2764E2">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（21）保养期内，乙方保证甲方电梯的正常运行。因乙方违反操作规程而造成电梯损坏，其维修费由乙方全额承担。因乙方保养不善而引起的事故责任和造成甲方的直接经济损失，由乙方负责承担，与甲方无关。</w:t>
      </w:r>
    </w:p>
    <w:p w14:paraId="3D71F775">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（22）保养期内，电梯出现紧急状况或甲方提出特殊紧急的维护、保养、检查要求时，乙方必须立即作出响应并采取相应措施，确保电梯的正常运行。</w:t>
      </w:r>
    </w:p>
    <w:p w14:paraId="4F701EB1">
      <w:pPr>
        <w:pStyle w:val="2"/>
        <w:spacing w:line="360" w:lineRule="auto"/>
        <w:rPr>
          <w:rFonts w:hint="eastAsia" w:hAnsi="宋体"/>
          <w:color w:val="auto"/>
          <w:sz w:val="21"/>
          <w:szCs w:val="21"/>
        </w:rPr>
      </w:pPr>
      <w:r>
        <w:rPr>
          <w:rFonts w:hint="eastAsia"/>
          <w:color w:val="auto"/>
        </w:rPr>
        <w:t xml:space="preserve">    </w:t>
      </w:r>
      <w:r>
        <w:rPr>
          <w:rFonts w:hint="eastAsia" w:hAnsi="宋体"/>
          <w:color w:val="auto"/>
          <w:kern w:val="2"/>
          <w:sz w:val="21"/>
          <w:szCs w:val="21"/>
        </w:rPr>
        <w:t>（23）乙方应张贴电梯日常维护保养标志，标明应急救援电话。建立电梯的日常维护保养记录和安全技术档案。在电梯维修、保养工作期间，乙方必须放置醒目的标牌提示、现场安全警示标志或张贴告示通知、标语。</w:t>
      </w:r>
    </w:p>
    <w:p w14:paraId="748ED6BC">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w:t>
      </w:r>
      <w:r>
        <w:rPr>
          <w:rFonts w:hint="eastAsia" w:ascii="宋体" w:hAnsi="宋体" w:eastAsia="宋体" w:cs="宋体"/>
          <w:b/>
          <w:color w:val="auto"/>
          <w:szCs w:val="21"/>
          <w:lang w:val="en-US" w:eastAsia="zh-CN"/>
        </w:rPr>
        <w:t>九</w:t>
      </w:r>
      <w:r>
        <w:rPr>
          <w:rFonts w:hint="eastAsia" w:ascii="宋体" w:hAnsi="宋体" w:eastAsia="宋体" w:cs="宋体"/>
          <w:b/>
          <w:color w:val="auto"/>
          <w:szCs w:val="21"/>
        </w:rPr>
        <w:t xml:space="preserve">条  </w:t>
      </w:r>
      <w:r>
        <w:rPr>
          <w:rFonts w:hint="eastAsia" w:ascii="宋体" w:hAnsi="宋体" w:eastAsia="宋体" w:cs="宋体"/>
          <w:color w:val="auto"/>
          <w:szCs w:val="21"/>
        </w:rPr>
        <w:t>其他约定</w:t>
      </w:r>
    </w:p>
    <w:p w14:paraId="22E00ADE">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1、乙方已于</w:t>
      </w:r>
      <w:r>
        <w:rPr>
          <w:rFonts w:hint="eastAsia" w:ascii="宋体" w:hAnsi="宋体" w:eastAsia="宋体" w:cs="宋体"/>
          <w:color w:val="auto"/>
          <w:kern w:val="0"/>
          <w:szCs w:val="21"/>
          <w:u w:val="single"/>
        </w:rPr>
        <w:t xml:space="preserve">  /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日对本合同约定的电梯进行了详细的检查，检查结果应经甲方签字确认，并作为电梯现状记录由甲、乙双方保存。</w:t>
      </w:r>
    </w:p>
    <w:p w14:paraId="4702694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2、</w:t>
      </w:r>
      <w:r>
        <w:rPr>
          <w:rFonts w:hint="eastAsia" w:ascii="宋体" w:hAnsi="宋体" w:eastAsia="宋体" w:cs="宋体"/>
          <w:color w:val="auto"/>
          <w:szCs w:val="21"/>
        </w:rPr>
        <w:t>甲方要求乙方提供本合同约定内容以外服务的，如强化保养、增加保养频次、安全保障需求、</w:t>
      </w:r>
      <w:r>
        <w:rPr>
          <w:rFonts w:hint="eastAsia" w:ascii="宋体" w:hAnsi="宋体" w:eastAsia="宋体" w:cs="宋体"/>
          <w:color w:val="auto"/>
          <w:kern w:val="0"/>
          <w:szCs w:val="21"/>
        </w:rPr>
        <w:t>驻场作业服务、</w:t>
      </w:r>
      <w:r>
        <w:rPr>
          <w:rFonts w:hint="eastAsia" w:ascii="宋体" w:hAnsi="宋体" w:eastAsia="宋体" w:cs="宋体"/>
          <w:color w:val="auto"/>
          <w:szCs w:val="21"/>
        </w:rPr>
        <w:t>增加检测内容和频次</w:t>
      </w:r>
      <w:r>
        <w:rPr>
          <w:rFonts w:hint="eastAsia" w:ascii="宋体" w:hAnsi="宋体" w:eastAsia="宋体" w:cs="宋体"/>
          <w:color w:val="auto"/>
          <w:kern w:val="0"/>
          <w:szCs w:val="21"/>
        </w:rPr>
        <w:t>等，</w:t>
      </w:r>
      <w:r>
        <w:rPr>
          <w:rFonts w:hint="eastAsia" w:ascii="宋体" w:hAnsi="宋体" w:eastAsia="宋体" w:cs="宋体"/>
          <w:color w:val="auto"/>
          <w:szCs w:val="21"/>
        </w:rPr>
        <w:t>双方均应以书面形式另行约定。</w:t>
      </w:r>
    </w:p>
    <w:p w14:paraId="366E1D9F">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szCs w:val="21"/>
        </w:rPr>
        <w:t>维保记录是记载电梯运行、维护、保养的依据。每台电梯均应当建立独立的</w:t>
      </w:r>
      <w:r>
        <w:rPr>
          <w:rFonts w:hint="eastAsia" w:ascii="宋体" w:hAnsi="宋体" w:eastAsia="宋体" w:cs="宋体"/>
          <w:color w:val="auto"/>
          <w:kern w:val="0"/>
          <w:szCs w:val="21"/>
        </w:rPr>
        <w:t>维保记录。维保记录应当一式两份，甲乙双方各保存一份，保存时间为4 年。维修与抢修记录均应当长期保存。</w:t>
      </w:r>
    </w:p>
    <w:p w14:paraId="6E664162">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4、乙方将确保在维保期内,所有电梯在正常使用情况下月故障次数累计不超过10次（不包括人为因素损坏），如故障次数超过标准一次, 甲方将扣除乙方单台电梯当月维保费的百分之十作为处罚;如故障次数超过标准二次, 甲方将扣除乙方当月单台电梯的维保费用的百分之二十;如故障次数超过标准三次, 甲方将扣除乙方单台电梯当月维保费的百分之三十。如故障次数超过标准四次, 甲方将扣除乙方单台电梯一个月的维保费,如故障次数超过标准五次, 甲方将扣除乙方单台电梯两个月的维保费用。如故障次数超过标准六次,甲方有权终止合同。</w:t>
      </w:r>
    </w:p>
    <w:p w14:paraId="0A1C66B2">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5、电梯出现故障更换配件恢复时间如小配件（一般配件如接触器、开关等）恢复时间为24小时内，大配件（如主机、较顶返绳轮、钢丝绳、齿轮箱等）在12天内完成更换并恢复电梯正常运行。变频器故障恢复时间因视实际维修情况而定。</w:t>
      </w:r>
    </w:p>
    <w:p w14:paraId="59BEC875">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6、保养期内，甲方有重大活动或特殊情况，乙方应按甲方要求派遣2个专业人员到达现场，免费提供全程监护服务，确保电梯正常运行。</w:t>
      </w:r>
    </w:p>
    <w:p w14:paraId="599F7B0A">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7、根据特种设备安全法规，乙方应提供现场维保人员相应的《特种设备作业人员证》复印件并加盖公司公章给甲方存档，乙方负责投保乙方现场作业人员的人身安全意外保险，乙方现场作业人员必须按规定操作，现场作业人员的一切安全责任由乙方负责。</w:t>
      </w:r>
    </w:p>
    <w:p w14:paraId="7E67E0EC">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w:t>
      </w:r>
      <w:r>
        <w:rPr>
          <w:rFonts w:hint="eastAsia" w:ascii="宋体" w:hAnsi="宋体" w:eastAsia="宋体" w:cs="宋体"/>
          <w:b/>
          <w:color w:val="auto"/>
          <w:szCs w:val="21"/>
          <w:lang w:val="en-US" w:eastAsia="zh-CN"/>
        </w:rPr>
        <w:t>十</w:t>
      </w:r>
      <w:r>
        <w:rPr>
          <w:rFonts w:hint="eastAsia" w:ascii="宋体" w:hAnsi="宋体" w:eastAsia="宋体" w:cs="宋体"/>
          <w:b/>
          <w:color w:val="auto"/>
          <w:szCs w:val="21"/>
        </w:rPr>
        <w:t xml:space="preserve">条  </w:t>
      </w:r>
      <w:r>
        <w:rPr>
          <w:rFonts w:hint="eastAsia" w:ascii="宋体" w:hAnsi="宋体" w:eastAsia="宋体" w:cs="宋体"/>
          <w:color w:val="auto"/>
          <w:szCs w:val="21"/>
        </w:rPr>
        <w:t>违约责任</w:t>
      </w:r>
    </w:p>
    <w:p w14:paraId="35334F8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1、一方当事人未按约定履行义务给对方造成直接损失的，应当承担相应责任。</w:t>
      </w:r>
    </w:p>
    <w:p w14:paraId="1D3956F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2、一方当事人无法继续履行合同，应当及时通知对方，并承担因合同解除而给对方造成的直接经济损失。</w:t>
      </w:r>
    </w:p>
    <w:p w14:paraId="6C26AFA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3、甲方无正当理由未按照约定期限支付费用的，经双方确认为无正当理由每延误一日应当向乙方支付延误部分费用</w:t>
      </w:r>
      <w:r>
        <w:rPr>
          <w:rFonts w:hint="eastAsia" w:ascii="宋体" w:hAnsi="宋体" w:eastAsia="宋体" w:cs="宋体"/>
          <w:color w:val="auto"/>
          <w:szCs w:val="21"/>
          <w:u w:val="single"/>
        </w:rPr>
        <w:t>千分之</w:t>
      </w:r>
      <w:r>
        <w:rPr>
          <w:rFonts w:hint="eastAsia" w:ascii="宋体" w:hAnsi="宋体" w:eastAsia="宋体" w:cs="宋体"/>
          <w:color w:val="auto"/>
          <w:szCs w:val="21"/>
          <w:u w:val="single"/>
          <w:lang w:eastAsia="zh-CN"/>
        </w:rPr>
        <w:t>一</w:t>
      </w:r>
      <w:r>
        <w:rPr>
          <w:rFonts w:hint="eastAsia" w:ascii="宋体" w:hAnsi="宋体" w:eastAsia="宋体" w:cs="宋体"/>
          <w:color w:val="auto"/>
          <w:szCs w:val="21"/>
        </w:rPr>
        <w:t>的违约金。超过双方约定期限</w:t>
      </w:r>
      <w:r>
        <w:rPr>
          <w:rFonts w:hint="eastAsia" w:ascii="宋体" w:hAnsi="宋体" w:eastAsia="宋体" w:cs="宋体"/>
          <w:color w:val="auto"/>
          <w:szCs w:val="21"/>
          <w:u w:val="single"/>
        </w:rPr>
        <w:t xml:space="preserve"> 90</w:t>
      </w:r>
      <w:r>
        <w:rPr>
          <w:rFonts w:hint="eastAsia" w:ascii="宋体" w:hAnsi="宋体" w:eastAsia="宋体" w:cs="宋体"/>
          <w:color w:val="auto"/>
          <w:szCs w:val="21"/>
        </w:rPr>
        <w:t>日时，本合同自动终止，赔偿事项依照合同法规定执行。</w:t>
      </w:r>
    </w:p>
    <w:p w14:paraId="2BBFE3F1">
      <w:pPr>
        <w:spacing w:line="360" w:lineRule="auto"/>
        <w:ind w:right="34" w:rightChars="16"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4、甲方违反约定</w:t>
      </w:r>
      <w:r>
        <w:rPr>
          <w:rFonts w:hint="eastAsia" w:ascii="宋体" w:hAnsi="宋体" w:eastAsia="宋体" w:cs="宋体"/>
          <w:color w:val="auto"/>
          <w:kern w:val="0"/>
          <w:szCs w:val="21"/>
        </w:rPr>
        <w:t>允许非乙方人员从事电梯维保工作的，应当按照</w:t>
      </w:r>
      <w:r>
        <w:rPr>
          <w:rFonts w:hint="eastAsia" w:ascii="宋体" w:hAnsi="宋体" w:eastAsia="宋体" w:cs="宋体"/>
          <w:color w:val="auto"/>
          <w:kern w:val="0"/>
          <w:szCs w:val="21"/>
          <w:u w:val="single"/>
        </w:rPr>
        <w:t>合同金额的20%</w:t>
      </w:r>
      <w:r>
        <w:rPr>
          <w:rFonts w:hint="eastAsia" w:ascii="宋体" w:hAnsi="宋体" w:eastAsia="宋体" w:cs="宋体"/>
          <w:color w:val="auto"/>
          <w:szCs w:val="21"/>
        </w:rPr>
        <w:t>标准支付违约金。</w:t>
      </w:r>
    </w:p>
    <w:p w14:paraId="02DCA4F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5、因电梯使用管理原因（非电梯维保原因）导致人身伤亡或设备损坏、零部件丢失的，由甲方自行承担全部责任。</w:t>
      </w:r>
    </w:p>
    <w:p w14:paraId="47560BAF">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6、若未按乙方的书面要求同意更换应该更换的电梯零部件而导致电梯故障或存在安全隐患的，</w:t>
      </w:r>
      <w:r>
        <w:rPr>
          <w:rFonts w:hint="eastAsia" w:ascii="宋体" w:hAnsi="宋体" w:eastAsia="宋体" w:cs="宋体"/>
          <w:color w:val="auto"/>
          <w:szCs w:val="21"/>
        </w:rPr>
        <w:t>由甲方</w:t>
      </w:r>
      <w:r>
        <w:rPr>
          <w:rFonts w:hint="eastAsia" w:ascii="宋体" w:hAnsi="宋体" w:eastAsia="宋体" w:cs="宋体"/>
          <w:color w:val="auto"/>
          <w:kern w:val="0"/>
          <w:szCs w:val="21"/>
        </w:rPr>
        <w:t>自行承担责任。</w:t>
      </w:r>
    </w:p>
    <w:p w14:paraId="715F9B7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7、乙方违反约定，</w:t>
      </w:r>
      <w:r>
        <w:rPr>
          <w:rFonts w:hint="eastAsia" w:ascii="宋体" w:hAnsi="宋体" w:eastAsia="宋体" w:cs="宋体"/>
          <w:color w:val="auto"/>
          <w:kern w:val="0"/>
          <w:szCs w:val="21"/>
        </w:rPr>
        <w:t>作业过程中未服从甲方现场安全管理落实现场安全防护措施，或需要安全监护的作业时作业人员只有一人，或保养时间不足，甲方可拒付当次作业或保养的当台当月保养费。</w:t>
      </w:r>
    </w:p>
    <w:p w14:paraId="5039CA9E">
      <w:pPr>
        <w:spacing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8、乙方维保工作不符合合同约定的维保标准或要求的，乙方应当返工，并按照</w:t>
      </w:r>
      <w:r>
        <w:rPr>
          <w:rFonts w:hint="eastAsia" w:ascii="宋体" w:hAnsi="宋体" w:eastAsia="宋体" w:cs="宋体"/>
          <w:color w:val="auto"/>
          <w:szCs w:val="21"/>
          <w:u w:val="single"/>
        </w:rPr>
        <w:t>当台当月保养费20%</w:t>
      </w:r>
      <w:r>
        <w:rPr>
          <w:rFonts w:hint="eastAsia" w:ascii="宋体" w:hAnsi="宋体" w:eastAsia="宋体" w:cs="宋体"/>
          <w:color w:val="auto"/>
          <w:szCs w:val="21"/>
        </w:rPr>
        <w:t>标准支付违约金。</w:t>
      </w:r>
    </w:p>
    <w:p w14:paraId="7645FEF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9、在电梯维保作业过程中因维保原因导致人身伤亡或设备损坏、零部件丢失的，由乙方承担全部民事责任。</w:t>
      </w:r>
    </w:p>
    <w:p w14:paraId="3C1BB39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10、因维保原因导致电梯检验不合格的，由乙方承担电梯复检费用。</w:t>
      </w:r>
    </w:p>
    <w:p w14:paraId="0CCF77B4">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11、所有罚款和违约金最高不超过合同总额的20%。</w:t>
      </w:r>
    </w:p>
    <w:p w14:paraId="10196987">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12、因电梯设备属于特种设备，客户同意将保养时（包括另行维修、改造中）更换下的涉及</w:t>
      </w:r>
      <w:r>
        <w:rPr>
          <w:rFonts w:hint="eastAsia" w:ascii="宋体" w:hAnsi="宋体" w:eastAsia="宋体" w:cs="宋体"/>
          <w:color w:val="auto"/>
          <w:szCs w:val="21"/>
          <w:u w:val="single"/>
          <w:lang w:val="en-US" w:eastAsia="zh-CN"/>
        </w:rPr>
        <w:t xml:space="preserve">       （乙方品牌）</w:t>
      </w:r>
      <w:r>
        <w:rPr>
          <w:rFonts w:hint="eastAsia" w:ascii="宋体" w:hAnsi="宋体" w:eastAsia="宋体" w:cs="宋体"/>
          <w:color w:val="auto"/>
          <w:szCs w:val="21"/>
        </w:rPr>
        <w:t>技术专利或专有技术部件，在甲方见证下现场销毁，避免流入市场。</w:t>
      </w:r>
    </w:p>
    <w:p w14:paraId="333F3D7F">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第十</w:t>
      </w:r>
      <w:r>
        <w:rPr>
          <w:rFonts w:hint="eastAsia" w:ascii="宋体" w:hAnsi="宋体" w:eastAsia="宋体" w:cs="宋体"/>
          <w:b/>
          <w:color w:val="auto"/>
          <w:szCs w:val="21"/>
          <w:lang w:val="en-US" w:eastAsia="zh-CN"/>
        </w:rPr>
        <w:t>一</w:t>
      </w:r>
      <w:r>
        <w:rPr>
          <w:rFonts w:hint="eastAsia" w:ascii="宋体" w:hAnsi="宋体" w:eastAsia="宋体" w:cs="宋体"/>
          <w:b/>
          <w:color w:val="auto"/>
          <w:szCs w:val="21"/>
        </w:rPr>
        <w:t xml:space="preserve">条  </w:t>
      </w:r>
      <w:r>
        <w:rPr>
          <w:rFonts w:hint="eastAsia" w:ascii="宋体" w:hAnsi="宋体" w:eastAsia="宋体" w:cs="宋体"/>
          <w:color w:val="auto"/>
          <w:szCs w:val="21"/>
        </w:rPr>
        <w:t>合同的解除</w:t>
      </w:r>
    </w:p>
    <w:p w14:paraId="7F6BCB8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1、甲乙双方协商一致，可以解除合同。</w:t>
      </w:r>
    </w:p>
    <w:p w14:paraId="0E4A577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2、任何一方违约导致合同无法继续履行的，另一方可以解除合同。此外，任何一方不得单方解除合同。</w:t>
      </w:r>
    </w:p>
    <w:p w14:paraId="16C7E76E">
      <w:pPr>
        <w:pStyle w:val="2"/>
        <w:rPr>
          <w:rFonts w:eastAsia="MYuen PRC SemiBold"/>
          <w:color w:val="auto"/>
        </w:rPr>
      </w:pPr>
      <w:r>
        <w:rPr>
          <w:rFonts w:hint="eastAsia" w:hAnsi="宋体"/>
          <w:color w:val="auto"/>
          <w:szCs w:val="21"/>
        </w:rPr>
        <w:t xml:space="preserve">   </w:t>
      </w:r>
      <w:r>
        <w:rPr>
          <w:rFonts w:hint="eastAsia" w:hAnsi="宋体"/>
          <w:color w:val="auto"/>
          <w:kern w:val="2"/>
          <w:sz w:val="21"/>
          <w:szCs w:val="21"/>
        </w:rPr>
        <w:t>3、如甲方更换新梯，维保合同剔除相应电梯，费用据实结算。甲方提前一个月发函告知乙方具体停保日期，告知函作为合同补充附页。</w:t>
      </w:r>
    </w:p>
    <w:p w14:paraId="4FD674E4">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第十</w:t>
      </w:r>
      <w:r>
        <w:rPr>
          <w:rFonts w:hint="eastAsia" w:ascii="宋体" w:hAnsi="宋体" w:eastAsia="宋体" w:cs="宋体"/>
          <w:b/>
          <w:color w:val="auto"/>
          <w:szCs w:val="21"/>
          <w:lang w:val="en-US" w:eastAsia="zh-CN"/>
        </w:rPr>
        <w:t>二</w:t>
      </w:r>
      <w:r>
        <w:rPr>
          <w:rFonts w:hint="eastAsia" w:ascii="宋体" w:hAnsi="宋体" w:eastAsia="宋体" w:cs="宋体"/>
          <w:b/>
          <w:color w:val="auto"/>
          <w:szCs w:val="21"/>
        </w:rPr>
        <w:t xml:space="preserve">条  </w:t>
      </w:r>
      <w:r>
        <w:rPr>
          <w:rFonts w:hint="eastAsia" w:ascii="宋体" w:hAnsi="宋体" w:eastAsia="宋体" w:cs="宋体"/>
          <w:color w:val="auto"/>
          <w:szCs w:val="21"/>
        </w:rPr>
        <w:t>争议解决方式</w:t>
      </w:r>
    </w:p>
    <w:p w14:paraId="2816187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本合同在履行过程中发生的争议，由双方当事人协商解决或向有关部门申请调解，协商、调解不成的,依法向维保电梯所在地人民法院起诉。</w:t>
      </w:r>
    </w:p>
    <w:p w14:paraId="1B994B3A">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第十</w:t>
      </w:r>
      <w:r>
        <w:rPr>
          <w:rFonts w:hint="eastAsia" w:ascii="宋体" w:hAnsi="宋体" w:eastAsia="宋体" w:cs="宋体"/>
          <w:b/>
          <w:color w:val="auto"/>
          <w:szCs w:val="21"/>
          <w:lang w:val="en-US" w:eastAsia="zh-CN"/>
        </w:rPr>
        <w:t>三</w:t>
      </w:r>
      <w:r>
        <w:rPr>
          <w:rFonts w:hint="eastAsia" w:ascii="宋体" w:hAnsi="宋体" w:eastAsia="宋体" w:cs="宋体"/>
          <w:b/>
          <w:color w:val="auto"/>
          <w:szCs w:val="21"/>
        </w:rPr>
        <w:t xml:space="preserve">条 </w:t>
      </w:r>
      <w:r>
        <w:rPr>
          <w:rFonts w:hint="eastAsia" w:ascii="宋体" w:hAnsi="宋体" w:eastAsia="宋体" w:cs="宋体"/>
          <w:color w:val="auto"/>
          <w:szCs w:val="21"/>
        </w:rPr>
        <w:t xml:space="preserve"> 附则</w:t>
      </w:r>
    </w:p>
    <w:p w14:paraId="29FE39B5">
      <w:pPr>
        <w:spacing w:line="360" w:lineRule="auto"/>
        <w:ind w:left="1" w:firstLine="417" w:firstLineChars="199"/>
        <w:rPr>
          <w:rFonts w:hint="eastAsia" w:ascii="宋体" w:hAnsi="宋体" w:eastAsia="宋体" w:cs="宋体"/>
          <w:color w:val="auto"/>
          <w:szCs w:val="21"/>
          <w:u w:val="single"/>
        </w:rPr>
      </w:pPr>
      <w:r>
        <w:rPr>
          <w:rFonts w:hint="eastAsia" w:ascii="宋体" w:hAnsi="宋体" w:eastAsia="宋体" w:cs="宋体"/>
          <w:color w:val="auto"/>
          <w:szCs w:val="21"/>
        </w:rPr>
        <w:t>本合同生效后，双方对合同内容的变更或补充应采取书面形式，并经双方签字盖章确认，作为本合同的附件。附件与本合同具有同等的法律效力。</w:t>
      </w:r>
    </w:p>
    <w:p w14:paraId="6D976DFB">
      <w:pPr>
        <w:spacing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本合同一式</w:t>
      </w:r>
      <w:r>
        <w:rPr>
          <w:rFonts w:hint="eastAsia" w:ascii="宋体" w:hAnsi="宋体" w:eastAsia="宋体" w:cs="宋体"/>
          <w:color w:val="auto"/>
          <w:szCs w:val="21"/>
          <w:u w:val="single"/>
        </w:rPr>
        <w:t xml:space="preserve">  陆 </w:t>
      </w:r>
      <w:r>
        <w:rPr>
          <w:rFonts w:hint="eastAsia" w:ascii="宋体" w:hAnsi="宋体" w:eastAsia="宋体" w:cs="宋体"/>
          <w:color w:val="auto"/>
          <w:szCs w:val="21"/>
        </w:rPr>
        <w:t>份，甲方执</w:t>
      </w:r>
      <w:r>
        <w:rPr>
          <w:rFonts w:hint="eastAsia" w:ascii="宋体" w:hAnsi="宋体" w:eastAsia="宋体" w:cs="宋体"/>
          <w:color w:val="auto"/>
          <w:szCs w:val="21"/>
          <w:u w:val="single"/>
        </w:rPr>
        <w:t xml:space="preserve"> 肆 </w:t>
      </w:r>
      <w:r>
        <w:rPr>
          <w:rFonts w:hint="eastAsia" w:ascii="宋体" w:hAnsi="宋体" w:eastAsia="宋体" w:cs="宋体"/>
          <w:color w:val="auto"/>
          <w:szCs w:val="21"/>
        </w:rPr>
        <w:t>份，乙方执</w:t>
      </w:r>
      <w:r>
        <w:rPr>
          <w:rFonts w:hint="eastAsia" w:ascii="宋体" w:hAnsi="宋体" w:eastAsia="宋体" w:cs="宋体"/>
          <w:color w:val="auto"/>
          <w:szCs w:val="21"/>
          <w:u w:val="single"/>
        </w:rPr>
        <w:t xml:space="preserve"> 贰 </w:t>
      </w:r>
      <w:r>
        <w:rPr>
          <w:rFonts w:hint="eastAsia" w:ascii="宋体" w:hAnsi="宋体" w:eastAsia="宋体" w:cs="宋体"/>
          <w:color w:val="auto"/>
          <w:szCs w:val="21"/>
        </w:rPr>
        <w:t>份。</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2838"/>
        <w:gridCol w:w="1311"/>
        <w:gridCol w:w="3078"/>
      </w:tblGrid>
      <w:tr w14:paraId="6663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jc w:val="center"/>
        </w:trPr>
        <w:tc>
          <w:tcPr>
            <w:tcW w:w="758" w:type="pct"/>
            <w:noWrap w:val="0"/>
            <w:vAlign w:val="center"/>
          </w:tcPr>
          <w:p w14:paraId="4ACFF126">
            <w:pPr>
              <w:pStyle w:val="2"/>
              <w:spacing w:line="360" w:lineRule="auto"/>
              <w:jc w:val="center"/>
              <w:rPr>
                <w:rFonts w:hint="eastAsia" w:hAnsi="宋体"/>
                <w:color w:val="auto"/>
                <w:sz w:val="21"/>
                <w:szCs w:val="21"/>
              </w:rPr>
            </w:pPr>
            <w:r>
              <w:rPr>
                <w:rFonts w:hint="eastAsia" w:hAnsi="宋体"/>
                <w:color w:val="auto"/>
                <w:sz w:val="21"/>
                <w:szCs w:val="21"/>
              </w:rPr>
              <w:t>甲方</w:t>
            </w:r>
          </w:p>
        </w:tc>
        <w:tc>
          <w:tcPr>
            <w:tcW w:w="1665" w:type="pct"/>
            <w:noWrap w:val="0"/>
            <w:vAlign w:val="center"/>
          </w:tcPr>
          <w:p w14:paraId="3B1961B5">
            <w:pPr>
              <w:pStyle w:val="2"/>
              <w:spacing w:line="360" w:lineRule="auto"/>
              <w:rPr>
                <w:rFonts w:hint="eastAsia" w:hAnsi="宋体"/>
                <w:color w:val="auto"/>
                <w:sz w:val="21"/>
                <w:szCs w:val="21"/>
              </w:rPr>
            </w:pPr>
            <w:r>
              <w:rPr>
                <w:rFonts w:hint="eastAsia" w:hAnsi="宋体"/>
                <w:color w:val="auto"/>
                <w:sz w:val="21"/>
                <w:szCs w:val="21"/>
              </w:rPr>
              <w:t>泉州师范学院</w:t>
            </w:r>
          </w:p>
        </w:tc>
        <w:tc>
          <w:tcPr>
            <w:tcW w:w="769" w:type="pct"/>
            <w:noWrap w:val="0"/>
            <w:vAlign w:val="center"/>
          </w:tcPr>
          <w:p w14:paraId="51655681">
            <w:pPr>
              <w:pStyle w:val="2"/>
              <w:spacing w:line="360" w:lineRule="auto"/>
              <w:jc w:val="center"/>
              <w:rPr>
                <w:rFonts w:hint="eastAsia" w:hAnsi="宋体"/>
                <w:color w:val="auto"/>
                <w:sz w:val="21"/>
                <w:szCs w:val="21"/>
              </w:rPr>
            </w:pPr>
            <w:r>
              <w:rPr>
                <w:rFonts w:hint="eastAsia" w:hAnsi="宋体"/>
                <w:color w:val="auto"/>
                <w:sz w:val="21"/>
                <w:szCs w:val="21"/>
              </w:rPr>
              <w:t>乙方</w:t>
            </w:r>
          </w:p>
        </w:tc>
        <w:tc>
          <w:tcPr>
            <w:tcW w:w="1805" w:type="pct"/>
            <w:noWrap w:val="0"/>
            <w:vAlign w:val="center"/>
          </w:tcPr>
          <w:p w14:paraId="35B17A1A">
            <w:pPr>
              <w:jc w:val="center"/>
              <w:rPr>
                <w:rFonts w:hint="eastAsia" w:ascii="Times New Roman" w:hAnsi="Times New Roman" w:eastAsia="宋体" w:cs="Times New Roman"/>
                <w:color w:val="auto"/>
              </w:rPr>
            </w:pPr>
          </w:p>
        </w:tc>
      </w:tr>
      <w:tr w14:paraId="6A90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58" w:type="pct"/>
            <w:noWrap w:val="0"/>
            <w:vAlign w:val="center"/>
          </w:tcPr>
          <w:p w14:paraId="5D1A234E">
            <w:pPr>
              <w:pStyle w:val="2"/>
              <w:spacing w:line="360" w:lineRule="auto"/>
              <w:jc w:val="center"/>
              <w:rPr>
                <w:rFonts w:hint="eastAsia" w:hAnsi="宋体"/>
                <w:color w:val="auto"/>
                <w:sz w:val="21"/>
                <w:szCs w:val="21"/>
              </w:rPr>
            </w:pPr>
            <w:r>
              <w:rPr>
                <w:rFonts w:hint="eastAsia" w:hAnsi="宋体"/>
                <w:color w:val="auto"/>
                <w:sz w:val="21"/>
                <w:szCs w:val="21"/>
              </w:rPr>
              <w:t>经营地址</w:t>
            </w:r>
          </w:p>
        </w:tc>
        <w:tc>
          <w:tcPr>
            <w:tcW w:w="1665" w:type="pct"/>
            <w:noWrap w:val="0"/>
            <w:vAlign w:val="center"/>
          </w:tcPr>
          <w:p w14:paraId="785314E5">
            <w:pPr>
              <w:pStyle w:val="2"/>
              <w:spacing w:line="360" w:lineRule="auto"/>
              <w:rPr>
                <w:rFonts w:hint="eastAsia" w:hAnsi="宋体"/>
                <w:color w:val="auto"/>
                <w:sz w:val="21"/>
                <w:szCs w:val="21"/>
              </w:rPr>
            </w:pPr>
            <w:r>
              <w:rPr>
                <w:rFonts w:hint="eastAsia" w:hAnsi="宋体"/>
                <w:color w:val="auto"/>
                <w:sz w:val="21"/>
                <w:szCs w:val="21"/>
              </w:rPr>
              <w:t>泉州市丰泽区东海大街398号</w:t>
            </w:r>
          </w:p>
        </w:tc>
        <w:tc>
          <w:tcPr>
            <w:tcW w:w="769" w:type="pct"/>
            <w:noWrap w:val="0"/>
            <w:vAlign w:val="center"/>
          </w:tcPr>
          <w:p w14:paraId="30DE673A">
            <w:pPr>
              <w:pStyle w:val="2"/>
              <w:spacing w:line="360" w:lineRule="auto"/>
              <w:jc w:val="center"/>
              <w:rPr>
                <w:rFonts w:hint="eastAsia" w:hAnsi="宋体"/>
                <w:color w:val="auto"/>
                <w:sz w:val="21"/>
                <w:szCs w:val="21"/>
              </w:rPr>
            </w:pPr>
            <w:r>
              <w:rPr>
                <w:rFonts w:hint="eastAsia" w:hAnsi="宋体"/>
                <w:color w:val="auto"/>
                <w:sz w:val="21"/>
                <w:szCs w:val="21"/>
              </w:rPr>
              <w:t>经营地址</w:t>
            </w:r>
          </w:p>
        </w:tc>
        <w:tc>
          <w:tcPr>
            <w:tcW w:w="1805" w:type="pct"/>
            <w:noWrap w:val="0"/>
            <w:vAlign w:val="top"/>
          </w:tcPr>
          <w:p w14:paraId="62142BF9">
            <w:pPr>
              <w:rPr>
                <w:rFonts w:hint="eastAsia" w:ascii="Times New Roman" w:hAnsi="Times New Roman" w:eastAsia="宋体" w:cs="Times New Roman"/>
                <w:color w:val="auto"/>
              </w:rPr>
            </w:pPr>
            <w:r>
              <w:rPr>
                <w:rFonts w:hint="eastAsia" w:ascii="Times New Roman" w:hAnsi="Times New Roman" w:eastAsia="宋体" w:cs="Times New Roman"/>
                <w:color w:val="auto"/>
              </w:rPr>
              <w:cr/>
            </w:r>
          </w:p>
        </w:tc>
      </w:tr>
      <w:tr w14:paraId="46D6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8" w:type="pct"/>
            <w:noWrap w:val="0"/>
            <w:vAlign w:val="center"/>
          </w:tcPr>
          <w:p w14:paraId="2D54FE05">
            <w:pPr>
              <w:pStyle w:val="2"/>
              <w:spacing w:line="360" w:lineRule="auto"/>
              <w:jc w:val="center"/>
              <w:rPr>
                <w:rFonts w:hint="eastAsia" w:hAnsi="宋体"/>
                <w:color w:val="auto"/>
                <w:sz w:val="21"/>
                <w:szCs w:val="21"/>
              </w:rPr>
            </w:pPr>
            <w:r>
              <w:rPr>
                <w:rFonts w:hint="eastAsia" w:hAnsi="宋体"/>
                <w:color w:val="auto"/>
                <w:sz w:val="21"/>
                <w:szCs w:val="21"/>
              </w:rPr>
              <w:t>单位负责人</w:t>
            </w:r>
          </w:p>
        </w:tc>
        <w:tc>
          <w:tcPr>
            <w:tcW w:w="1665" w:type="pct"/>
            <w:noWrap w:val="0"/>
            <w:vAlign w:val="center"/>
          </w:tcPr>
          <w:p w14:paraId="21D517B9">
            <w:pPr>
              <w:pStyle w:val="2"/>
              <w:spacing w:line="360" w:lineRule="auto"/>
              <w:rPr>
                <w:rFonts w:hint="eastAsia" w:hAnsi="宋体" w:eastAsia="宋体"/>
                <w:color w:val="auto"/>
                <w:sz w:val="21"/>
                <w:szCs w:val="21"/>
                <w:lang w:eastAsia="zh-CN"/>
              </w:rPr>
            </w:pPr>
            <w:r>
              <w:rPr>
                <w:rFonts w:hint="eastAsia" w:hAnsi="宋体"/>
                <w:color w:val="auto"/>
                <w:sz w:val="21"/>
                <w:szCs w:val="21"/>
                <w:lang w:eastAsia="zh-CN"/>
              </w:rPr>
              <w:t>陈昌萍</w:t>
            </w:r>
          </w:p>
        </w:tc>
        <w:tc>
          <w:tcPr>
            <w:tcW w:w="769" w:type="pct"/>
            <w:noWrap w:val="0"/>
            <w:vAlign w:val="center"/>
          </w:tcPr>
          <w:p w14:paraId="521C2B07">
            <w:pPr>
              <w:pStyle w:val="2"/>
              <w:spacing w:line="360" w:lineRule="auto"/>
              <w:jc w:val="center"/>
              <w:rPr>
                <w:rFonts w:hint="eastAsia" w:hAnsi="宋体"/>
                <w:color w:val="auto"/>
                <w:sz w:val="21"/>
                <w:szCs w:val="21"/>
              </w:rPr>
            </w:pPr>
            <w:r>
              <w:rPr>
                <w:rFonts w:hint="eastAsia" w:hAnsi="宋体"/>
                <w:color w:val="auto"/>
                <w:sz w:val="21"/>
                <w:szCs w:val="21"/>
              </w:rPr>
              <w:t>单位负责人</w:t>
            </w:r>
          </w:p>
        </w:tc>
        <w:tc>
          <w:tcPr>
            <w:tcW w:w="1805" w:type="pct"/>
            <w:noWrap w:val="0"/>
            <w:vAlign w:val="top"/>
          </w:tcPr>
          <w:p w14:paraId="56A4258A">
            <w:pPr>
              <w:rPr>
                <w:rFonts w:hint="eastAsia" w:ascii="Times New Roman" w:hAnsi="Times New Roman" w:eastAsia="宋体" w:cs="Times New Roman"/>
                <w:color w:val="auto"/>
              </w:rPr>
            </w:pPr>
          </w:p>
        </w:tc>
      </w:tr>
      <w:tr w14:paraId="2B5F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58" w:type="pct"/>
            <w:noWrap w:val="0"/>
            <w:vAlign w:val="center"/>
          </w:tcPr>
          <w:p w14:paraId="575C8E8C">
            <w:pPr>
              <w:pStyle w:val="2"/>
              <w:spacing w:line="360" w:lineRule="auto"/>
              <w:jc w:val="center"/>
              <w:rPr>
                <w:rFonts w:hint="eastAsia" w:hAnsi="宋体"/>
                <w:color w:val="auto"/>
                <w:sz w:val="21"/>
                <w:szCs w:val="21"/>
              </w:rPr>
            </w:pPr>
            <w:r>
              <w:rPr>
                <w:rFonts w:hint="eastAsia" w:hAnsi="宋体"/>
                <w:color w:val="auto"/>
                <w:sz w:val="21"/>
                <w:szCs w:val="21"/>
              </w:rPr>
              <w:t>委托代理人</w:t>
            </w:r>
          </w:p>
        </w:tc>
        <w:tc>
          <w:tcPr>
            <w:tcW w:w="1665" w:type="pct"/>
            <w:noWrap w:val="0"/>
            <w:vAlign w:val="center"/>
          </w:tcPr>
          <w:p w14:paraId="07DAA9E5">
            <w:pPr>
              <w:pStyle w:val="2"/>
              <w:spacing w:line="360" w:lineRule="auto"/>
              <w:rPr>
                <w:rFonts w:hint="eastAsia" w:hAnsi="宋体"/>
                <w:color w:val="auto"/>
                <w:sz w:val="21"/>
                <w:szCs w:val="21"/>
              </w:rPr>
            </w:pPr>
          </w:p>
        </w:tc>
        <w:tc>
          <w:tcPr>
            <w:tcW w:w="769" w:type="pct"/>
            <w:noWrap w:val="0"/>
            <w:vAlign w:val="center"/>
          </w:tcPr>
          <w:p w14:paraId="7AAE2309">
            <w:pPr>
              <w:pStyle w:val="2"/>
              <w:spacing w:line="360" w:lineRule="auto"/>
              <w:jc w:val="center"/>
              <w:rPr>
                <w:rFonts w:hint="eastAsia" w:hAnsi="宋体"/>
                <w:color w:val="auto"/>
                <w:sz w:val="21"/>
                <w:szCs w:val="21"/>
              </w:rPr>
            </w:pPr>
            <w:r>
              <w:rPr>
                <w:rFonts w:hint="eastAsia" w:hAnsi="宋体"/>
                <w:color w:val="auto"/>
                <w:sz w:val="21"/>
                <w:szCs w:val="21"/>
              </w:rPr>
              <w:t>委托代理人</w:t>
            </w:r>
          </w:p>
        </w:tc>
        <w:tc>
          <w:tcPr>
            <w:tcW w:w="1805" w:type="pct"/>
            <w:noWrap w:val="0"/>
            <w:vAlign w:val="top"/>
          </w:tcPr>
          <w:p w14:paraId="5C0940CA">
            <w:pPr>
              <w:rPr>
                <w:rFonts w:ascii="Times New Roman" w:hAnsi="Times New Roman" w:eastAsia="宋体" w:cs="Times New Roman"/>
                <w:color w:val="auto"/>
              </w:rPr>
            </w:pPr>
          </w:p>
        </w:tc>
      </w:tr>
      <w:tr w14:paraId="5E4F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8" w:type="pct"/>
            <w:noWrap w:val="0"/>
            <w:vAlign w:val="center"/>
          </w:tcPr>
          <w:p w14:paraId="704B6B23">
            <w:pPr>
              <w:pStyle w:val="2"/>
              <w:spacing w:line="360" w:lineRule="auto"/>
              <w:jc w:val="center"/>
              <w:rPr>
                <w:rFonts w:hint="eastAsia" w:hAnsi="宋体"/>
                <w:color w:val="auto"/>
                <w:sz w:val="21"/>
                <w:szCs w:val="21"/>
              </w:rPr>
            </w:pPr>
            <w:r>
              <w:rPr>
                <w:rFonts w:hint="eastAsia" w:hAnsi="宋体"/>
                <w:color w:val="auto"/>
                <w:sz w:val="21"/>
                <w:szCs w:val="21"/>
              </w:rPr>
              <w:t>联系方式</w:t>
            </w:r>
          </w:p>
        </w:tc>
        <w:tc>
          <w:tcPr>
            <w:tcW w:w="1665" w:type="pct"/>
            <w:noWrap w:val="0"/>
            <w:vAlign w:val="center"/>
          </w:tcPr>
          <w:p w14:paraId="7BA67655">
            <w:pPr>
              <w:pStyle w:val="2"/>
              <w:spacing w:line="360" w:lineRule="auto"/>
              <w:rPr>
                <w:rFonts w:hint="eastAsia" w:hAnsi="宋体"/>
                <w:color w:val="auto"/>
                <w:sz w:val="21"/>
                <w:szCs w:val="21"/>
              </w:rPr>
            </w:pPr>
            <w:r>
              <w:rPr>
                <w:rFonts w:hint="eastAsia" w:hAnsi="宋体"/>
                <w:color w:val="auto"/>
                <w:sz w:val="21"/>
                <w:szCs w:val="21"/>
              </w:rPr>
              <w:t>0595-22919532</w:t>
            </w:r>
          </w:p>
        </w:tc>
        <w:tc>
          <w:tcPr>
            <w:tcW w:w="769" w:type="pct"/>
            <w:noWrap w:val="0"/>
            <w:vAlign w:val="center"/>
          </w:tcPr>
          <w:p w14:paraId="6F0F1E21">
            <w:pPr>
              <w:pStyle w:val="2"/>
              <w:spacing w:line="360" w:lineRule="auto"/>
              <w:jc w:val="center"/>
              <w:rPr>
                <w:rFonts w:hint="eastAsia" w:hAnsi="宋体"/>
                <w:color w:val="auto"/>
                <w:sz w:val="21"/>
                <w:szCs w:val="21"/>
              </w:rPr>
            </w:pPr>
            <w:r>
              <w:rPr>
                <w:rFonts w:hint="eastAsia" w:hAnsi="宋体"/>
                <w:color w:val="auto"/>
                <w:sz w:val="21"/>
                <w:szCs w:val="21"/>
              </w:rPr>
              <w:t>联系方式</w:t>
            </w:r>
          </w:p>
        </w:tc>
        <w:tc>
          <w:tcPr>
            <w:tcW w:w="1805" w:type="pct"/>
            <w:noWrap w:val="0"/>
            <w:vAlign w:val="top"/>
          </w:tcPr>
          <w:p w14:paraId="6127C18F">
            <w:pPr>
              <w:rPr>
                <w:rFonts w:ascii="Times New Roman" w:hAnsi="Times New Roman" w:eastAsia="宋体" w:cs="Times New Roman"/>
                <w:color w:val="auto"/>
              </w:rPr>
            </w:pPr>
          </w:p>
        </w:tc>
      </w:tr>
      <w:tr w14:paraId="4617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8" w:type="pct"/>
            <w:noWrap w:val="0"/>
            <w:vAlign w:val="center"/>
          </w:tcPr>
          <w:p w14:paraId="5436C8E0">
            <w:pPr>
              <w:pStyle w:val="2"/>
              <w:spacing w:line="360" w:lineRule="auto"/>
              <w:jc w:val="center"/>
              <w:rPr>
                <w:rFonts w:hint="eastAsia" w:hAnsi="宋体"/>
                <w:color w:val="auto"/>
                <w:sz w:val="21"/>
                <w:szCs w:val="21"/>
              </w:rPr>
            </w:pPr>
            <w:r>
              <w:rPr>
                <w:rFonts w:hint="eastAsia" w:hAnsi="宋体"/>
                <w:color w:val="auto"/>
                <w:sz w:val="21"/>
                <w:szCs w:val="21"/>
              </w:rPr>
              <w:t>开户银行</w:t>
            </w:r>
          </w:p>
        </w:tc>
        <w:tc>
          <w:tcPr>
            <w:tcW w:w="1665" w:type="pct"/>
            <w:noWrap w:val="0"/>
            <w:vAlign w:val="center"/>
          </w:tcPr>
          <w:p w14:paraId="42371849">
            <w:pPr>
              <w:pStyle w:val="2"/>
              <w:spacing w:line="360" w:lineRule="auto"/>
              <w:rPr>
                <w:rFonts w:hint="eastAsia" w:hAnsi="宋体"/>
                <w:color w:val="auto"/>
                <w:sz w:val="21"/>
                <w:szCs w:val="21"/>
              </w:rPr>
            </w:pPr>
            <w:r>
              <w:rPr>
                <w:rFonts w:hint="eastAsia" w:hAnsi="宋体"/>
                <w:color w:val="auto"/>
                <w:sz w:val="21"/>
                <w:szCs w:val="21"/>
              </w:rPr>
              <w:t>泉州市建行丰泽支行</w:t>
            </w:r>
          </w:p>
        </w:tc>
        <w:tc>
          <w:tcPr>
            <w:tcW w:w="769" w:type="pct"/>
            <w:noWrap w:val="0"/>
            <w:vAlign w:val="center"/>
          </w:tcPr>
          <w:p w14:paraId="0B8696C2">
            <w:pPr>
              <w:pStyle w:val="2"/>
              <w:spacing w:line="360" w:lineRule="auto"/>
              <w:jc w:val="center"/>
              <w:rPr>
                <w:rFonts w:hint="eastAsia" w:hAnsi="宋体"/>
                <w:color w:val="auto"/>
                <w:sz w:val="21"/>
                <w:szCs w:val="21"/>
              </w:rPr>
            </w:pPr>
            <w:r>
              <w:rPr>
                <w:rFonts w:hint="eastAsia" w:hAnsi="宋体"/>
                <w:color w:val="auto"/>
                <w:sz w:val="21"/>
                <w:szCs w:val="21"/>
              </w:rPr>
              <w:t>开户银行</w:t>
            </w:r>
          </w:p>
        </w:tc>
        <w:tc>
          <w:tcPr>
            <w:tcW w:w="1805" w:type="pct"/>
            <w:noWrap w:val="0"/>
            <w:vAlign w:val="top"/>
          </w:tcPr>
          <w:p w14:paraId="446222C3">
            <w:pPr>
              <w:rPr>
                <w:rFonts w:hint="eastAsia" w:ascii="Times New Roman" w:hAnsi="Times New Roman" w:eastAsia="宋体" w:cs="Times New Roman"/>
                <w:color w:val="auto"/>
              </w:rPr>
            </w:pPr>
          </w:p>
        </w:tc>
      </w:tr>
      <w:tr w14:paraId="6F21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8" w:type="pct"/>
            <w:noWrap w:val="0"/>
            <w:vAlign w:val="center"/>
          </w:tcPr>
          <w:p w14:paraId="61BB493E">
            <w:pPr>
              <w:pStyle w:val="2"/>
              <w:spacing w:line="360" w:lineRule="auto"/>
              <w:jc w:val="center"/>
              <w:rPr>
                <w:rFonts w:hint="eastAsia" w:hAnsi="宋体"/>
                <w:color w:val="auto"/>
                <w:sz w:val="21"/>
                <w:szCs w:val="21"/>
              </w:rPr>
            </w:pPr>
            <w:r>
              <w:rPr>
                <w:rFonts w:hint="eastAsia" w:hAnsi="宋体"/>
                <w:color w:val="auto"/>
                <w:sz w:val="21"/>
                <w:szCs w:val="21"/>
              </w:rPr>
              <w:t>账号</w:t>
            </w:r>
          </w:p>
        </w:tc>
        <w:tc>
          <w:tcPr>
            <w:tcW w:w="1665" w:type="pct"/>
            <w:noWrap w:val="0"/>
            <w:vAlign w:val="center"/>
          </w:tcPr>
          <w:p w14:paraId="1F60966B">
            <w:pPr>
              <w:pStyle w:val="2"/>
              <w:spacing w:line="360" w:lineRule="auto"/>
              <w:rPr>
                <w:rFonts w:hint="eastAsia" w:hAnsi="宋体"/>
                <w:color w:val="auto"/>
                <w:sz w:val="21"/>
                <w:szCs w:val="21"/>
              </w:rPr>
            </w:pPr>
            <w:r>
              <w:rPr>
                <w:rFonts w:hint="eastAsia" w:hAnsi="宋体"/>
                <w:color w:val="auto"/>
                <w:sz w:val="21"/>
                <w:szCs w:val="21"/>
              </w:rPr>
              <w:t>35001656007059000262</w:t>
            </w:r>
          </w:p>
        </w:tc>
        <w:tc>
          <w:tcPr>
            <w:tcW w:w="769" w:type="pct"/>
            <w:noWrap w:val="0"/>
            <w:vAlign w:val="center"/>
          </w:tcPr>
          <w:p w14:paraId="1F804147">
            <w:pPr>
              <w:pStyle w:val="2"/>
              <w:spacing w:line="360" w:lineRule="auto"/>
              <w:jc w:val="center"/>
              <w:rPr>
                <w:rFonts w:hint="eastAsia" w:hAnsi="宋体"/>
                <w:color w:val="auto"/>
                <w:sz w:val="21"/>
                <w:szCs w:val="21"/>
              </w:rPr>
            </w:pPr>
            <w:r>
              <w:rPr>
                <w:rFonts w:hint="eastAsia" w:hAnsi="宋体"/>
                <w:color w:val="auto"/>
                <w:sz w:val="21"/>
                <w:szCs w:val="21"/>
              </w:rPr>
              <w:t>账号</w:t>
            </w:r>
          </w:p>
        </w:tc>
        <w:tc>
          <w:tcPr>
            <w:tcW w:w="1805" w:type="pct"/>
            <w:noWrap w:val="0"/>
            <w:vAlign w:val="top"/>
          </w:tcPr>
          <w:p w14:paraId="1B854CC3">
            <w:pPr>
              <w:rPr>
                <w:rFonts w:ascii="Times New Roman" w:hAnsi="Times New Roman" w:eastAsia="宋体" w:cs="Times New Roman"/>
                <w:color w:val="auto"/>
              </w:rPr>
            </w:pPr>
          </w:p>
        </w:tc>
      </w:tr>
    </w:tbl>
    <w:p w14:paraId="56FC6589">
      <w:pPr>
        <w:spacing w:line="360" w:lineRule="auto"/>
        <w:ind w:right="640"/>
        <w:jc w:val="center"/>
        <w:rPr>
          <w:rFonts w:hint="eastAsia" w:ascii="宋体" w:hAnsi="宋体" w:eastAsia="宋体" w:cs="宋体"/>
          <w:color w:val="auto"/>
          <w:szCs w:val="21"/>
        </w:rPr>
      </w:pPr>
    </w:p>
    <w:p w14:paraId="40DAC2E6">
      <w:pPr>
        <w:shd w:val="clear" w:color="auto" w:fill="FFFFFF"/>
        <w:spacing w:line="360" w:lineRule="auto"/>
        <w:rPr>
          <w:rFonts w:hint="eastAsia" w:ascii="宋体" w:hAnsi="Times New Roman" w:eastAsia="宋体" w:cs="宋体"/>
          <w:color w:val="auto"/>
          <w:szCs w:val="21"/>
        </w:rPr>
      </w:pPr>
      <w:r>
        <w:rPr>
          <w:rFonts w:hint="eastAsia" w:ascii="宋体" w:hAnsi="Times New Roman" w:eastAsia="宋体" w:cs="宋体"/>
          <w:color w:val="auto"/>
          <w:szCs w:val="21"/>
        </w:rPr>
        <w:t>签订地点：泉州师范学院</w:t>
      </w:r>
      <w:r>
        <w:rPr>
          <w:rFonts w:hint="eastAsia" w:ascii="宋体" w:hAnsi="Times New Roman" w:eastAsia="宋体" w:cs="宋体"/>
          <w:color w:val="auto"/>
          <w:szCs w:val="21"/>
          <w:lang w:val="en-US" w:eastAsia="zh-CN"/>
        </w:rPr>
        <w:t>主校区</w:t>
      </w:r>
      <w:r>
        <w:rPr>
          <w:rFonts w:hint="eastAsia" w:ascii="宋体" w:hAnsi="Times New Roman" w:eastAsia="宋体" w:cs="宋体"/>
          <w:color w:val="auto"/>
          <w:szCs w:val="21"/>
        </w:rPr>
        <w:t xml:space="preserve">                      签订日期：</w:t>
      </w:r>
    </w:p>
    <w:p w14:paraId="217CC48B">
      <w:pPr>
        <w:spacing w:line="360" w:lineRule="auto"/>
        <w:ind w:right="640"/>
        <w:rPr>
          <w:rFonts w:hint="eastAsia" w:ascii="宋体" w:hAnsi="宋体" w:eastAsia="宋体" w:cs="宋体"/>
          <w:color w:val="auto"/>
          <w:sz w:val="28"/>
          <w:szCs w:val="28"/>
        </w:rPr>
      </w:pPr>
      <w:r>
        <w:rPr>
          <w:rFonts w:hint="eastAsia" w:ascii="宋体" w:hAnsi="宋体" w:eastAsia="宋体" w:cs="宋体"/>
          <w:b/>
          <w:bCs/>
          <w:color w:val="auto"/>
          <w:sz w:val="28"/>
          <w:szCs w:val="28"/>
        </w:rPr>
        <w:t>附件</w:t>
      </w:r>
      <w:r>
        <w:rPr>
          <w:rFonts w:hint="eastAsia" w:ascii="宋体" w:hAnsi="宋体" w:eastAsia="宋体" w:cs="宋体"/>
          <w:b/>
          <w:bCs/>
          <w:color w:val="auto"/>
          <w:sz w:val="28"/>
          <w:szCs w:val="28"/>
          <w:lang w:val="en-US" w:eastAsia="zh-CN"/>
        </w:rPr>
        <w:t>2-</w:t>
      </w:r>
      <w:r>
        <w:rPr>
          <w:rFonts w:hint="eastAsia" w:ascii="宋体" w:hAnsi="宋体" w:eastAsia="宋体" w:cs="宋体"/>
          <w:b/>
          <w:bCs/>
          <w:color w:val="auto"/>
          <w:sz w:val="28"/>
          <w:szCs w:val="28"/>
        </w:rPr>
        <w:t>1</w:t>
      </w:r>
      <w:r>
        <w:rPr>
          <w:rFonts w:hint="eastAsia" w:ascii="宋体" w:hAnsi="宋体" w:eastAsia="宋体" w:cs="宋体"/>
          <w:color w:val="auto"/>
          <w:sz w:val="28"/>
          <w:szCs w:val="28"/>
        </w:rPr>
        <w:t>：</w:t>
      </w:r>
    </w:p>
    <w:p w14:paraId="63DFBC8B">
      <w:pPr>
        <w:spacing w:line="360" w:lineRule="auto"/>
        <w:ind w:right="64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电梯维保清单</w:t>
      </w:r>
    </w:p>
    <w:p w14:paraId="1D4F0CF6">
      <w:pPr>
        <w:pStyle w:val="2"/>
        <w:rPr>
          <w:rFonts w:hint="eastAsia"/>
          <w:color w:val="auto"/>
        </w:rPr>
      </w:pPr>
    </w:p>
    <w:tbl>
      <w:tblPr>
        <w:tblStyle w:val="11"/>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075"/>
        <w:gridCol w:w="1117"/>
        <w:gridCol w:w="990"/>
        <w:gridCol w:w="742"/>
        <w:gridCol w:w="1490"/>
        <w:gridCol w:w="992"/>
        <w:gridCol w:w="1492"/>
      </w:tblGrid>
      <w:tr w14:paraId="6971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57" w:type="dxa"/>
            <w:noWrap/>
            <w:vAlign w:val="center"/>
          </w:tcPr>
          <w:p w14:paraId="57E26876">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电梯</w:t>
            </w:r>
          </w:p>
          <w:p w14:paraId="77451D1C">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品牌</w:t>
            </w:r>
          </w:p>
        </w:tc>
        <w:tc>
          <w:tcPr>
            <w:tcW w:w="1075" w:type="dxa"/>
            <w:noWrap/>
            <w:vAlign w:val="center"/>
          </w:tcPr>
          <w:p w14:paraId="73E94587">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电梯编号</w:t>
            </w:r>
          </w:p>
        </w:tc>
        <w:tc>
          <w:tcPr>
            <w:tcW w:w="1117" w:type="dxa"/>
            <w:noWrap/>
            <w:vAlign w:val="center"/>
          </w:tcPr>
          <w:p w14:paraId="60AE22C3">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电梯型号</w:t>
            </w:r>
          </w:p>
        </w:tc>
        <w:tc>
          <w:tcPr>
            <w:tcW w:w="990" w:type="dxa"/>
            <w:noWrap/>
            <w:vAlign w:val="center"/>
          </w:tcPr>
          <w:p w14:paraId="1CD5503B">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安装地点</w:t>
            </w:r>
          </w:p>
        </w:tc>
        <w:tc>
          <w:tcPr>
            <w:tcW w:w="742" w:type="dxa"/>
            <w:noWrap/>
            <w:vAlign w:val="center"/>
          </w:tcPr>
          <w:p w14:paraId="08537F67">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层数</w:t>
            </w:r>
          </w:p>
        </w:tc>
        <w:tc>
          <w:tcPr>
            <w:tcW w:w="1490" w:type="dxa"/>
            <w:noWrap/>
            <w:vAlign w:val="center"/>
          </w:tcPr>
          <w:p w14:paraId="3DBF356B">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维保服务期202</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.7.1至202</w:t>
            </w: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.6.30</w:t>
            </w:r>
          </w:p>
        </w:tc>
        <w:tc>
          <w:tcPr>
            <w:tcW w:w="992" w:type="dxa"/>
            <w:noWrap/>
            <w:vAlign w:val="center"/>
          </w:tcPr>
          <w:p w14:paraId="29DBA956">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维保服务方案</w:t>
            </w:r>
          </w:p>
        </w:tc>
        <w:tc>
          <w:tcPr>
            <w:tcW w:w="1492" w:type="dxa"/>
            <w:noWrap/>
            <w:vAlign w:val="center"/>
          </w:tcPr>
          <w:p w14:paraId="4BB35EB4">
            <w:pPr>
              <w:widowControl/>
              <w:spacing w:line="360" w:lineRule="auto"/>
              <w:ind w:left="105" w:hanging="105" w:hangingChars="50"/>
              <w:rPr>
                <w:rFonts w:hint="eastAsia" w:ascii="宋体" w:hAnsi="宋体" w:eastAsia="宋体" w:cs="宋体"/>
                <w:color w:val="auto"/>
                <w:kern w:val="0"/>
                <w:szCs w:val="21"/>
              </w:rPr>
            </w:pPr>
            <w:r>
              <w:rPr>
                <w:rFonts w:hint="eastAsia" w:ascii="宋体" w:hAnsi="宋体" w:eastAsia="宋体" w:cs="宋体"/>
                <w:color w:val="auto"/>
                <w:kern w:val="0"/>
                <w:szCs w:val="21"/>
              </w:rPr>
              <w:t xml:space="preserve">保养金额 </w:t>
            </w:r>
          </w:p>
          <w:p w14:paraId="4F338FAC">
            <w:pPr>
              <w:widowControl/>
              <w:spacing w:line="360" w:lineRule="auto"/>
              <w:ind w:left="105" w:hanging="105" w:hangingChars="50"/>
              <w:rPr>
                <w:rFonts w:hint="eastAsia" w:ascii="宋体" w:hAnsi="宋体" w:eastAsia="宋体" w:cs="宋体"/>
                <w:color w:val="auto"/>
                <w:kern w:val="0"/>
                <w:szCs w:val="21"/>
              </w:rPr>
            </w:pPr>
            <w:r>
              <w:rPr>
                <w:rFonts w:hint="eastAsia" w:ascii="宋体" w:hAnsi="宋体" w:eastAsia="宋体" w:cs="宋体"/>
                <w:color w:val="auto"/>
                <w:kern w:val="0"/>
                <w:szCs w:val="21"/>
              </w:rPr>
              <w:t>（元/月）</w:t>
            </w:r>
          </w:p>
        </w:tc>
      </w:tr>
      <w:tr w14:paraId="1CE7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57" w:type="dxa"/>
            <w:noWrap/>
            <w:vAlign w:val="center"/>
          </w:tcPr>
          <w:p w14:paraId="29D7C4DA">
            <w:pPr>
              <w:jc w:val="center"/>
              <w:rPr>
                <w:rFonts w:hint="eastAsia" w:ascii="Times New Roman" w:hAnsi="Times New Roman" w:eastAsia="宋体" w:cs="Times New Roman"/>
                <w:color w:val="auto"/>
              </w:rPr>
            </w:pPr>
          </w:p>
        </w:tc>
        <w:tc>
          <w:tcPr>
            <w:tcW w:w="1075" w:type="dxa"/>
            <w:noWrap/>
            <w:vAlign w:val="center"/>
          </w:tcPr>
          <w:p w14:paraId="6F47418D">
            <w:pPr>
              <w:jc w:val="center"/>
              <w:rPr>
                <w:rFonts w:hint="eastAsia" w:ascii="Times New Roman" w:hAnsi="Times New Roman" w:eastAsia="宋体" w:cs="Times New Roman"/>
                <w:color w:val="auto"/>
              </w:rPr>
            </w:pPr>
          </w:p>
        </w:tc>
        <w:tc>
          <w:tcPr>
            <w:tcW w:w="1117" w:type="dxa"/>
            <w:noWrap/>
            <w:vAlign w:val="center"/>
          </w:tcPr>
          <w:p w14:paraId="2FE3D2ED">
            <w:pPr>
              <w:jc w:val="center"/>
              <w:rPr>
                <w:rFonts w:hint="eastAsia" w:ascii="Times New Roman" w:hAnsi="Times New Roman" w:eastAsia="宋体" w:cs="Times New Roman"/>
                <w:color w:val="auto"/>
              </w:rPr>
            </w:pPr>
          </w:p>
        </w:tc>
        <w:tc>
          <w:tcPr>
            <w:tcW w:w="990" w:type="dxa"/>
            <w:noWrap/>
            <w:vAlign w:val="center"/>
          </w:tcPr>
          <w:p w14:paraId="582DA889">
            <w:pPr>
              <w:jc w:val="center"/>
              <w:rPr>
                <w:rFonts w:hint="eastAsia" w:ascii="Times New Roman" w:hAnsi="Times New Roman" w:eastAsia="宋体" w:cs="Times New Roman"/>
                <w:color w:val="auto"/>
              </w:rPr>
            </w:pPr>
          </w:p>
        </w:tc>
        <w:tc>
          <w:tcPr>
            <w:tcW w:w="742" w:type="dxa"/>
            <w:noWrap/>
            <w:vAlign w:val="center"/>
          </w:tcPr>
          <w:p w14:paraId="620DEC3A">
            <w:pPr>
              <w:jc w:val="center"/>
              <w:rPr>
                <w:rFonts w:hint="eastAsia" w:ascii="Times New Roman" w:hAnsi="Times New Roman" w:eastAsia="宋体" w:cs="Times New Roman"/>
                <w:color w:val="auto"/>
              </w:rPr>
            </w:pPr>
          </w:p>
        </w:tc>
        <w:tc>
          <w:tcPr>
            <w:tcW w:w="1490" w:type="dxa"/>
            <w:noWrap/>
            <w:vAlign w:val="center"/>
          </w:tcPr>
          <w:p w14:paraId="0942F831">
            <w:pPr>
              <w:jc w:val="center"/>
              <w:rPr>
                <w:rFonts w:hint="eastAsia" w:ascii="Times New Roman" w:hAnsi="Times New Roman" w:eastAsia="宋体" w:cs="Times New Roman"/>
                <w:color w:val="auto"/>
                <w:lang w:eastAsia="zh-CN"/>
              </w:rPr>
            </w:pPr>
          </w:p>
        </w:tc>
        <w:tc>
          <w:tcPr>
            <w:tcW w:w="992" w:type="dxa"/>
            <w:noWrap/>
            <w:vAlign w:val="center"/>
          </w:tcPr>
          <w:p w14:paraId="309D9F5C">
            <w:pPr>
              <w:jc w:val="center"/>
              <w:rPr>
                <w:rFonts w:hint="eastAsia" w:ascii="Times New Roman" w:hAnsi="Times New Roman" w:eastAsia="宋体" w:cs="Times New Roman"/>
                <w:color w:val="auto"/>
              </w:rPr>
            </w:pPr>
          </w:p>
        </w:tc>
        <w:tc>
          <w:tcPr>
            <w:tcW w:w="1492" w:type="dxa"/>
            <w:noWrap/>
            <w:vAlign w:val="center"/>
          </w:tcPr>
          <w:p w14:paraId="3E26331C">
            <w:pPr>
              <w:jc w:val="center"/>
              <w:rPr>
                <w:rFonts w:hint="eastAsia" w:ascii="Times New Roman" w:hAnsi="Times New Roman" w:eastAsia="宋体" w:cs="Times New Roman"/>
                <w:color w:val="auto"/>
              </w:rPr>
            </w:pPr>
          </w:p>
        </w:tc>
      </w:tr>
      <w:tr w14:paraId="6BBC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57" w:type="dxa"/>
            <w:noWrap/>
            <w:vAlign w:val="center"/>
          </w:tcPr>
          <w:p w14:paraId="005E903B">
            <w:pPr>
              <w:jc w:val="center"/>
              <w:rPr>
                <w:rFonts w:hint="eastAsia" w:ascii="Times New Roman" w:hAnsi="Times New Roman" w:eastAsia="宋体" w:cs="Times New Roman"/>
                <w:color w:val="auto"/>
              </w:rPr>
            </w:pPr>
          </w:p>
        </w:tc>
        <w:tc>
          <w:tcPr>
            <w:tcW w:w="1075" w:type="dxa"/>
            <w:noWrap/>
            <w:vAlign w:val="center"/>
          </w:tcPr>
          <w:p w14:paraId="56A5DFE4">
            <w:pPr>
              <w:jc w:val="center"/>
              <w:rPr>
                <w:rFonts w:hint="eastAsia" w:ascii="Times New Roman" w:hAnsi="Times New Roman" w:eastAsia="宋体" w:cs="Times New Roman"/>
                <w:color w:val="auto"/>
              </w:rPr>
            </w:pPr>
          </w:p>
        </w:tc>
        <w:tc>
          <w:tcPr>
            <w:tcW w:w="1117" w:type="dxa"/>
            <w:noWrap/>
            <w:vAlign w:val="center"/>
          </w:tcPr>
          <w:p w14:paraId="2B0C76B3">
            <w:pPr>
              <w:jc w:val="center"/>
              <w:rPr>
                <w:rFonts w:hint="eastAsia" w:ascii="Times New Roman" w:hAnsi="Times New Roman" w:eastAsia="宋体" w:cs="Times New Roman"/>
                <w:color w:val="auto"/>
              </w:rPr>
            </w:pPr>
          </w:p>
        </w:tc>
        <w:tc>
          <w:tcPr>
            <w:tcW w:w="990" w:type="dxa"/>
            <w:noWrap/>
            <w:vAlign w:val="center"/>
          </w:tcPr>
          <w:p w14:paraId="7950608C">
            <w:pPr>
              <w:jc w:val="center"/>
              <w:rPr>
                <w:rFonts w:hint="eastAsia" w:ascii="Times New Roman" w:hAnsi="Times New Roman" w:eastAsia="宋体" w:cs="Times New Roman"/>
                <w:color w:val="auto"/>
              </w:rPr>
            </w:pPr>
          </w:p>
        </w:tc>
        <w:tc>
          <w:tcPr>
            <w:tcW w:w="742" w:type="dxa"/>
            <w:noWrap/>
            <w:vAlign w:val="center"/>
          </w:tcPr>
          <w:p w14:paraId="47657EEF">
            <w:pPr>
              <w:jc w:val="center"/>
              <w:rPr>
                <w:rFonts w:hint="eastAsia" w:ascii="Times New Roman" w:hAnsi="Times New Roman" w:eastAsia="宋体" w:cs="Times New Roman"/>
                <w:color w:val="auto"/>
              </w:rPr>
            </w:pPr>
          </w:p>
        </w:tc>
        <w:tc>
          <w:tcPr>
            <w:tcW w:w="1490" w:type="dxa"/>
            <w:noWrap/>
            <w:vAlign w:val="center"/>
          </w:tcPr>
          <w:p w14:paraId="4CFAF5CC">
            <w:pPr>
              <w:jc w:val="center"/>
              <w:rPr>
                <w:rFonts w:hint="eastAsia" w:ascii="Times New Roman" w:hAnsi="Times New Roman" w:eastAsia="宋体" w:cs="Times New Roman"/>
                <w:color w:val="auto"/>
                <w:lang w:eastAsia="zh-CN"/>
              </w:rPr>
            </w:pPr>
          </w:p>
        </w:tc>
        <w:tc>
          <w:tcPr>
            <w:tcW w:w="992" w:type="dxa"/>
            <w:noWrap/>
            <w:vAlign w:val="center"/>
          </w:tcPr>
          <w:p w14:paraId="0BE544D3">
            <w:pPr>
              <w:jc w:val="center"/>
              <w:rPr>
                <w:rFonts w:hint="eastAsia" w:ascii="Times New Roman" w:hAnsi="Times New Roman" w:eastAsia="宋体" w:cs="Times New Roman"/>
                <w:color w:val="auto"/>
              </w:rPr>
            </w:pPr>
          </w:p>
        </w:tc>
        <w:tc>
          <w:tcPr>
            <w:tcW w:w="1492" w:type="dxa"/>
            <w:noWrap/>
            <w:vAlign w:val="center"/>
          </w:tcPr>
          <w:p w14:paraId="0B4E5AAC">
            <w:pPr>
              <w:jc w:val="center"/>
              <w:rPr>
                <w:rFonts w:ascii="Times New Roman" w:hAnsi="Times New Roman" w:eastAsia="宋体" w:cs="Times New Roman"/>
                <w:color w:val="auto"/>
              </w:rPr>
            </w:pPr>
          </w:p>
        </w:tc>
      </w:tr>
    </w:tbl>
    <w:p w14:paraId="53387630">
      <w:pPr>
        <w:pStyle w:val="2"/>
        <w:rPr>
          <w:rFonts w:ascii="Calibri" w:cs="Times New Roman"/>
          <w:b/>
          <w:bCs/>
          <w:color w:val="auto"/>
          <w:kern w:val="2"/>
          <w:sz w:val="21"/>
          <w:szCs w:val="22"/>
        </w:rPr>
      </w:pPr>
    </w:p>
    <w:p w14:paraId="2A4A9436">
      <w:pPr>
        <w:pStyle w:val="2"/>
        <w:rPr>
          <w:rFonts w:hint="eastAsia"/>
          <w:color w:val="auto"/>
        </w:rPr>
      </w:pPr>
      <w:r>
        <w:rPr>
          <w:color w:val="auto"/>
        </w:rPr>
        <w:br w:type="page"/>
      </w:r>
      <w:r>
        <w:rPr>
          <w:rFonts w:hint="eastAsia" w:hAnsi="宋体"/>
          <w:b/>
          <w:bCs/>
          <w:color w:val="auto"/>
          <w:kern w:val="2"/>
        </w:rPr>
        <w:t>附件2</w:t>
      </w:r>
      <w:r>
        <w:rPr>
          <w:rFonts w:hint="eastAsia" w:hAnsi="宋体"/>
          <w:b/>
          <w:bCs/>
          <w:color w:val="auto"/>
          <w:kern w:val="2"/>
          <w:lang w:val="en-US" w:eastAsia="zh-CN"/>
        </w:rPr>
        <w:t>-2</w:t>
      </w:r>
      <w:r>
        <w:rPr>
          <w:rFonts w:hint="eastAsia" w:hAnsi="宋体"/>
          <w:b/>
          <w:bCs/>
          <w:color w:val="auto"/>
          <w:kern w:val="2"/>
        </w:rPr>
        <w:t>：</w:t>
      </w:r>
      <w:r>
        <w:rPr>
          <w:rFonts w:hint="eastAsia" w:ascii="Calibri" w:cs="Times New Roman"/>
          <w:b/>
          <w:bCs/>
          <w:color w:val="auto"/>
          <w:kern w:val="2"/>
          <w:sz w:val="21"/>
          <w:szCs w:val="22"/>
        </w:rPr>
        <w:t xml:space="preserve">  </w:t>
      </w:r>
    </w:p>
    <w:p w14:paraId="5CA6E937">
      <w:pPr>
        <w:pStyle w:val="2"/>
        <w:jc w:val="center"/>
        <w:rPr>
          <w:rFonts w:ascii="Calibri" w:cs="Times New Roman"/>
          <w:b/>
          <w:bCs/>
          <w:color w:val="auto"/>
          <w:kern w:val="2"/>
          <w:sz w:val="28"/>
          <w:szCs w:val="28"/>
        </w:rPr>
      </w:pPr>
      <w:r>
        <w:rPr>
          <w:rFonts w:hint="eastAsia" w:ascii="Calibri" w:cs="Times New Roman"/>
          <w:b/>
          <w:bCs/>
          <w:color w:val="auto"/>
          <w:kern w:val="2"/>
          <w:sz w:val="28"/>
          <w:szCs w:val="28"/>
        </w:rPr>
        <w:t>电梯日常维护保养规则</w:t>
      </w:r>
    </w:p>
    <w:p w14:paraId="5C54B511">
      <w:pPr>
        <w:pStyle w:val="2"/>
        <w:rPr>
          <w:rFonts w:ascii="Calibri" w:cs="Times New Roman"/>
          <w:b/>
          <w:bCs/>
          <w:color w:val="auto"/>
          <w:kern w:val="2"/>
          <w:sz w:val="21"/>
          <w:szCs w:val="22"/>
        </w:rPr>
      </w:pPr>
      <w:r>
        <w:rPr>
          <w:rFonts w:hint="eastAsia" w:ascii="Calibri" w:cs="Times New Roman"/>
          <w:b/>
          <w:bCs/>
          <w:color w:val="auto"/>
          <w:kern w:val="2"/>
          <w:sz w:val="21"/>
          <w:szCs w:val="22"/>
        </w:rPr>
        <w:t>（每半个月保养一次，季度项，半年项，年度项按计划分摊在半月保养中）</w:t>
      </w:r>
    </w:p>
    <w:p w14:paraId="01F407E9">
      <w:pPr>
        <w:rPr>
          <w:rFonts w:hint="eastAsia" w:ascii="Times New Roman" w:hAnsi="Times New Roman" w:eastAsia="宋体" w:cs="Times New Roman"/>
          <w:b/>
          <w:color w:val="auto"/>
        </w:rPr>
      </w:pPr>
      <w:r>
        <w:rPr>
          <w:rFonts w:hint="eastAsia" w:ascii="Times New Roman" w:hAnsi="Times New Roman" w:eastAsia="宋体" w:cs="Times New Roman"/>
          <w:b/>
          <w:color w:val="auto"/>
        </w:rPr>
        <w:t>表A-1</w:t>
      </w:r>
      <w:r>
        <w:rPr>
          <w:rFonts w:ascii="Times New Roman" w:hAnsi="Times New Roman" w:eastAsia="宋体" w:cs="Times New Roman"/>
          <w:b/>
          <w:color w:val="auto"/>
        </w:rPr>
        <w:t>   </w:t>
      </w:r>
      <w:r>
        <w:rPr>
          <w:rFonts w:hint="eastAsia" w:ascii="Times New Roman" w:hAnsi="Times New Roman" w:eastAsia="宋体" w:cs="Times New Roman"/>
          <w:b/>
          <w:color w:val="auto"/>
        </w:rPr>
        <w:t xml:space="preserve"> 15日维保项目（内容）和要求</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1454"/>
        <w:gridCol w:w="6635"/>
      </w:tblGrid>
      <w:tr w14:paraId="6C92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jc w:val="center"/>
        </w:trPr>
        <w:tc>
          <w:tcPr>
            <w:tcW w:w="254" w:type="pct"/>
            <w:noWrap w:val="0"/>
            <w:vAlign w:val="center"/>
          </w:tcPr>
          <w:p w14:paraId="52C0A2FC">
            <w:pPr>
              <w:jc w:val="center"/>
              <w:rPr>
                <w:rFonts w:ascii="Times New Roman" w:hAnsi="Times New Roman" w:eastAsia="宋体" w:cs="Times New Roman"/>
                <w:bCs/>
                <w:color w:val="auto"/>
              </w:rPr>
            </w:pPr>
            <w:r>
              <w:rPr>
                <w:rFonts w:hint="eastAsia" w:ascii="Times New Roman" w:hAnsi="Times New Roman" w:eastAsia="宋体" w:cs="Times New Roman"/>
                <w:bCs/>
                <w:color w:val="auto"/>
              </w:rPr>
              <w:t>序号</w:t>
            </w:r>
          </w:p>
        </w:tc>
        <w:tc>
          <w:tcPr>
            <w:tcW w:w="853" w:type="pct"/>
            <w:noWrap w:val="0"/>
            <w:vAlign w:val="center"/>
          </w:tcPr>
          <w:p w14:paraId="4352884C">
            <w:pPr>
              <w:rPr>
                <w:rFonts w:ascii="Times New Roman" w:hAnsi="Times New Roman" w:eastAsia="宋体" w:cs="Times New Roman"/>
                <w:bCs/>
                <w:color w:val="auto"/>
              </w:rPr>
            </w:pPr>
            <w:r>
              <w:rPr>
                <w:rFonts w:hint="eastAsia" w:ascii="Times New Roman" w:hAnsi="Times New Roman" w:eastAsia="宋体" w:cs="Times New Roman"/>
                <w:bCs/>
                <w:color w:val="auto"/>
              </w:rPr>
              <w:t>维护保养项目（内容）</w:t>
            </w:r>
          </w:p>
        </w:tc>
        <w:tc>
          <w:tcPr>
            <w:tcW w:w="3892" w:type="pct"/>
            <w:noWrap w:val="0"/>
            <w:vAlign w:val="center"/>
          </w:tcPr>
          <w:p w14:paraId="1ABF44BE">
            <w:pPr>
              <w:rPr>
                <w:rFonts w:ascii="Times New Roman" w:hAnsi="Times New Roman" w:eastAsia="宋体" w:cs="Times New Roman"/>
                <w:bCs/>
                <w:color w:val="auto"/>
              </w:rPr>
            </w:pPr>
            <w:r>
              <w:rPr>
                <w:rFonts w:hint="eastAsia" w:ascii="Times New Roman" w:hAnsi="Times New Roman" w:eastAsia="宋体" w:cs="Times New Roman"/>
                <w:bCs/>
                <w:color w:val="auto"/>
              </w:rPr>
              <w:t>维护保养基本要求</w:t>
            </w:r>
          </w:p>
        </w:tc>
      </w:tr>
      <w:tr w14:paraId="3B0D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tblHeader/>
          <w:jc w:val="center"/>
        </w:trPr>
        <w:tc>
          <w:tcPr>
            <w:tcW w:w="254" w:type="pct"/>
            <w:noWrap w:val="0"/>
            <w:vAlign w:val="center"/>
          </w:tcPr>
          <w:p w14:paraId="6CA2191B">
            <w:pPr>
              <w:jc w:val="center"/>
              <w:rPr>
                <w:rFonts w:ascii="Times New Roman" w:hAnsi="Times New Roman" w:eastAsia="宋体" w:cs="Times New Roman"/>
                <w:color w:val="auto"/>
              </w:rPr>
            </w:pPr>
            <w:r>
              <w:rPr>
                <w:rFonts w:hint="eastAsia" w:ascii="Times New Roman" w:hAnsi="Times New Roman" w:eastAsia="宋体" w:cs="Times New Roman"/>
                <w:color w:val="auto"/>
              </w:rPr>
              <w:t>1</w:t>
            </w:r>
          </w:p>
        </w:tc>
        <w:tc>
          <w:tcPr>
            <w:tcW w:w="853" w:type="pct"/>
            <w:noWrap w:val="0"/>
            <w:vAlign w:val="center"/>
          </w:tcPr>
          <w:p w14:paraId="6088149F">
            <w:pPr>
              <w:rPr>
                <w:rFonts w:ascii="Times New Roman" w:hAnsi="Times New Roman" w:eastAsia="宋体" w:cs="Times New Roman"/>
                <w:color w:val="auto"/>
              </w:rPr>
            </w:pPr>
            <w:r>
              <w:rPr>
                <w:rFonts w:hint="eastAsia" w:ascii="Times New Roman" w:hAnsi="Times New Roman" w:eastAsia="宋体" w:cs="Times New Roman"/>
                <w:color w:val="auto"/>
              </w:rPr>
              <w:t>机房、滑轮间环境</w:t>
            </w:r>
          </w:p>
        </w:tc>
        <w:tc>
          <w:tcPr>
            <w:tcW w:w="3892" w:type="pct"/>
            <w:noWrap w:val="0"/>
            <w:vAlign w:val="center"/>
          </w:tcPr>
          <w:p w14:paraId="7453F048">
            <w:pPr>
              <w:rPr>
                <w:rFonts w:ascii="Times New Roman" w:hAnsi="Times New Roman" w:eastAsia="宋体" w:cs="Times New Roman"/>
                <w:color w:val="auto"/>
              </w:rPr>
            </w:pPr>
            <w:r>
              <w:rPr>
                <w:rFonts w:hint="eastAsia" w:ascii="Times New Roman" w:hAnsi="Times New Roman" w:eastAsia="宋体" w:cs="Times New Roman"/>
                <w:color w:val="auto"/>
              </w:rPr>
              <w:t>机房的通道,出入口通畅无障碍物、照明有效；机房门有告示牌、出入口锁紧装置良好；机房内清洁卫生，无堆放非电梯用物品，机房内温度保持在5℃-40℃，照明正常，滑轮间有足够的照明、电源插座；滑轮间入口，停止开关动作可靠；滑轮间地面清洁无油污</w:t>
            </w:r>
          </w:p>
        </w:tc>
      </w:tr>
      <w:tr w14:paraId="6FF9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254" w:type="pct"/>
            <w:noWrap w:val="0"/>
            <w:vAlign w:val="center"/>
          </w:tcPr>
          <w:p w14:paraId="11A25E4F">
            <w:pPr>
              <w:jc w:val="center"/>
              <w:rPr>
                <w:rFonts w:ascii="Times New Roman" w:hAnsi="Times New Roman" w:eastAsia="宋体" w:cs="Times New Roman"/>
                <w:color w:val="auto"/>
              </w:rPr>
            </w:pPr>
            <w:r>
              <w:rPr>
                <w:rFonts w:hint="eastAsia" w:ascii="Times New Roman" w:hAnsi="Times New Roman" w:eastAsia="宋体" w:cs="Times New Roman"/>
                <w:color w:val="auto"/>
              </w:rPr>
              <w:t>2</w:t>
            </w:r>
          </w:p>
        </w:tc>
        <w:tc>
          <w:tcPr>
            <w:tcW w:w="853" w:type="pct"/>
            <w:noWrap w:val="0"/>
            <w:vAlign w:val="center"/>
          </w:tcPr>
          <w:p w14:paraId="17454D11">
            <w:pPr>
              <w:rPr>
                <w:rFonts w:ascii="Times New Roman" w:hAnsi="Times New Roman" w:eastAsia="宋体" w:cs="Times New Roman"/>
                <w:color w:val="auto"/>
              </w:rPr>
            </w:pPr>
            <w:r>
              <w:rPr>
                <w:rFonts w:hint="eastAsia" w:ascii="Times New Roman" w:hAnsi="Times New Roman" w:eastAsia="宋体" w:cs="Times New Roman"/>
                <w:color w:val="auto"/>
              </w:rPr>
              <w:t>手动紧急操作装置</w:t>
            </w:r>
          </w:p>
        </w:tc>
        <w:tc>
          <w:tcPr>
            <w:tcW w:w="3892" w:type="pct"/>
            <w:noWrap w:val="0"/>
            <w:vAlign w:val="center"/>
          </w:tcPr>
          <w:p w14:paraId="77C55203">
            <w:pPr>
              <w:rPr>
                <w:rFonts w:ascii="Times New Roman" w:hAnsi="Times New Roman" w:eastAsia="宋体" w:cs="Times New Roman"/>
                <w:color w:val="auto"/>
              </w:rPr>
            </w:pPr>
            <w:r>
              <w:rPr>
                <w:rFonts w:hint="eastAsia" w:ascii="Times New Roman" w:hAnsi="Times New Roman" w:eastAsia="宋体" w:cs="Times New Roman"/>
                <w:color w:val="auto"/>
              </w:rPr>
              <w:t>齐全,标识明确，操作说明清晰详细；制动器松闸板手挂在易于接近的墙上</w:t>
            </w:r>
          </w:p>
        </w:tc>
      </w:tr>
      <w:tr w14:paraId="54A6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jc w:val="center"/>
        </w:trPr>
        <w:tc>
          <w:tcPr>
            <w:tcW w:w="254" w:type="pct"/>
            <w:noWrap w:val="0"/>
            <w:vAlign w:val="center"/>
          </w:tcPr>
          <w:p w14:paraId="7E6B22B3">
            <w:pPr>
              <w:jc w:val="center"/>
              <w:rPr>
                <w:rFonts w:ascii="Times New Roman" w:hAnsi="Times New Roman" w:eastAsia="宋体" w:cs="Times New Roman"/>
                <w:color w:val="auto"/>
              </w:rPr>
            </w:pPr>
            <w:r>
              <w:rPr>
                <w:rFonts w:hint="eastAsia" w:ascii="Times New Roman" w:hAnsi="Times New Roman" w:eastAsia="宋体" w:cs="Times New Roman"/>
                <w:color w:val="auto"/>
              </w:rPr>
              <w:t>3</w:t>
            </w:r>
          </w:p>
        </w:tc>
        <w:tc>
          <w:tcPr>
            <w:tcW w:w="853" w:type="pct"/>
            <w:noWrap w:val="0"/>
            <w:vAlign w:val="center"/>
          </w:tcPr>
          <w:p w14:paraId="69030473">
            <w:pPr>
              <w:rPr>
                <w:rFonts w:ascii="Times New Roman" w:hAnsi="Times New Roman" w:eastAsia="宋体" w:cs="Times New Roman"/>
                <w:color w:val="auto"/>
              </w:rPr>
            </w:pPr>
            <w:r>
              <w:rPr>
                <w:rFonts w:hint="eastAsia" w:ascii="Times New Roman" w:hAnsi="Times New Roman" w:eastAsia="宋体" w:cs="Times New Roman"/>
                <w:color w:val="auto"/>
              </w:rPr>
              <w:t>曳引机</w:t>
            </w:r>
          </w:p>
        </w:tc>
        <w:tc>
          <w:tcPr>
            <w:tcW w:w="3892" w:type="pct"/>
            <w:noWrap w:val="0"/>
            <w:vAlign w:val="center"/>
          </w:tcPr>
          <w:p w14:paraId="446CB3DC">
            <w:pPr>
              <w:rPr>
                <w:rFonts w:ascii="Times New Roman" w:hAnsi="Times New Roman" w:eastAsia="宋体" w:cs="Times New Roman"/>
                <w:color w:val="auto"/>
              </w:rPr>
            </w:pPr>
            <w:r>
              <w:rPr>
                <w:rFonts w:hint="eastAsia" w:ascii="Times New Roman" w:hAnsi="Times New Roman" w:eastAsia="宋体" w:cs="Times New Roman"/>
                <w:color w:val="auto"/>
              </w:rPr>
              <w:t>表面无积尘及油污，运转时无异常响声及振动，无异常温升</w:t>
            </w:r>
          </w:p>
        </w:tc>
      </w:tr>
      <w:tr w14:paraId="129C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jc w:val="center"/>
        </w:trPr>
        <w:tc>
          <w:tcPr>
            <w:tcW w:w="254" w:type="pct"/>
            <w:noWrap w:val="0"/>
            <w:vAlign w:val="center"/>
          </w:tcPr>
          <w:p w14:paraId="11A47FD5">
            <w:pPr>
              <w:jc w:val="center"/>
              <w:rPr>
                <w:rFonts w:ascii="Times New Roman" w:hAnsi="Times New Roman" w:eastAsia="宋体" w:cs="Times New Roman"/>
                <w:color w:val="auto"/>
              </w:rPr>
            </w:pPr>
            <w:r>
              <w:rPr>
                <w:rFonts w:hint="eastAsia" w:ascii="Times New Roman" w:hAnsi="Times New Roman" w:eastAsia="宋体" w:cs="Times New Roman"/>
                <w:color w:val="auto"/>
              </w:rPr>
              <w:t>4</w:t>
            </w:r>
          </w:p>
        </w:tc>
        <w:tc>
          <w:tcPr>
            <w:tcW w:w="853" w:type="pct"/>
            <w:noWrap w:val="0"/>
            <w:vAlign w:val="center"/>
          </w:tcPr>
          <w:p w14:paraId="5BFF74B8">
            <w:pPr>
              <w:rPr>
                <w:rFonts w:ascii="Times New Roman" w:hAnsi="Times New Roman" w:eastAsia="宋体" w:cs="Times New Roman"/>
                <w:color w:val="auto"/>
              </w:rPr>
            </w:pPr>
            <w:r>
              <w:rPr>
                <w:rFonts w:hint="eastAsia" w:ascii="Times New Roman" w:hAnsi="Times New Roman" w:eastAsia="宋体" w:cs="Times New Roman"/>
                <w:color w:val="auto"/>
              </w:rPr>
              <w:t>制动器各销轴部位</w:t>
            </w:r>
          </w:p>
        </w:tc>
        <w:tc>
          <w:tcPr>
            <w:tcW w:w="3892" w:type="pct"/>
            <w:noWrap w:val="0"/>
            <w:vAlign w:val="center"/>
          </w:tcPr>
          <w:p w14:paraId="5598C91D">
            <w:pPr>
              <w:rPr>
                <w:rFonts w:ascii="Times New Roman" w:hAnsi="Times New Roman" w:eastAsia="宋体" w:cs="Times New Roman"/>
                <w:color w:val="auto"/>
              </w:rPr>
            </w:pPr>
            <w:r>
              <w:rPr>
                <w:rFonts w:hint="eastAsia" w:ascii="Times New Roman" w:hAnsi="Times New Roman" w:eastAsia="宋体" w:cs="Times New Roman"/>
                <w:color w:val="auto"/>
              </w:rPr>
              <w:t>润滑，动作灵活</w:t>
            </w:r>
          </w:p>
        </w:tc>
      </w:tr>
      <w:tr w14:paraId="76A3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jc w:val="center"/>
        </w:trPr>
        <w:tc>
          <w:tcPr>
            <w:tcW w:w="254" w:type="pct"/>
            <w:noWrap w:val="0"/>
            <w:vAlign w:val="center"/>
          </w:tcPr>
          <w:p w14:paraId="5494EB66">
            <w:pPr>
              <w:jc w:val="center"/>
              <w:rPr>
                <w:rFonts w:ascii="Times New Roman" w:hAnsi="Times New Roman" w:eastAsia="宋体" w:cs="Times New Roman"/>
                <w:color w:val="auto"/>
              </w:rPr>
            </w:pPr>
            <w:r>
              <w:rPr>
                <w:rFonts w:hint="eastAsia" w:ascii="Times New Roman" w:hAnsi="Times New Roman" w:eastAsia="宋体" w:cs="Times New Roman"/>
                <w:color w:val="auto"/>
              </w:rPr>
              <w:t>5</w:t>
            </w:r>
          </w:p>
        </w:tc>
        <w:tc>
          <w:tcPr>
            <w:tcW w:w="853" w:type="pct"/>
            <w:noWrap w:val="0"/>
            <w:vAlign w:val="center"/>
          </w:tcPr>
          <w:p w14:paraId="2F96F97B">
            <w:pPr>
              <w:rPr>
                <w:rFonts w:ascii="Times New Roman" w:hAnsi="Times New Roman" w:eastAsia="宋体" w:cs="Times New Roman"/>
                <w:color w:val="auto"/>
              </w:rPr>
            </w:pPr>
            <w:r>
              <w:rPr>
                <w:rFonts w:hint="eastAsia" w:ascii="Times New Roman" w:hAnsi="Times New Roman" w:eastAsia="宋体" w:cs="Times New Roman"/>
                <w:color w:val="auto"/>
              </w:rPr>
              <w:t>制动器间隙</w:t>
            </w:r>
          </w:p>
        </w:tc>
        <w:tc>
          <w:tcPr>
            <w:tcW w:w="3892" w:type="pct"/>
            <w:noWrap w:val="0"/>
            <w:vAlign w:val="center"/>
          </w:tcPr>
          <w:p w14:paraId="55DDD326">
            <w:pPr>
              <w:rPr>
                <w:rFonts w:ascii="Times New Roman" w:hAnsi="Times New Roman" w:eastAsia="宋体" w:cs="Times New Roman"/>
                <w:color w:val="auto"/>
              </w:rPr>
            </w:pPr>
            <w:r>
              <w:rPr>
                <w:rFonts w:hint="eastAsia" w:ascii="Times New Roman" w:hAnsi="Times New Roman" w:eastAsia="宋体" w:cs="Times New Roman"/>
                <w:color w:val="auto"/>
              </w:rPr>
              <w:t>打开时制动衬与制动轮不应发生摩擦</w:t>
            </w:r>
          </w:p>
        </w:tc>
      </w:tr>
      <w:tr w14:paraId="5274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254" w:type="pct"/>
            <w:noWrap w:val="0"/>
            <w:vAlign w:val="center"/>
          </w:tcPr>
          <w:p w14:paraId="62FAD713">
            <w:pPr>
              <w:jc w:val="center"/>
              <w:rPr>
                <w:rFonts w:ascii="Times New Roman" w:hAnsi="Times New Roman" w:eastAsia="宋体" w:cs="Times New Roman"/>
                <w:color w:val="auto"/>
              </w:rPr>
            </w:pPr>
            <w:r>
              <w:rPr>
                <w:rFonts w:hint="eastAsia" w:ascii="Times New Roman" w:hAnsi="Times New Roman" w:eastAsia="宋体" w:cs="Times New Roman"/>
                <w:color w:val="auto"/>
              </w:rPr>
              <w:t>6</w:t>
            </w:r>
          </w:p>
        </w:tc>
        <w:tc>
          <w:tcPr>
            <w:tcW w:w="853" w:type="pct"/>
            <w:noWrap w:val="0"/>
            <w:vAlign w:val="center"/>
          </w:tcPr>
          <w:p w14:paraId="4C18A765">
            <w:pPr>
              <w:rPr>
                <w:rFonts w:ascii="Times New Roman" w:hAnsi="Times New Roman" w:eastAsia="宋体" w:cs="Times New Roman"/>
                <w:color w:val="auto"/>
              </w:rPr>
            </w:pPr>
            <w:r>
              <w:rPr>
                <w:rFonts w:hint="eastAsia" w:ascii="Times New Roman" w:hAnsi="Times New Roman" w:eastAsia="宋体" w:cs="Times New Roman"/>
                <w:color w:val="auto"/>
              </w:rPr>
              <w:t>编码器</w:t>
            </w:r>
          </w:p>
        </w:tc>
        <w:tc>
          <w:tcPr>
            <w:tcW w:w="3892" w:type="pct"/>
            <w:noWrap w:val="0"/>
            <w:vAlign w:val="center"/>
          </w:tcPr>
          <w:p w14:paraId="64E06F1F">
            <w:pPr>
              <w:rPr>
                <w:rFonts w:ascii="Times New Roman" w:hAnsi="Times New Roman" w:eastAsia="宋体" w:cs="Times New Roman"/>
                <w:color w:val="auto"/>
              </w:rPr>
            </w:pPr>
            <w:r>
              <w:rPr>
                <w:rFonts w:hint="eastAsia" w:ascii="Times New Roman" w:hAnsi="Times New Roman" w:eastAsia="宋体" w:cs="Times New Roman"/>
                <w:color w:val="auto"/>
              </w:rPr>
              <w:t>固定可靠，清洁，转动灵活，无异常响声；接线端固定可靠、接触良好</w:t>
            </w:r>
          </w:p>
        </w:tc>
      </w:tr>
      <w:tr w14:paraId="0D79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254" w:type="pct"/>
            <w:noWrap w:val="0"/>
            <w:vAlign w:val="center"/>
          </w:tcPr>
          <w:p w14:paraId="6E388DC0">
            <w:pPr>
              <w:jc w:val="center"/>
              <w:rPr>
                <w:rFonts w:ascii="Times New Roman" w:hAnsi="Times New Roman" w:eastAsia="宋体" w:cs="Times New Roman"/>
                <w:color w:val="auto"/>
              </w:rPr>
            </w:pPr>
            <w:r>
              <w:rPr>
                <w:rFonts w:hint="eastAsia" w:ascii="Times New Roman" w:hAnsi="Times New Roman" w:eastAsia="宋体" w:cs="Times New Roman"/>
                <w:color w:val="auto"/>
              </w:rPr>
              <w:t>7</w:t>
            </w:r>
          </w:p>
        </w:tc>
        <w:tc>
          <w:tcPr>
            <w:tcW w:w="853" w:type="pct"/>
            <w:noWrap w:val="0"/>
            <w:vAlign w:val="center"/>
          </w:tcPr>
          <w:p w14:paraId="5AB2BC64">
            <w:pPr>
              <w:rPr>
                <w:rFonts w:ascii="Times New Roman" w:hAnsi="Times New Roman" w:eastAsia="宋体" w:cs="Times New Roman"/>
                <w:color w:val="auto"/>
              </w:rPr>
            </w:pPr>
            <w:r>
              <w:rPr>
                <w:rFonts w:hint="eastAsia" w:ascii="Times New Roman" w:hAnsi="Times New Roman" w:eastAsia="宋体" w:cs="Times New Roman"/>
                <w:color w:val="auto"/>
              </w:rPr>
              <w:t>限速器各销轴部位</w:t>
            </w:r>
          </w:p>
        </w:tc>
        <w:tc>
          <w:tcPr>
            <w:tcW w:w="3892" w:type="pct"/>
            <w:noWrap w:val="0"/>
            <w:vAlign w:val="center"/>
          </w:tcPr>
          <w:p w14:paraId="555293B1">
            <w:pPr>
              <w:rPr>
                <w:rFonts w:ascii="Times New Roman" w:hAnsi="Times New Roman" w:eastAsia="宋体" w:cs="Times New Roman"/>
                <w:color w:val="auto"/>
              </w:rPr>
            </w:pPr>
            <w:r>
              <w:rPr>
                <w:rFonts w:hint="eastAsia" w:ascii="Times New Roman" w:hAnsi="Times New Roman" w:eastAsia="宋体" w:cs="Times New Roman"/>
                <w:color w:val="auto"/>
              </w:rPr>
              <w:t>润滑，表面无积尘及油污，各部件固定可靠、转动灵活，电气开关正常</w:t>
            </w:r>
          </w:p>
        </w:tc>
      </w:tr>
      <w:tr w14:paraId="5FE0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254" w:type="pct"/>
            <w:noWrap w:val="0"/>
            <w:vAlign w:val="center"/>
          </w:tcPr>
          <w:p w14:paraId="4CE133FA">
            <w:pPr>
              <w:jc w:val="center"/>
              <w:rPr>
                <w:rFonts w:ascii="Times New Roman" w:hAnsi="Times New Roman" w:eastAsia="宋体" w:cs="Times New Roman"/>
                <w:color w:val="auto"/>
              </w:rPr>
            </w:pPr>
            <w:r>
              <w:rPr>
                <w:rFonts w:hint="eastAsia" w:ascii="Times New Roman" w:hAnsi="Times New Roman" w:eastAsia="宋体" w:cs="Times New Roman"/>
                <w:color w:val="auto"/>
              </w:rPr>
              <w:t>8</w:t>
            </w:r>
          </w:p>
        </w:tc>
        <w:tc>
          <w:tcPr>
            <w:tcW w:w="853" w:type="pct"/>
            <w:noWrap w:val="0"/>
            <w:vAlign w:val="center"/>
          </w:tcPr>
          <w:p w14:paraId="362B10F1">
            <w:pPr>
              <w:rPr>
                <w:rFonts w:ascii="Times New Roman" w:hAnsi="Times New Roman" w:eastAsia="宋体" w:cs="Times New Roman"/>
                <w:color w:val="auto"/>
              </w:rPr>
            </w:pPr>
            <w:r>
              <w:rPr>
                <w:rFonts w:hint="eastAsia" w:ascii="Times New Roman" w:hAnsi="Times New Roman" w:eastAsia="宋体" w:cs="Times New Roman"/>
                <w:color w:val="auto"/>
              </w:rPr>
              <w:t>轿顶</w:t>
            </w:r>
          </w:p>
        </w:tc>
        <w:tc>
          <w:tcPr>
            <w:tcW w:w="3892" w:type="pct"/>
            <w:noWrap w:val="0"/>
            <w:vAlign w:val="center"/>
          </w:tcPr>
          <w:p w14:paraId="371EAA70">
            <w:pPr>
              <w:rPr>
                <w:rFonts w:ascii="Times New Roman" w:hAnsi="Times New Roman" w:eastAsia="宋体" w:cs="Times New Roman"/>
                <w:color w:val="auto"/>
              </w:rPr>
            </w:pPr>
            <w:r>
              <w:rPr>
                <w:rFonts w:hint="eastAsia" w:ascii="Times New Roman" w:hAnsi="Times New Roman" w:eastAsia="宋体" w:cs="Times New Roman"/>
                <w:color w:val="auto"/>
              </w:rPr>
              <w:t>清洁，防护栏安全可靠；轿顶各装置电气布线整齐；轿顶照明、照明开关及防护罩齐全并良好</w:t>
            </w:r>
          </w:p>
        </w:tc>
      </w:tr>
      <w:tr w14:paraId="4743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254" w:type="pct"/>
            <w:noWrap w:val="0"/>
            <w:vAlign w:val="center"/>
          </w:tcPr>
          <w:p w14:paraId="12E4FE31">
            <w:pPr>
              <w:jc w:val="center"/>
              <w:rPr>
                <w:rFonts w:ascii="Times New Roman" w:hAnsi="Times New Roman" w:eastAsia="宋体" w:cs="Times New Roman"/>
                <w:color w:val="auto"/>
              </w:rPr>
            </w:pPr>
            <w:r>
              <w:rPr>
                <w:rFonts w:hint="eastAsia" w:ascii="Times New Roman" w:hAnsi="Times New Roman" w:eastAsia="宋体" w:cs="Times New Roman"/>
                <w:color w:val="auto"/>
              </w:rPr>
              <w:t>9</w:t>
            </w:r>
          </w:p>
        </w:tc>
        <w:tc>
          <w:tcPr>
            <w:tcW w:w="853" w:type="pct"/>
            <w:noWrap w:val="0"/>
            <w:vAlign w:val="center"/>
          </w:tcPr>
          <w:p w14:paraId="719454E6">
            <w:pPr>
              <w:rPr>
                <w:rFonts w:ascii="Times New Roman" w:hAnsi="Times New Roman" w:eastAsia="宋体" w:cs="Times New Roman"/>
                <w:color w:val="auto"/>
              </w:rPr>
            </w:pPr>
            <w:r>
              <w:rPr>
                <w:rFonts w:hint="eastAsia" w:ascii="Times New Roman" w:hAnsi="Times New Roman" w:eastAsia="宋体" w:cs="Times New Roman"/>
                <w:color w:val="auto"/>
              </w:rPr>
              <w:t>轿顶检修开关、急停开关</w:t>
            </w:r>
          </w:p>
        </w:tc>
        <w:tc>
          <w:tcPr>
            <w:tcW w:w="3892" w:type="pct"/>
            <w:noWrap w:val="0"/>
            <w:vAlign w:val="center"/>
          </w:tcPr>
          <w:p w14:paraId="46B860F7">
            <w:pPr>
              <w:rPr>
                <w:rFonts w:ascii="Times New Roman" w:hAnsi="Times New Roman" w:eastAsia="宋体" w:cs="Times New Roman"/>
                <w:color w:val="auto"/>
              </w:rPr>
            </w:pPr>
            <w:r>
              <w:rPr>
                <w:rFonts w:hint="eastAsia" w:ascii="Times New Roman" w:hAnsi="Times New Roman" w:eastAsia="宋体" w:cs="Times New Roman"/>
                <w:color w:val="auto"/>
              </w:rPr>
              <w:t>中文标识清晰、工作正常</w:t>
            </w:r>
          </w:p>
        </w:tc>
      </w:tr>
      <w:tr w14:paraId="34DD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jc w:val="center"/>
        </w:trPr>
        <w:tc>
          <w:tcPr>
            <w:tcW w:w="254" w:type="pct"/>
            <w:noWrap w:val="0"/>
            <w:vAlign w:val="center"/>
          </w:tcPr>
          <w:p w14:paraId="309E47D6">
            <w:pPr>
              <w:jc w:val="center"/>
              <w:rPr>
                <w:rFonts w:ascii="Times New Roman" w:hAnsi="Times New Roman" w:eastAsia="宋体" w:cs="Times New Roman"/>
                <w:color w:val="auto"/>
              </w:rPr>
            </w:pPr>
            <w:r>
              <w:rPr>
                <w:rFonts w:hint="eastAsia" w:ascii="Times New Roman" w:hAnsi="Times New Roman" w:eastAsia="宋体" w:cs="Times New Roman"/>
                <w:color w:val="auto"/>
              </w:rPr>
              <w:t>10</w:t>
            </w:r>
          </w:p>
        </w:tc>
        <w:tc>
          <w:tcPr>
            <w:tcW w:w="853" w:type="pct"/>
            <w:noWrap w:val="0"/>
            <w:vAlign w:val="center"/>
          </w:tcPr>
          <w:p w14:paraId="22CFFCFC">
            <w:pPr>
              <w:rPr>
                <w:rFonts w:ascii="Times New Roman" w:hAnsi="Times New Roman" w:eastAsia="宋体" w:cs="Times New Roman"/>
                <w:color w:val="auto"/>
              </w:rPr>
            </w:pPr>
            <w:r>
              <w:rPr>
                <w:rFonts w:hint="eastAsia" w:ascii="Times New Roman" w:hAnsi="Times New Roman" w:eastAsia="宋体" w:cs="Times New Roman"/>
                <w:color w:val="auto"/>
              </w:rPr>
              <w:t>导靴上油杯</w:t>
            </w:r>
          </w:p>
        </w:tc>
        <w:tc>
          <w:tcPr>
            <w:tcW w:w="3892" w:type="pct"/>
            <w:noWrap w:val="0"/>
            <w:vAlign w:val="center"/>
          </w:tcPr>
          <w:p w14:paraId="06923F67">
            <w:pPr>
              <w:rPr>
                <w:rFonts w:ascii="Times New Roman" w:hAnsi="Times New Roman" w:eastAsia="宋体" w:cs="Times New Roman"/>
                <w:color w:val="auto"/>
              </w:rPr>
            </w:pPr>
            <w:r>
              <w:rPr>
                <w:rFonts w:hint="eastAsia" w:ascii="Times New Roman" w:hAnsi="Times New Roman" w:eastAsia="宋体" w:cs="Times New Roman"/>
                <w:color w:val="auto"/>
              </w:rPr>
              <w:t>吸油毛毡齐全，油量适宜，油杯无渗漏</w:t>
            </w:r>
          </w:p>
        </w:tc>
      </w:tr>
      <w:tr w14:paraId="2D31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jc w:val="center"/>
        </w:trPr>
        <w:tc>
          <w:tcPr>
            <w:tcW w:w="254" w:type="pct"/>
            <w:noWrap w:val="0"/>
            <w:vAlign w:val="center"/>
          </w:tcPr>
          <w:p w14:paraId="7CB2A5FC">
            <w:pPr>
              <w:jc w:val="center"/>
              <w:rPr>
                <w:rFonts w:ascii="Times New Roman" w:hAnsi="Times New Roman" w:eastAsia="宋体" w:cs="Times New Roman"/>
                <w:color w:val="auto"/>
              </w:rPr>
            </w:pPr>
            <w:r>
              <w:rPr>
                <w:rFonts w:hint="eastAsia" w:ascii="Times New Roman" w:hAnsi="Times New Roman" w:eastAsia="宋体" w:cs="Times New Roman"/>
                <w:color w:val="auto"/>
              </w:rPr>
              <w:t>11</w:t>
            </w:r>
          </w:p>
        </w:tc>
        <w:tc>
          <w:tcPr>
            <w:tcW w:w="853" w:type="pct"/>
            <w:noWrap w:val="0"/>
            <w:vAlign w:val="center"/>
          </w:tcPr>
          <w:p w14:paraId="57AF721F">
            <w:pPr>
              <w:rPr>
                <w:rFonts w:ascii="Times New Roman" w:hAnsi="Times New Roman" w:eastAsia="宋体" w:cs="Times New Roman"/>
                <w:color w:val="auto"/>
              </w:rPr>
            </w:pPr>
            <w:r>
              <w:rPr>
                <w:rFonts w:hint="eastAsia" w:ascii="Times New Roman" w:hAnsi="Times New Roman" w:eastAsia="宋体" w:cs="Times New Roman"/>
                <w:color w:val="auto"/>
              </w:rPr>
              <w:t>对重块及压板</w:t>
            </w:r>
          </w:p>
        </w:tc>
        <w:tc>
          <w:tcPr>
            <w:tcW w:w="3892" w:type="pct"/>
            <w:noWrap w:val="0"/>
            <w:vAlign w:val="center"/>
          </w:tcPr>
          <w:p w14:paraId="64C409DC">
            <w:pPr>
              <w:rPr>
                <w:rFonts w:ascii="Times New Roman" w:hAnsi="Times New Roman" w:eastAsia="宋体" w:cs="Times New Roman"/>
                <w:color w:val="auto"/>
              </w:rPr>
            </w:pPr>
            <w:r>
              <w:rPr>
                <w:rFonts w:hint="eastAsia" w:ascii="Times New Roman" w:hAnsi="Times New Roman" w:eastAsia="宋体" w:cs="Times New Roman"/>
                <w:color w:val="auto"/>
              </w:rPr>
              <w:t>对重块无松动，压板紧固；非金属对重块无剥落危险</w:t>
            </w:r>
          </w:p>
        </w:tc>
      </w:tr>
      <w:tr w14:paraId="77D1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jc w:val="center"/>
        </w:trPr>
        <w:tc>
          <w:tcPr>
            <w:tcW w:w="254" w:type="pct"/>
            <w:noWrap w:val="0"/>
            <w:vAlign w:val="center"/>
          </w:tcPr>
          <w:p w14:paraId="47C5F527">
            <w:pPr>
              <w:jc w:val="center"/>
              <w:rPr>
                <w:rFonts w:ascii="Times New Roman" w:hAnsi="Times New Roman" w:eastAsia="宋体" w:cs="Times New Roman"/>
                <w:color w:val="auto"/>
              </w:rPr>
            </w:pPr>
            <w:r>
              <w:rPr>
                <w:rFonts w:hint="eastAsia" w:ascii="Times New Roman" w:hAnsi="Times New Roman" w:eastAsia="宋体" w:cs="Times New Roman"/>
                <w:color w:val="auto"/>
              </w:rPr>
              <w:t>12</w:t>
            </w:r>
          </w:p>
        </w:tc>
        <w:tc>
          <w:tcPr>
            <w:tcW w:w="853" w:type="pct"/>
            <w:noWrap w:val="0"/>
            <w:vAlign w:val="center"/>
          </w:tcPr>
          <w:p w14:paraId="6B5CC9A0">
            <w:pPr>
              <w:rPr>
                <w:rFonts w:ascii="Times New Roman" w:hAnsi="Times New Roman" w:eastAsia="宋体" w:cs="Times New Roman"/>
                <w:color w:val="auto"/>
              </w:rPr>
            </w:pPr>
            <w:r>
              <w:rPr>
                <w:rFonts w:hint="eastAsia" w:ascii="Times New Roman" w:hAnsi="Times New Roman" w:eastAsia="宋体" w:cs="Times New Roman"/>
                <w:color w:val="auto"/>
              </w:rPr>
              <w:t>井道照明</w:t>
            </w:r>
          </w:p>
        </w:tc>
        <w:tc>
          <w:tcPr>
            <w:tcW w:w="3892" w:type="pct"/>
            <w:noWrap w:val="0"/>
            <w:vAlign w:val="center"/>
          </w:tcPr>
          <w:p w14:paraId="5FDFE8C4">
            <w:pPr>
              <w:rPr>
                <w:rFonts w:ascii="Times New Roman" w:hAnsi="Times New Roman" w:eastAsia="宋体" w:cs="Times New Roman"/>
                <w:color w:val="auto"/>
              </w:rPr>
            </w:pPr>
            <w:r>
              <w:rPr>
                <w:rFonts w:hint="eastAsia" w:ascii="Times New Roman" w:hAnsi="Times New Roman" w:eastAsia="宋体" w:cs="Times New Roman"/>
                <w:color w:val="auto"/>
              </w:rPr>
              <w:t>齐全、正常</w:t>
            </w:r>
          </w:p>
        </w:tc>
      </w:tr>
      <w:tr w14:paraId="30EA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254" w:type="pct"/>
            <w:noWrap w:val="0"/>
            <w:vAlign w:val="center"/>
          </w:tcPr>
          <w:p w14:paraId="4555EE1D">
            <w:pPr>
              <w:jc w:val="center"/>
              <w:rPr>
                <w:rFonts w:ascii="Times New Roman" w:hAnsi="Times New Roman" w:eastAsia="宋体" w:cs="Times New Roman"/>
                <w:color w:val="auto"/>
              </w:rPr>
            </w:pPr>
            <w:r>
              <w:rPr>
                <w:rFonts w:hint="eastAsia" w:ascii="Times New Roman" w:hAnsi="Times New Roman" w:eastAsia="宋体" w:cs="Times New Roman"/>
                <w:color w:val="auto"/>
              </w:rPr>
              <w:t>13</w:t>
            </w:r>
          </w:p>
        </w:tc>
        <w:tc>
          <w:tcPr>
            <w:tcW w:w="853" w:type="pct"/>
            <w:noWrap w:val="0"/>
            <w:vAlign w:val="center"/>
          </w:tcPr>
          <w:p w14:paraId="7CC67147">
            <w:pPr>
              <w:rPr>
                <w:rFonts w:ascii="Times New Roman" w:hAnsi="Times New Roman" w:eastAsia="宋体" w:cs="Times New Roman"/>
                <w:color w:val="auto"/>
              </w:rPr>
            </w:pPr>
            <w:r>
              <w:rPr>
                <w:rFonts w:hint="eastAsia" w:ascii="Times New Roman" w:hAnsi="Times New Roman" w:eastAsia="宋体" w:cs="Times New Roman"/>
                <w:color w:val="auto"/>
              </w:rPr>
              <w:t>轿厢照明、风扇、应急照明</w:t>
            </w:r>
          </w:p>
        </w:tc>
        <w:tc>
          <w:tcPr>
            <w:tcW w:w="3892" w:type="pct"/>
            <w:noWrap w:val="0"/>
            <w:vAlign w:val="center"/>
          </w:tcPr>
          <w:p w14:paraId="08C04ABA">
            <w:pPr>
              <w:rPr>
                <w:rFonts w:ascii="Times New Roman" w:hAnsi="Times New Roman" w:eastAsia="宋体" w:cs="Times New Roman"/>
                <w:color w:val="auto"/>
              </w:rPr>
            </w:pPr>
            <w:r>
              <w:rPr>
                <w:rFonts w:hint="eastAsia" w:ascii="Times New Roman" w:hAnsi="Times New Roman" w:eastAsia="宋体" w:cs="Times New Roman"/>
                <w:color w:val="auto"/>
              </w:rPr>
              <w:t>工作正常</w:t>
            </w:r>
          </w:p>
        </w:tc>
      </w:tr>
      <w:tr w14:paraId="4788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254" w:type="pct"/>
            <w:noWrap w:val="0"/>
            <w:vAlign w:val="center"/>
          </w:tcPr>
          <w:p w14:paraId="7AA9DDC6">
            <w:pPr>
              <w:jc w:val="center"/>
              <w:rPr>
                <w:rFonts w:ascii="Times New Roman" w:hAnsi="Times New Roman" w:eastAsia="宋体" w:cs="Times New Roman"/>
                <w:color w:val="auto"/>
              </w:rPr>
            </w:pPr>
            <w:r>
              <w:rPr>
                <w:rFonts w:hint="eastAsia" w:ascii="Times New Roman" w:hAnsi="Times New Roman" w:eastAsia="宋体" w:cs="Times New Roman"/>
                <w:color w:val="auto"/>
              </w:rPr>
              <w:t>14</w:t>
            </w:r>
          </w:p>
        </w:tc>
        <w:tc>
          <w:tcPr>
            <w:tcW w:w="853" w:type="pct"/>
            <w:noWrap w:val="0"/>
            <w:vAlign w:val="center"/>
          </w:tcPr>
          <w:p w14:paraId="09C23F8F">
            <w:pPr>
              <w:rPr>
                <w:rFonts w:ascii="Times New Roman" w:hAnsi="Times New Roman" w:eastAsia="宋体" w:cs="Times New Roman"/>
                <w:color w:val="auto"/>
              </w:rPr>
            </w:pPr>
            <w:r>
              <w:rPr>
                <w:rFonts w:hint="eastAsia" w:ascii="Times New Roman" w:hAnsi="Times New Roman" w:eastAsia="宋体" w:cs="Times New Roman"/>
                <w:color w:val="auto"/>
              </w:rPr>
              <w:t>轿厢检修开关、急停开关</w:t>
            </w:r>
          </w:p>
        </w:tc>
        <w:tc>
          <w:tcPr>
            <w:tcW w:w="3892" w:type="pct"/>
            <w:noWrap w:val="0"/>
            <w:vAlign w:val="center"/>
          </w:tcPr>
          <w:p w14:paraId="0AF5387D">
            <w:pPr>
              <w:rPr>
                <w:rFonts w:ascii="Times New Roman" w:hAnsi="Times New Roman" w:eastAsia="宋体" w:cs="Times New Roman"/>
                <w:color w:val="auto"/>
              </w:rPr>
            </w:pPr>
            <w:r>
              <w:rPr>
                <w:rFonts w:hint="eastAsia" w:ascii="Times New Roman" w:hAnsi="Times New Roman" w:eastAsia="宋体" w:cs="Times New Roman"/>
                <w:color w:val="auto"/>
              </w:rPr>
              <w:t>检修开关及上下行按钮、急停开关正常有效且符合标准，中文标识清晰</w:t>
            </w:r>
          </w:p>
        </w:tc>
      </w:tr>
      <w:tr w14:paraId="5BF9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254" w:type="pct"/>
            <w:noWrap w:val="0"/>
            <w:vAlign w:val="center"/>
          </w:tcPr>
          <w:p w14:paraId="36A1C700">
            <w:pPr>
              <w:jc w:val="center"/>
              <w:rPr>
                <w:rFonts w:ascii="Times New Roman" w:hAnsi="Times New Roman" w:eastAsia="宋体" w:cs="Times New Roman"/>
                <w:color w:val="auto"/>
              </w:rPr>
            </w:pPr>
            <w:r>
              <w:rPr>
                <w:rFonts w:hint="eastAsia" w:ascii="Times New Roman" w:hAnsi="Times New Roman" w:eastAsia="宋体" w:cs="Times New Roman"/>
                <w:color w:val="auto"/>
              </w:rPr>
              <w:t>15</w:t>
            </w:r>
          </w:p>
        </w:tc>
        <w:tc>
          <w:tcPr>
            <w:tcW w:w="853" w:type="pct"/>
            <w:noWrap w:val="0"/>
            <w:vAlign w:val="center"/>
          </w:tcPr>
          <w:p w14:paraId="0244EAB0">
            <w:pPr>
              <w:rPr>
                <w:rFonts w:ascii="Times New Roman" w:hAnsi="Times New Roman" w:eastAsia="宋体" w:cs="Times New Roman"/>
                <w:color w:val="auto"/>
              </w:rPr>
            </w:pPr>
            <w:r>
              <w:rPr>
                <w:rFonts w:hint="eastAsia" w:ascii="Times New Roman" w:hAnsi="Times New Roman" w:eastAsia="宋体" w:cs="Times New Roman"/>
                <w:color w:val="auto"/>
              </w:rPr>
              <w:t>轿内报警装置、对讲系统</w:t>
            </w:r>
          </w:p>
        </w:tc>
        <w:tc>
          <w:tcPr>
            <w:tcW w:w="3892" w:type="pct"/>
            <w:noWrap w:val="0"/>
            <w:vAlign w:val="center"/>
          </w:tcPr>
          <w:p w14:paraId="0DE6FE12">
            <w:pPr>
              <w:rPr>
                <w:rFonts w:ascii="Times New Roman" w:hAnsi="Times New Roman" w:eastAsia="宋体" w:cs="Times New Roman"/>
                <w:color w:val="auto"/>
              </w:rPr>
            </w:pPr>
            <w:r>
              <w:rPr>
                <w:rFonts w:hint="eastAsia" w:ascii="Times New Roman" w:hAnsi="Times New Roman" w:eastAsia="宋体" w:cs="Times New Roman"/>
                <w:color w:val="auto"/>
              </w:rPr>
              <w:t>标识清晰、工作正常；轿厢内安全检验合格标志及使用安全提示齐全</w:t>
            </w:r>
          </w:p>
        </w:tc>
      </w:tr>
      <w:tr w14:paraId="749A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jc w:val="center"/>
        </w:trPr>
        <w:tc>
          <w:tcPr>
            <w:tcW w:w="254" w:type="pct"/>
            <w:noWrap w:val="0"/>
            <w:vAlign w:val="center"/>
          </w:tcPr>
          <w:p w14:paraId="7DC3DB1C">
            <w:pPr>
              <w:jc w:val="center"/>
              <w:rPr>
                <w:rFonts w:ascii="Times New Roman" w:hAnsi="Times New Roman" w:eastAsia="宋体" w:cs="Times New Roman"/>
                <w:color w:val="auto"/>
              </w:rPr>
            </w:pPr>
            <w:r>
              <w:rPr>
                <w:rFonts w:hint="eastAsia" w:ascii="Times New Roman" w:hAnsi="Times New Roman" w:eastAsia="宋体" w:cs="Times New Roman"/>
                <w:color w:val="auto"/>
              </w:rPr>
              <w:t>16</w:t>
            </w:r>
          </w:p>
        </w:tc>
        <w:tc>
          <w:tcPr>
            <w:tcW w:w="853" w:type="pct"/>
            <w:noWrap w:val="0"/>
            <w:vAlign w:val="center"/>
          </w:tcPr>
          <w:p w14:paraId="3980BCB7">
            <w:pPr>
              <w:rPr>
                <w:rFonts w:ascii="Times New Roman" w:hAnsi="Times New Roman" w:eastAsia="宋体" w:cs="Times New Roman"/>
                <w:color w:val="auto"/>
              </w:rPr>
            </w:pPr>
            <w:r>
              <w:rPr>
                <w:rFonts w:hint="eastAsia" w:ascii="Times New Roman" w:hAnsi="Times New Roman" w:eastAsia="宋体" w:cs="Times New Roman"/>
                <w:color w:val="auto"/>
              </w:rPr>
              <w:t>轿内显示、指令按钮</w:t>
            </w:r>
          </w:p>
        </w:tc>
        <w:tc>
          <w:tcPr>
            <w:tcW w:w="3892" w:type="pct"/>
            <w:noWrap w:val="0"/>
            <w:vAlign w:val="center"/>
          </w:tcPr>
          <w:p w14:paraId="6596E7BC">
            <w:pPr>
              <w:rPr>
                <w:rFonts w:ascii="Times New Roman" w:hAnsi="Times New Roman" w:eastAsia="宋体" w:cs="Times New Roman"/>
                <w:color w:val="auto"/>
              </w:rPr>
            </w:pPr>
            <w:r>
              <w:rPr>
                <w:rFonts w:hint="eastAsia" w:ascii="Times New Roman" w:hAnsi="Times New Roman" w:eastAsia="宋体" w:cs="Times New Roman"/>
                <w:color w:val="auto"/>
              </w:rPr>
              <w:t>齐全，表面无破损，标识清晰，功能有效</w:t>
            </w:r>
          </w:p>
        </w:tc>
      </w:tr>
      <w:tr w14:paraId="7D69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254" w:type="pct"/>
            <w:noWrap w:val="0"/>
            <w:vAlign w:val="center"/>
          </w:tcPr>
          <w:p w14:paraId="3798F0BA">
            <w:pPr>
              <w:jc w:val="center"/>
              <w:rPr>
                <w:rFonts w:ascii="Times New Roman" w:hAnsi="Times New Roman" w:eastAsia="宋体" w:cs="Times New Roman"/>
                <w:color w:val="auto"/>
              </w:rPr>
            </w:pPr>
            <w:r>
              <w:rPr>
                <w:rFonts w:hint="eastAsia" w:ascii="Times New Roman" w:hAnsi="Times New Roman" w:eastAsia="宋体" w:cs="Times New Roman"/>
                <w:color w:val="auto"/>
              </w:rPr>
              <w:t>17</w:t>
            </w:r>
          </w:p>
        </w:tc>
        <w:tc>
          <w:tcPr>
            <w:tcW w:w="853" w:type="pct"/>
            <w:noWrap w:val="0"/>
            <w:vAlign w:val="center"/>
          </w:tcPr>
          <w:p w14:paraId="67F56414">
            <w:pPr>
              <w:rPr>
                <w:rFonts w:ascii="Times New Roman" w:hAnsi="Times New Roman" w:eastAsia="宋体" w:cs="Times New Roman"/>
                <w:color w:val="auto"/>
              </w:rPr>
            </w:pPr>
            <w:r>
              <w:rPr>
                <w:rFonts w:hint="eastAsia" w:ascii="Times New Roman" w:hAnsi="Times New Roman" w:eastAsia="宋体" w:cs="Times New Roman"/>
                <w:color w:val="auto"/>
              </w:rPr>
              <w:t>轿门安全装置（安全触板，光幕、光电等）</w:t>
            </w:r>
          </w:p>
        </w:tc>
        <w:tc>
          <w:tcPr>
            <w:tcW w:w="3892" w:type="pct"/>
            <w:noWrap w:val="0"/>
            <w:vAlign w:val="center"/>
          </w:tcPr>
          <w:p w14:paraId="07D86AC5">
            <w:pPr>
              <w:rPr>
                <w:rFonts w:ascii="Times New Roman" w:hAnsi="Times New Roman" w:eastAsia="宋体" w:cs="Times New Roman"/>
                <w:color w:val="auto"/>
              </w:rPr>
            </w:pPr>
            <w:r>
              <w:rPr>
                <w:rFonts w:hint="eastAsia" w:ascii="Times New Roman" w:hAnsi="Times New Roman" w:eastAsia="宋体" w:cs="Times New Roman"/>
                <w:color w:val="auto"/>
              </w:rPr>
              <w:t>安全保护装置功能有效，动作灵敏，可靠正常</w:t>
            </w:r>
          </w:p>
        </w:tc>
      </w:tr>
      <w:tr w14:paraId="076F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jc w:val="center"/>
        </w:trPr>
        <w:tc>
          <w:tcPr>
            <w:tcW w:w="254" w:type="pct"/>
            <w:noWrap w:val="0"/>
            <w:vAlign w:val="center"/>
          </w:tcPr>
          <w:p w14:paraId="7CE0F10D">
            <w:pPr>
              <w:jc w:val="center"/>
              <w:rPr>
                <w:rFonts w:ascii="Times New Roman" w:hAnsi="Times New Roman" w:eastAsia="宋体" w:cs="Times New Roman"/>
                <w:color w:val="auto"/>
              </w:rPr>
            </w:pPr>
            <w:r>
              <w:rPr>
                <w:rFonts w:hint="eastAsia" w:ascii="Times New Roman" w:hAnsi="Times New Roman" w:eastAsia="宋体" w:cs="Times New Roman"/>
                <w:color w:val="auto"/>
              </w:rPr>
              <w:t>18</w:t>
            </w:r>
          </w:p>
        </w:tc>
        <w:tc>
          <w:tcPr>
            <w:tcW w:w="853" w:type="pct"/>
            <w:noWrap w:val="0"/>
            <w:vAlign w:val="center"/>
          </w:tcPr>
          <w:p w14:paraId="06A30F9C">
            <w:pPr>
              <w:rPr>
                <w:rFonts w:ascii="Times New Roman" w:hAnsi="Times New Roman" w:eastAsia="宋体" w:cs="Times New Roman"/>
                <w:color w:val="auto"/>
              </w:rPr>
            </w:pPr>
            <w:r>
              <w:rPr>
                <w:rFonts w:hint="eastAsia" w:ascii="Times New Roman" w:hAnsi="Times New Roman" w:eastAsia="宋体" w:cs="Times New Roman"/>
                <w:color w:val="auto"/>
              </w:rPr>
              <w:t>轿门门锁电气触点</w:t>
            </w:r>
          </w:p>
        </w:tc>
        <w:tc>
          <w:tcPr>
            <w:tcW w:w="3892" w:type="pct"/>
            <w:noWrap w:val="0"/>
            <w:vAlign w:val="center"/>
          </w:tcPr>
          <w:p w14:paraId="750787BA">
            <w:pPr>
              <w:rPr>
                <w:rFonts w:ascii="Times New Roman" w:hAnsi="Times New Roman" w:eastAsia="宋体" w:cs="Times New Roman"/>
                <w:color w:val="auto"/>
              </w:rPr>
            </w:pPr>
            <w:r>
              <w:rPr>
                <w:rFonts w:hint="eastAsia" w:ascii="Times New Roman" w:hAnsi="Times New Roman" w:eastAsia="宋体" w:cs="Times New Roman"/>
                <w:color w:val="auto"/>
              </w:rPr>
              <w:t>清洁,触点接触良好，接线可靠</w:t>
            </w:r>
          </w:p>
        </w:tc>
      </w:tr>
      <w:tr w14:paraId="70EE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jc w:val="center"/>
        </w:trPr>
        <w:tc>
          <w:tcPr>
            <w:tcW w:w="254" w:type="pct"/>
            <w:noWrap w:val="0"/>
            <w:vAlign w:val="center"/>
          </w:tcPr>
          <w:p w14:paraId="2D594D02">
            <w:pPr>
              <w:jc w:val="center"/>
              <w:rPr>
                <w:rFonts w:ascii="Times New Roman" w:hAnsi="Times New Roman" w:eastAsia="宋体" w:cs="Times New Roman"/>
                <w:color w:val="auto"/>
              </w:rPr>
            </w:pPr>
            <w:r>
              <w:rPr>
                <w:rFonts w:hint="eastAsia" w:ascii="Times New Roman" w:hAnsi="Times New Roman" w:eastAsia="宋体" w:cs="Times New Roman"/>
                <w:color w:val="auto"/>
              </w:rPr>
              <w:t>19</w:t>
            </w:r>
          </w:p>
        </w:tc>
        <w:tc>
          <w:tcPr>
            <w:tcW w:w="853" w:type="pct"/>
            <w:noWrap w:val="0"/>
            <w:vAlign w:val="center"/>
          </w:tcPr>
          <w:p w14:paraId="78635401">
            <w:pPr>
              <w:rPr>
                <w:rFonts w:ascii="Times New Roman" w:hAnsi="Times New Roman" w:eastAsia="宋体" w:cs="Times New Roman"/>
                <w:color w:val="auto"/>
              </w:rPr>
            </w:pPr>
            <w:r>
              <w:rPr>
                <w:rFonts w:hint="eastAsia" w:ascii="Times New Roman" w:hAnsi="Times New Roman" w:eastAsia="宋体" w:cs="Times New Roman"/>
                <w:color w:val="auto"/>
              </w:rPr>
              <w:t>轿门运行</w:t>
            </w:r>
          </w:p>
        </w:tc>
        <w:tc>
          <w:tcPr>
            <w:tcW w:w="3892" w:type="pct"/>
            <w:noWrap w:val="0"/>
            <w:vAlign w:val="center"/>
          </w:tcPr>
          <w:p w14:paraId="1386D59A">
            <w:pPr>
              <w:rPr>
                <w:rFonts w:ascii="Times New Roman" w:hAnsi="Times New Roman" w:eastAsia="宋体" w:cs="Times New Roman"/>
                <w:color w:val="auto"/>
              </w:rPr>
            </w:pPr>
            <w:r>
              <w:rPr>
                <w:rFonts w:hint="eastAsia" w:ascii="Times New Roman" w:hAnsi="Times New Roman" w:eastAsia="宋体" w:cs="Times New Roman"/>
                <w:color w:val="auto"/>
              </w:rPr>
              <w:t>开启和关闭工作正常，门滑块齐全，轿门板无严重变形</w:t>
            </w:r>
          </w:p>
        </w:tc>
      </w:tr>
      <w:tr w14:paraId="09F2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jc w:val="center"/>
        </w:trPr>
        <w:tc>
          <w:tcPr>
            <w:tcW w:w="254" w:type="pct"/>
            <w:noWrap w:val="0"/>
            <w:vAlign w:val="center"/>
          </w:tcPr>
          <w:p w14:paraId="7E0AB76B">
            <w:pPr>
              <w:jc w:val="center"/>
              <w:rPr>
                <w:rFonts w:ascii="Times New Roman" w:hAnsi="Times New Roman" w:eastAsia="宋体" w:cs="Times New Roman"/>
                <w:color w:val="auto"/>
              </w:rPr>
            </w:pPr>
            <w:r>
              <w:rPr>
                <w:rFonts w:hint="eastAsia" w:ascii="Times New Roman" w:hAnsi="Times New Roman" w:eastAsia="宋体" w:cs="Times New Roman"/>
                <w:color w:val="auto"/>
              </w:rPr>
              <w:t>20</w:t>
            </w:r>
          </w:p>
        </w:tc>
        <w:tc>
          <w:tcPr>
            <w:tcW w:w="853" w:type="pct"/>
            <w:noWrap w:val="0"/>
            <w:vAlign w:val="center"/>
          </w:tcPr>
          <w:p w14:paraId="018B17D3">
            <w:pPr>
              <w:rPr>
                <w:rFonts w:ascii="Times New Roman" w:hAnsi="Times New Roman" w:eastAsia="宋体" w:cs="Times New Roman"/>
                <w:color w:val="auto"/>
              </w:rPr>
            </w:pPr>
            <w:r>
              <w:rPr>
                <w:rFonts w:hint="eastAsia" w:ascii="Times New Roman" w:hAnsi="Times New Roman" w:eastAsia="宋体" w:cs="Times New Roman"/>
                <w:color w:val="auto"/>
              </w:rPr>
              <w:t>轿厢平层精度</w:t>
            </w:r>
          </w:p>
        </w:tc>
        <w:tc>
          <w:tcPr>
            <w:tcW w:w="3892" w:type="pct"/>
            <w:noWrap w:val="0"/>
            <w:vAlign w:val="center"/>
          </w:tcPr>
          <w:p w14:paraId="0D1DCCEB">
            <w:pPr>
              <w:rPr>
                <w:rFonts w:ascii="Times New Roman" w:hAnsi="Times New Roman" w:eastAsia="宋体" w:cs="Times New Roman"/>
                <w:color w:val="auto"/>
              </w:rPr>
            </w:pPr>
            <w:r>
              <w:rPr>
                <w:rFonts w:hint="eastAsia" w:ascii="Times New Roman" w:hAnsi="Times New Roman" w:eastAsia="宋体" w:cs="Times New Roman"/>
                <w:color w:val="auto"/>
              </w:rPr>
              <w:t>符合标准</w:t>
            </w:r>
          </w:p>
        </w:tc>
      </w:tr>
      <w:tr w14:paraId="21E4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tblHeader/>
          <w:jc w:val="center"/>
        </w:trPr>
        <w:tc>
          <w:tcPr>
            <w:tcW w:w="254" w:type="pct"/>
            <w:noWrap w:val="0"/>
            <w:vAlign w:val="center"/>
          </w:tcPr>
          <w:p w14:paraId="63B01D18">
            <w:pPr>
              <w:jc w:val="center"/>
              <w:rPr>
                <w:rFonts w:ascii="Times New Roman" w:hAnsi="Times New Roman" w:eastAsia="宋体" w:cs="Times New Roman"/>
                <w:color w:val="auto"/>
              </w:rPr>
            </w:pPr>
            <w:r>
              <w:rPr>
                <w:rFonts w:hint="eastAsia" w:ascii="Times New Roman" w:hAnsi="Times New Roman" w:eastAsia="宋体" w:cs="Times New Roman"/>
                <w:color w:val="auto"/>
              </w:rPr>
              <w:t>21</w:t>
            </w:r>
          </w:p>
        </w:tc>
        <w:tc>
          <w:tcPr>
            <w:tcW w:w="853" w:type="pct"/>
            <w:noWrap w:val="0"/>
            <w:vAlign w:val="center"/>
          </w:tcPr>
          <w:p w14:paraId="654CDD4F">
            <w:pPr>
              <w:rPr>
                <w:rFonts w:ascii="Times New Roman" w:hAnsi="Times New Roman" w:eastAsia="宋体" w:cs="Times New Roman"/>
                <w:color w:val="auto"/>
              </w:rPr>
            </w:pPr>
            <w:r>
              <w:rPr>
                <w:rFonts w:hint="eastAsia" w:ascii="Times New Roman" w:hAnsi="Times New Roman" w:eastAsia="宋体" w:cs="Times New Roman"/>
                <w:color w:val="auto"/>
              </w:rPr>
              <w:t>层站召唤、层楼显示</w:t>
            </w:r>
          </w:p>
        </w:tc>
        <w:tc>
          <w:tcPr>
            <w:tcW w:w="3892" w:type="pct"/>
            <w:noWrap w:val="0"/>
            <w:vAlign w:val="center"/>
          </w:tcPr>
          <w:p w14:paraId="5288DB32">
            <w:pPr>
              <w:rPr>
                <w:rFonts w:ascii="Times New Roman" w:hAnsi="Times New Roman" w:eastAsia="宋体" w:cs="Times New Roman"/>
                <w:color w:val="auto"/>
              </w:rPr>
            </w:pPr>
            <w:r>
              <w:rPr>
                <w:rFonts w:hint="eastAsia" w:ascii="Times New Roman" w:hAnsi="Times New Roman" w:eastAsia="宋体" w:cs="Times New Roman"/>
                <w:color w:val="auto"/>
              </w:rPr>
              <w:t>齐全，表面无破损，标识清晰，功能有效</w:t>
            </w:r>
          </w:p>
        </w:tc>
      </w:tr>
      <w:tr w14:paraId="08CD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jc w:val="center"/>
        </w:trPr>
        <w:tc>
          <w:tcPr>
            <w:tcW w:w="254" w:type="pct"/>
            <w:noWrap w:val="0"/>
            <w:vAlign w:val="center"/>
          </w:tcPr>
          <w:p w14:paraId="5F780550">
            <w:pPr>
              <w:jc w:val="center"/>
              <w:rPr>
                <w:rFonts w:ascii="Times New Roman" w:hAnsi="Times New Roman" w:eastAsia="宋体" w:cs="Times New Roman"/>
                <w:color w:val="auto"/>
              </w:rPr>
            </w:pPr>
            <w:r>
              <w:rPr>
                <w:rFonts w:hint="eastAsia" w:ascii="Times New Roman" w:hAnsi="Times New Roman" w:eastAsia="宋体" w:cs="Times New Roman"/>
                <w:color w:val="auto"/>
              </w:rPr>
              <w:t>22</w:t>
            </w:r>
          </w:p>
        </w:tc>
        <w:tc>
          <w:tcPr>
            <w:tcW w:w="853" w:type="pct"/>
            <w:noWrap w:val="0"/>
            <w:vAlign w:val="center"/>
          </w:tcPr>
          <w:p w14:paraId="34285F58">
            <w:pPr>
              <w:rPr>
                <w:rFonts w:ascii="Times New Roman" w:hAnsi="Times New Roman" w:eastAsia="宋体" w:cs="Times New Roman"/>
                <w:color w:val="auto"/>
              </w:rPr>
            </w:pPr>
            <w:r>
              <w:rPr>
                <w:rFonts w:hint="eastAsia" w:ascii="Times New Roman" w:hAnsi="Times New Roman" w:eastAsia="宋体" w:cs="Times New Roman"/>
                <w:color w:val="auto"/>
              </w:rPr>
              <w:t>层门地坎</w:t>
            </w:r>
          </w:p>
        </w:tc>
        <w:tc>
          <w:tcPr>
            <w:tcW w:w="3892" w:type="pct"/>
            <w:noWrap w:val="0"/>
            <w:vAlign w:val="center"/>
          </w:tcPr>
          <w:p w14:paraId="49EECBD1">
            <w:pPr>
              <w:rPr>
                <w:rFonts w:ascii="Times New Roman" w:hAnsi="Times New Roman" w:eastAsia="宋体" w:cs="Times New Roman"/>
                <w:color w:val="auto"/>
              </w:rPr>
            </w:pPr>
            <w:r>
              <w:rPr>
                <w:rFonts w:hint="eastAsia" w:ascii="Times New Roman" w:hAnsi="Times New Roman" w:eastAsia="宋体" w:cs="Times New Roman"/>
                <w:color w:val="auto"/>
              </w:rPr>
              <w:t>清洁、固定可靠</w:t>
            </w:r>
          </w:p>
        </w:tc>
      </w:tr>
      <w:tr w14:paraId="562B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254" w:type="pct"/>
            <w:noWrap w:val="0"/>
            <w:vAlign w:val="center"/>
          </w:tcPr>
          <w:p w14:paraId="29511FB5">
            <w:pPr>
              <w:jc w:val="center"/>
              <w:rPr>
                <w:rFonts w:ascii="Times New Roman" w:hAnsi="Times New Roman" w:eastAsia="宋体" w:cs="Times New Roman"/>
                <w:color w:val="auto"/>
              </w:rPr>
            </w:pPr>
            <w:r>
              <w:rPr>
                <w:rFonts w:hint="eastAsia" w:ascii="Times New Roman" w:hAnsi="Times New Roman" w:eastAsia="宋体" w:cs="Times New Roman"/>
                <w:color w:val="auto"/>
              </w:rPr>
              <w:t>23</w:t>
            </w:r>
          </w:p>
        </w:tc>
        <w:tc>
          <w:tcPr>
            <w:tcW w:w="853" w:type="pct"/>
            <w:noWrap w:val="0"/>
            <w:vAlign w:val="center"/>
          </w:tcPr>
          <w:p w14:paraId="41C068E5">
            <w:pPr>
              <w:rPr>
                <w:rFonts w:ascii="Times New Roman" w:hAnsi="Times New Roman" w:eastAsia="宋体" w:cs="Times New Roman"/>
                <w:color w:val="auto"/>
              </w:rPr>
            </w:pPr>
            <w:r>
              <w:rPr>
                <w:rFonts w:hint="eastAsia" w:ascii="Times New Roman" w:hAnsi="Times New Roman" w:eastAsia="宋体" w:cs="Times New Roman"/>
                <w:color w:val="auto"/>
              </w:rPr>
              <w:t>层门自动关门装置</w:t>
            </w:r>
          </w:p>
        </w:tc>
        <w:tc>
          <w:tcPr>
            <w:tcW w:w="3892" w:type="pct"/>
            <w:noWrap w:val="0"/>
            <w:vAlign w:val="center"/>
          </w:tcPr>
          <w:p w14:paraId="0E90E140">
            <w:pPr>
              <w:rPr>
                <w:rFonts w:ascii="Times New Roman" w:hAnsi="Times New Roman" w:eastAsia="宋体" w:cs="Times New Roman"/>
                <w:color w:val="auto"/>
              </w:rPr>
            </w:pPr>
            <w:r>
              <w:rPr>
                <w:rFonts w:hint="eastAsia" w:ascii="Times New Roman" w:hAnsi="Times New Roman" w:eastAsia="宋体" w:cs="Times New Roman"/>
                <w:color w:val="auto"/>
              </w:rPr>
              <w:t>开、关工作正常，门滑块齐全，层门板无严重变形；自动关闭装置功能有效，层门锁钩、锁臂及动作接点动作灵活</w:t>
            </w:r>
          </w:p>
        </w:tc>
      </w:tr>
      <w:tr w14:paraId="7ADD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jc w:val="center"/>
        </w:trPr>
        <w:tc>
          <w:tcPr>
            <w:tcW w:w="254" w:type="pct"/>
            <w:noWrap w:val="0"/>
            <w:vAlign w:val="center"/>
          </w:tcPr>
          <w:p w14:paraId="4E551D4C">
            <w:pPr>
              <w:jc w:val="center"/>
              <w:rPr>
                <w:rFonts w:ascii="Times New Roman" w:hAnsi="Times New Roman" w:eastAsia="宋体" w:cs="Times New Roman"/>
                <w:bCs/>
                <w:color w:val="auto"/>
              </w:rPr>
            </w:pPr>
            <w:r>
              <w:rPr>
                <w:rFonts w:hint="eastAsia" w:ascii="Times New Roman" w:hAnsi="Times New Roman" w:eastAsia="宋体" w:cs="Times New Roman"/>
                <w:bCs/>
                <w:color w:val="auto"/>
              </w:rPr>
              <w:t>序号</w:t>
            </w:r>
          </w:p>
        </w:tc>
        <w:tc>
          <w:tcPr>
            <w:tcW w:w="853" w:type="pct"/>
            <w:noWrap w:val="0"/>
            <w:vAlign w:val="center"/>
          </w:tcPr>
          <w:p w14:paraId="3D77C5E7">
            <w:pPr>
              <w:rPr>
                <w:rFonts w:ascii="Times New Roman" w:hAnsi="Times New Roman" w:eastAsia="宋体" w:cs="Times New Roman"/>
                <w:bCs/>
                <w:color w:val="auto"/>
              </w:rPr>
            </w:pPr>
            <w:r>
              <w:rPr>
                <w:rFonts w:hint="eastAsia" w:ascii="Times New Roman" w:hAnsi="Times New Roman" w:eastAsia="宋体" w:cs="Times New Roman"/>
                <w:bCs/>
                <w:color w:val="auto"/>
              </w:rPr>
              <w:t>维护保养项目（内容）</w:t>
            </w:r>
          </w:p>
        </w:tc>
        <w:tc>
          <w:tcPr>
            <w:tcW w:w="3892" w:type="pct"/>
            <w:noWrap w:val="0"/>
            <w:vAlign w:val="center"/>
          </w:tcPr>
          <w:p w14:paraId="659B9E78">
            <w:pPr>
              <w:rPr>
                <w:rFonts w:ascii="Times New Roman" w:hAnsi="Times New Roman" w:eastAsia="宋体" w:cs="Times New Roman"/>
                <w:bCs/>
                <w:color w:val="auto"/>
              </w:rPr>
            </w:pPr>
            <w:r>
              <w:rPr>
                <w:rFonts w:hint="eastAsia" w:ascii="Times New Roman" w:hAnsi="Times New Roman" w:eastAsia="宋体" w:cs="Times New Roman"/>
                <w:bCs/>
                <w:color w:val="auto"/>
              </w:rPr>
              <w:t>维护保养基本要求</w:t>
            </w:r>
          </w:p>
        </w:tc>
      </w:tr>
      <w:tr w14:paraId="47F7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jc w:val="center"/>
        </w:trPr>
        <w:tc>
          <w:tcPr>
            <w:tcW w:w="254" w:type="pct"/>
            <w:noWrap w:val="0"/>
            <w:vAlign w:val="center"/>
          </w:tcPr>
          <w:p w14:paraId="2792BB1B">
            <w:pPr>
              <w:jc w:val="center"/>
              <w:rPr>
                <w:rFonts w:ascii="Times New Roman" w:hAnsi="Times New Roman" w:eastAsia="宋体" w:cs="Times New Roman"/>
                <w:color w:val="auto"/>
              </w:rPr>
            </w:pPr>
            <w:r>
              <w:rPr>
                <w:rFonts w:hint="eastAsia" w:ascii="Times New Roman" w:hAnsi="Times New Roman" w:eastAsia="宋体" w:cs="Times New Roman"/>
                <w:color w:val="auto"/>
              </w:rPr>
              <w:t>24</w:t>
            </w:r>
          </w:p>
        </w:tc>
        <w:tc>
          <w:tcPr>
            <w:tcW w:w="853" w:type="pct"/>
            <w:noWrap w:val="0"/>
            <w:vAlign w:val="center"/>
          </w:tcPr>
          <w:p w14:paraId="28C3A14E">
            <w:pPr>
              <w:rPr>
                <w:rFonts w:ascii="Times New Roman" w:hAnsi="Times New Roman" w:eastAsia="宋体" w:cs="Times New Roman"/>
                <w:color w:val="auto"/>
              </w:rPr>
            </w:pPr>
            <w:r>
              <w:rPr>
                <w:rFonts w:hint="eastAsia" w:ascii="Times New Roman" w:hAnsi="Times New Roman" w:eastAsia="宋体" w:cs="Times New Roman"/>
                <w:color w:val="auto"/>
              </w:rPr>
              <w:t>层门门锁自动复位</w:t>
            </w:r>
          </w:p>
        </w:tc>
        <w:tc>
          <w:tcPr>
            <w:tcW w:w="3892" w:type="pct"/>
            <w:noWrap w:val="0"/>
            <w:vAlign w:val="center"/>
          </w:tcPr>
          <w:p w14:paraId="06F1BBA9">
            <w:pPr>
              <w:rPr>
                <w:rFonts w:ascii="Times New Roman" w:hAnsi="Times New Roman" w:eastAsia="宋体" w:cs="Times New Roman"/>
                <w:color w:val="auto"/>
              </w:rPr>
            </w:pPr>
            <w:r>
              <w:rPr>
                <w:rFonts w:hint="eastAsia" w:ascii="Times New Roman" w:hAnsi="Times New Roman" w:eastAsia="宋体" w:cs="Times New Roman"/>
                <w:color w:val="auto"/>
              </w:rPr>
              <w:t>用层门钥匙打开手动开锁装置释放后，层门门锁能自动复位</w:t>
            </w:r>
          </w:p>
        </w:tc>
      </w:tr>
      <w:tr w14:paraId="1A67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jc w:val="center"/>
        </w:trPr>
        <w:tc>
          <w:tcPr>
            <w:tcW w:w="254" w:type="pct"/>
            <w:noWrap w:val="0"/>
            <w:vAlign w:val="center"/>
          </w:tcPr>
          <w:p w14:paraId="1AD9D7F1">
            <w:pPr>
              <w:jc w:val="center"/>
              <w:rPr>
                <w:rFonts w:ascii="Times New Roman" w:hAnsi="Times New Roman" w:eastAsia="宋体" w:cs="Times New Roman"/>
                <w:color w:val="auto"/>
              </w:rPr>
            </w:pPr>
            <w:r>
              <w:rPr>
                <w:rFonts w:hint="eastAsia" w:ascii="Times New Roman" w:hAnsi="Times New Roman" w:eastAsia="宋体" w:cs="Times New Roman"/>
                <w:color w:val="auto"/>
              </w:rPr>
              <w:t>25</w:t>
            </w:r>
          </w:p>
        </w:tc>
        <w:tc>
          <w:tcPr>
            <w:tcW w:w="853" w:type="pct"/>
            <w:noWrap w:val="0"/>
            <w:vAlign w:val="center"/>
          </w:tcPr>
          <w:p w14:paraId="45886DEB">
            <w:pPr>
              <w:rPr>
                <w:rFonts w:ascii="Times New Roman" w:hAnsi="Times New Roman" w:eastAsia="宋体" w:cs="Times New Roman"/>
                <w:color w:val="auto"/>
              </w:rPr>
            </w:pPr>
            <w:r>
              <w:rPr>
                <w:rFonts w:hint="eastAsia" w:ascii="Times New Roman" w:hAnsi="Times New Roman" w:eastAsia="宋体" w:cs="Times New Roman"/>
                <w:color w:val="auto"/>
              </w:rPr>
              <w:t>层门门锁电气触点</w:t>
            </w:r>
          </w:p>
        </w:tc>
        <w:tc>
          <w:tcPr>
            <w:tcW w:w="3892" w:type="pct"/>
            <w:noWrap w:val="0"/>
            <w:vAlign w:val="center"/>
          </w:tcPr>
          <w:p w14:paraId="06AEF2A4">
            <w:pPr>
              <w:rPr>
                <w:rFonts w:ascii="Times New Roman" w:hAnsi="Times New Roman" w:eastAsia="宋体" w:cs="Times New Roman"/>
                <w:color w:val="auto"/>
              </w:rPr>
            </w:pPr>
            <w:r>
              <w:rPr>
                <w:rFonts w:hint="eastAsia" w:ascii="Times New Roman" w:hAnsi="Times New Roman" w:eastAsia="宋体" w:cs="Times New Roman"/>
                <w:color w:val="auto"/>
              </w:rPr>
              <w:t>清洁, 触点接触良好，接线可靠</w:t>
            </w:r>
          </w:p>
        </w:tc>
      </w:tr>
      <w:tr w14:paraId="13F3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jc w:val="center"/>
        </w:trPr>
        <w:tc>
          <w:tcPr>
            <w:tcW w:w="254" w:type="pct"/>
            <w:noWrap w:val="0"/>
            <w:vAlign w:val="center"/>
          </w:tcPr>
          <w:p w14:paraId="13865E5B">
            <w:pPr>
              <w:jc w:val="center"/>
              <w:rPr>
                <w:rFonts w:ascii="Times New Roman" w:hAnsi="Times New Roman" w:eastAsia="宋体" w:cs="Times New Roman"/>
                <w:color w:val="auto"/>
              </w:rPr>
            </w:pPr>
            <w:r>
              <w:rPr>
                <w:rFonts w:hint="eastAsia" w:ascii="Times New Roman" w:hAnsi="Times New Roman" w:eastAsia="宋体" w:cs="Times New Roman"/>
                <w:color w:val="auto"/>
              </w:rPr>
              <w:t>26</w:t>
            </w:r>
          </w:p>
        </w:tc>
        <w:tc>
          <w:tcPr>
            <w:tcW w:w="853" w:type="pct"/>
            <w:noWrap w:val="0"/>
            <w:vAlign w:val="center"/>
          </w:tcPr>
          <w:p w14:paraId="14007168">
            <w:pPr>
              <w:rPr>
                <w:rFonts w:ascii="Times New Roman" w:hAnsi="Times New Roman" w:eastAsia="宋体" w:cs="Times New Roman"/>
                <w:color w:val="auto"/>
              </w:rPr>
            </w:pPr>
            <w:r>
              <w:rPr>
                <w:rFonts w:hint="eastAsia" w:ascii="Times New Roman" w:hAnsi="Times New Roman" w:eastAsia="宋体" w:cs="Times New Roman"/>
                <w:color w:val="auto"/>
              </w:rPr>
              <w:t>层门锁紧元件啮合长度</w:t>
            </w:r>
          </w:p>
        </w:tc>
        <w:tc>
          <w:tcPr>
            <w:tcW w:w="3892" w:type="pct"/>
            <w:noWrap w:val="0"/>
            <w:vAlign w:val="center"/>
          </w:tcPr>
          <w:p w14:paraId="0D15069A">
            <w:pPr>
              <w:rPr>
                <w:rFonts w:ascii="Times New Roman" w:hAnsi="Times New Roman" w:eastAsia="宋体" w:cs="Times New Roman"/>
                <w:color w:val="auto"/>
              </w:rPr>
            </w:pPr>
            <w:r>
              <w:rPr>
                <w:rFonts w:hint="eastAsia" w:ascii="Times New Roman" w:hAnsi="Times New Roman" w:eastAsia="宋体" w:cs="Times New Roman"/>
                <w:color w:val="auto"/>
              </w:rPr>
              <w:t>不小于7mm</w:t>
            </w:r>
          </w:p>
        </w:tc>
      </w:tr>
      <w:tr w14:paraId="6D28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blHeader/>
          <w:jc w:val="center"/>
        </w:trPr>
        <w:tc>
          <w:tcPr>
            <w:tcW w:w="254" w:type="pct"/>
            <w:noWrap w:val="0"/>
            <w:vAlign w:val="center"/>
          </w:tcPr>
          <w:p w14:paraId="445D98C7">
            <w:pPr>
              <w:jc w:val="center"/>
              <w:rPr>
                <w:rFonts w:ascii="Times New Roman" w:hAnsi="Times New Roman" w:eastAsia="宋体" w:cs="Times New Roman"/>
                <w:color w:val="auto"/>
              </w:rPr>
            </w:pPr>
            <w:r>
              <w:rPr>
                <w:rFonts w:hint="eastAsia" w:ascii="Times New Roman" w:hAnsi="Times New Roman" w:eastAsia="宋体" w:cs="Times New Roman"/>
                <w:color w:val="auto"/>
              </w:rPr>
              <w:t>27</w:t>
            </w:r>
          </w:p>
        </w:tc>
        <w:tc>
          <w:tcPr>
            <w:tcW w:w="853" w:type="pct"/>
            <w:noWrap w:val="0"/>
            <w:vAlign w:val="center"/>
          </w:tcPr>
          <w:p w14:paraId="30FEE95C">
            <w:pPr>
              <w:rPr>
                <w:rFonts w:ascii="Times New Roman" w:hAnsi="Times New Roman" w:eastAsia="宋体" w:cs="Times New Roman"/>
                <w:color w:val="auto"/>
              </w:rPr>
            </w:pPr>
            <w:r>
              <w:rPr>
                <w:rFonts w:hint="eastAsia" w:ascii="Times New Roman" w:hAnsi="Times New Roman" w:eastAsia="宋体" w:cs="Times New Roman"/>
                <w:color w:val="auto"/>
              </w:rPr>
              <w:t>底坑</w:t>
            </w:r>
          </w:p>
        </w:tc>
        <w:tc>
          <w:tcPr>
            <w:tcW w:w="3892" w:type="pct"/>
            <w:noWrap w:val="0"/>
            <w:vAlign w:val="center"/>
          </w:tcPr>
          <w:p w14:paraId="379D3F9F">
            <w:pPr>
              <w:rPr>
                <w:rFonts w:ascii="Times New Roman" w:hAnsi="Times New Roman" w:eastAsia="宋体" w:cs="Times New Roman"/>
                <w:color w:val="auto"/>
              </w:rPr>
            </w:pPr>
            <w:r>
              <w:rPr>
                <w:rFonts w:hint="eastAsia" w:ascii="Times New Roman" w:hAnsi="Times New Roman" w:eastAsia="宋体" w:cs="Times New Roman"/>
                <w:color w:val="auto"/>
              </w:rPr>
              <w:t>清洁，无渗水、积水，照明正常，底坑急停开关工作正常，功能有效</w:t>
            </w:r>
          </w:p>
        </w:tc>
      </w:tr>
    </w:tbl>
    <w:p w14:paraId="29745884">
      <w:pPr>
        <w:rPr>
          <w:rFonts w:ascii="Times New Roman" w:hAnsi="Times New Roman" w:eastAsia="宋体" w:cs="Times New Roman"/>
          <w:bCs/>
          <w:color w:val="auto"/>
        </w:rPr>
      </w:pPr>
      <w:r>
        <w:rPr>
          <w:rFonts w:hint="eastAsia" w:ascii="Times New Roman" w:hAnsi="Times New Roman" w:eastAsia="宋体" w:cs="Times New Roman"/>
          <w:color w:val="auto"/>
        </w:rPr>
        <w:t>季度维护保养项目除符合表A-1要求时，还应符合表A-2的要求</w:t>
      </w:r>
    </w:p>
    <w:p w14:paraId="42958327">
      <w:pPr>
        <w:rPr>
          <w:rFonts w:ascii="Times New Roman" w:hAnsi="Times New Roman" w:eastAsia="宋体" w:cs="Times New Roman"/>
          <w:bCs/>
          <w:color w:val="auto"/>
        </w:rPr>
      </w:pPr>
    </w:p>
    <w:p w14:paraId="27AD7226">
      <w:pPr>
        <w:rPr>
          <w:rFonts w:ascii="Times New Roman" w:hAnsi="Times New Roman" w:eastAsia="宋体" w:cs="Times New Roman"/>
          <w:b/>
          <w:color w:val="auto"/>
        </w:rPr>
      </w:pPr>
      <w:r>
        <w:rPr>
          <w:rFonts w:hint="eastAsia" w:ascii="Times New Roman" w:hAnsi="Times New Roman" w:eastAsia="宋体" w:cs="Times New Roman"/>
          <w:b/>
          <w:color w:val="auto"/>
        </w:rPr>
        <w:t>表A-2    季度维保项目（内容）和要求</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17"/>
        <w:gridCol w:w="1916"/>
        <w:gridCol w:w="5981"/>
      </w:tblGrid>
      <w:tr w14:paraId="1F3C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51" w:type="pct"/>
            <w:noWrap w:val="0"/>
            <w:vAlign w:val="center"/>
          </w:tcPr>
          <w:p w14:paraId="24EF1E85">
            <w:pPr>
              <w:jc w:val="center"/>
              <w:rPr>
                <w:rFonts w:ascii="Times New Roman" w:hAnsi="Times New Roman" w:eastAsia="宋体" w:cs="Times New Roman"/>
                <w:bCs/>
                <w:color w:val="auto"/>
              </w:rPr>
            </w:pPr>
            <w:r>
              <w:rPr>
                <w:rFonts w:hint="eastAsia" w:ascii="Times New Roman" w:hAnsi="Times New Roman" w:eastAsia="宋体" w:cs="Times New Roman"/>
                <w:bCs/>
                <w:color w:val="auto"/>
              </w:rPr>
              <w:t>序号</w:t>
            </w:r>
          </w:p>
        </w:tc>
        <w:tc>
          <w:tcPr>
            <w:tcW w:w="1152" w:type="pct"/>
            <w:noWrap w:val="0"/>
            <w:vAlign w:val="center"/>
          </w:tcPr>
          <w:p w14:paraId="371E9063">
            <w:pPr>
              <w:rPr>
                <w:rFonts w:ascii="Times New Roman" w:hAnsi="Times New Roman" w:eastAsia="宋体" w:cs="Times New Roman"/>
                <w:bCs/>
                <w:color w:val="auto"/>
              </w:rPr>
            </w:pPr>
            <w:r>
              <w:rPr>
                <w:rFonts w:hint="eastAsia" w:ascii="Times New Roman" w:hAnsi="Times New Roman" w:eastAsia="宋体" w:cs="Times New Roman"/>
                <w:bCs/>
                <w:color w:val="auto"/>
              </w:rPr>
              <w:t>维护保养项目（内容）</w:t>
            </w:r>
          </w:p>
        </w:tc>
        <w:tc>
          <w:tcPr>
            <w:tcW w:w="3596" w:type="pct"/>
            <w:noWrap w:val="0"/>
            <w:vAlign w:val="center"/>
          </w:tcPr>
          <w:p w14:paraId="3FDBDB7D">
            <w:pPr>
              <w:rPr>
                <w:rFonts w:ascii="Times New Roman" w:hAnsi="Times New Roman" w:eastAsia="宋体" w:cs="Times New Roman"/>
                <w:bCs/>
                <w:color w:val="auto"/>
              </w:rPr>
            </w:pPr>
            <w:r>
              <w:rPr>
                <w:rFonts w:hint="eastAsia" w:ascii="Times New Roman" w:hAnsi="Times New Roman" w:eastAsia="宋体" w:cs="Times New Roman"/>
                <w:bCs/>
                <w:color w:val="auto"/>
              </w:rPr>
              <w:t>维护保养基本要求</w:t>
            </w:r>
          </w:p>
        </w:tc>
      </w:tr>
      <w:tr w14:paraId="0DA1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51" w:type="pct"/>
            <w:noWrap w:val="0"/>
            <w:vAlign w:val="center"/>
          </w:tcPr>
          <w:p w14:paraId="3A11A649">
            <w:pPr>
              <w:jc w:val="center"/>
              <w:rPr>
                <w:rFonts w:ascii="Times New Roman" w:hAnsi="Times New Roman" w:eastAsia="宋体" w:cs="Times New Roman"/>
                <w:color w:val="auto"/>
              </w:rPr>
            </w:pPr>
            <w:r>
              <w:rPr>
                <w:rFonts w:hint="eastAsia" w:ascii="Times New Roman" w:hAnsi="Times New Roman" w:eastAsia="宋体" w:cs="Times New Roman"/>
                <w:color w:val="auto"/>
              </w:rPr>
              <w:t>1</w:t>
            </w:r>
          </w:p>
        </w:tc>
        <w:tc>
          <w:tcPr>
            <w:tcW w:w="1152" w:type="pct"/>
            <w:noWrap w:val="0"/>
            <w:vAlign w:val="center"/>
          </w:tcPr>
          <w:p w14:paraId="6FC140A6">
            <w:pPr>
              <w:rPr>
                <w:rFonts w:ascii="Times New Roman" w:hAnsi="Times New Roman" w:eastAsia="宋体" w:cs="Times New Roman"/>
                <w:color w:val="auto"/>
              </w:rPr>
            </w:pPr>
            <w:r>
              <w:rPr>
                <w:rFonts w:hint="eastAsia" w:ascii="Times New Roman" w:hAnsi="Times New Roman" w:eastAsia="宋体" w:cs="Times New Roman"/>
                <w:color w:val="auto"/>
              </w:rPr>
              <w:t>减速机润滑油</w:t>
            </w:r>
          </w:p>
        </w:tc>
        <w:tc>
          <w:tcPr>
            <w:tcW w:w="3596" w:type="pct"/>
            <w:noWrap w:val="0"/>
            <w:vAlign w:val="center"/>
          </w:tcPr>
          <w:p w14:paraId="2212DA7E">
            <w:pPr>
              <w:rPr>
                <w:rFonts w:ascii="Times New Roman" w:hAnsi="Times New Roman" w:eastAsia="宋体" w:cs="Times New Roman"/>
                <w:color w:val="auto"/>
              </w:rPr>
            </w:pPr>
            <w:r>
              <w:rPr>
                <w:rFonts w:hint="eastAsia" w:ascii="Times New Roman" w:hAnsi="Times New Roman" w:eastAsia="宋体" w:cs="Times New Roman"/>
                <w:color w:val="auto"/>
              </w:rPr>
              <w:t>油量适宜，除蜗杆伸出端外均无渗漏</w:t>
            </w:r>
          </w:p>
        </w:tc>
      </w:tr>
      <w:tr w14:paraId="1BEC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51" w:type="pct"/>
            <w:noWrap w:val="0"/>
            <w:vAlign w:val="center"/>
          </w:tcPr>
          <w:p w14:paraId="69782DDA">
            <w:pPr>
              <w:jc w:val="center"/>
              <w:rPr>
                <w:rFonts w:ascii="Times New Roman" w:hAnsi="Times New Roman" w:eastAsia="宋体" w:cs="Times New Roman"/>
                <w:color w:val="auto"/>
              </w:rPr>
            </w:pPr>
            <w:r>
              <w:rPr>
                <w:rFonts w:hint="eastAsia" w:ascii="Times New Roman" w:hAnsi="Times New Roman" w:eastAsia="宋体" w:cs="Times New Roman"/>
                <w:color w:val="auto"/>
              </w:rPr>
              <w:t>2</w:t>
            </w:r>
          </w:p>
        </w:tc>
        <w:tc>
          <w:tcPr>
            <w:tcW w:w="1152" w:type="pct"/>
            <w:noWrap w:val="0"/>
            <w:vAlign w:val="center"/>
          </w:tcPr>
          <w:p w14:paraId="016E7B60">
            <w:pPr>
              <w:rPr>
                <w:rFonts w:ascii="Times New Roman" w:hAnsi="Times New Roman" w:eastAsia="宋体" w:cs="Times New Roman"/>
                <w:color w:val="auto"/>
              </w:rPr>
            </w:pPr>
            <w:r>
              <w:rPr>
                <w:rFonts w:hint="eastAsia" w:ascii="Times New Roman" w:hAnsi="Times New Roman" w:eastAsia="宋体" w:cs="Times New Roman"/>
                <w:color w:val="auto"/>
              </w:rPr>
              <w:t>制动衬</w:t>
            </w:r>
          </w:p>
        </w:tc>
        <w:tc>
          <w:tcPr>
            <w:tcW w:w="3596" w:type="pct"/>
            <w:noWrap w:val="0"/>
            <w:vAlign w:val="center"/>
          </w:tcPr>
          <w:p w14:paraId="3D0B48E2">
            <w:pPr>
              <w:rPr>
                <w:rFonts w:ascii="Times New Roman" w:hAnsi="Times New Roman" w:eastAsia="宋体" w:cs="Times New Roman"/>
                <w:color w:val="auto"/>
              </w:rPr>
            </w:pPr>
            <w:r>
              <w:rPr>
                <w:rFonts w:hint="eastAsia" w:ascii="Times New Roman" w:hAnsi="Times New Roman" w:eastAsia="宋体" w:cs="Times New Roman"/>
                <w:color w:val="auto"/>
              </w:rPr>
              <w:t>清洁，磨损量不超过制造单位要求</w:t>
            </w:r>
          </w:p>
        </w:tc>
      </w:tr>
      <w:tr w14:paraId="5024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51" w:type="pct"/>
            <w:noWrap w:val="0"/>
            <w:vAlign w:val="center"/>
          </w:tcPr>
          <w:p w14:paraId="18305E5F">
            <w:pPr>
              <w:jc w:val="center"/>
              <w:rPr>
                <w:rFonts w:ascii="Times New Roman" w:hAnsi="Times New Roman" w:eastAsia="宋体" w:cs="Times New Roman"/>
                <w:color w:val="auto"/>
              </w:rPr>
            </w:pPr>
            <w:r>
              <w:rPr>
                <w:rFonts w:hint="eastAsia" w:ascii="Times New Roman" w:hAnsi="Times New Roman" w:eastAsia="宋体" w:cs="Times New Roman"/>
                <w:color w:val="auto"/>
              </w:rPr>
              <w:t>3</w:t>
            </w:r>
          </w:p>
        </w:tc>
        <w:tc>
          <w:tcPr>
            <w:tcW w:w="1152" w:type="pct"/>
            <w:noWrap w:val="0"/>
            <w:vAlign w:val="center"/>
          </w:tcPr>
          <w:p w14:paraId="0D8D78DB">
            <w:pPr>
              <w:rPr>
                <w:rFonts w:ascii="Times New Roman" w:hAnsi="Times New Roman" w:eastAsia="宋体" w:cs="Times New Roman"/>
                <w:color w:val="auto"/>
              </w:rPr>
            </w:pPr>
            <w:r>
              <w:rPr>
                <w:rFonts w:hint="eastAsia" w:ascii="Times New Roman" w:hAnsi="Times New Roman" w:eastAsia="宋体" w:cs="Times New Roman"/>
                <w:color w:val="auto"/>
              </w:rPr>
              <w:t>位置脉冲发生器</w:t>
            </w:r>
          </w:p>
        </w:tc>
        <w:tc>
          <w:tcPr>
            <w:tcW w:w="3596" w:type="pct"/>
            <w:noWrap w:val="0"/>
            <w:vAlign w:val="center"/>
          </w:tcPr>
          <w:p w14:paraId="6DBB0D05">
            <w:pPr>
              <w:rPr>
                <w:rFonts w:ascii="Times New Roman" w:hAnsi="Times New Roman" w:eastAsia="宋体" w:cs="Times New Roman"/>
                <w:color w:val="auto"/>
              </w:rPr>
            </w:pPr>
            <w:r>
              <w:rPr>
                <w:rFonts w:hint="eastAsia" w:ascii="Times New Roman" w:hAnsi="Times New Roman" w:eastAsia="宋体" w:cs="Times New Roman"/>
                <w:color w:val="auto"/>
              </w:rPr>
              <w:t>连接牢固可靠，工作正常</w:t>
            </w:r>
          </w:p>
        </w:tc>
      </w:tr>
      <w:tr w14:paraId="1DB1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51" w:type="pct"/>
            <w:noWrap w:val="0"/>
            <w:vAlign w:val="center"/>
          </w:tcPr>
          <w:p w14:paraId="2B044926">
            <w:pPr>
              <w:jc w:val="center"/>
              <w:rPr>
                <w:rFonts w:ascii="Times New Roman" w:hAnsi="Times New Roman" w:eastAsia="宋体" w:cs="Times New Roman"/>
                <w:color w:val="auto"/>
              </w:rPr>
            </w:pPr>
            <w:r>
              <w:rPr>
                <w:rFonts w:hint="eastAsia" w:ascii="Times New Roman" w:hAnsi="Times New Roman" w:eastAsia="宋体" w:cs="Times New Roman"/>
                <w:color w:val="auto"/>
              </w:rPr>
              <w:t>4</w:t>
            </w:r>
          </w:p>
        </w:tc>
        <w:tc>
          <w:tcPr>
            <w:tcW w:w="1152" w:type="pct"/>
            <w:noWrap w:val="0"/>
            <w:vAlign w:val="center"/>
          </w:tcPr>
          <w:p w14:paraId="00871465">
            <w:pPr>
              <w:rPr>
                <w:rFonts w:ascii="Times New Roman" w:hAnsi="Times New Roman" w:eastAsia="宋体" w:cs="Times New Roman"/>
                <w:color w:val="auto"/>
              </w:rPr>
            </w:pPr>
            <w:r>
              <w:rPr>
                <w:rFonts w:hint="eastAsia" w:ascii="Times New Roman" w:hAnsi="Times New Roman" w:eastAsia="宋体" w:cs="Times New Roman"/>
                <w:color w:val="auto"/>
              </w:rPr>
              <w:t>选层器动静触点</w:t>
            </w:r>
          </w:p>
        </w:tc>
        <w:tc>
          <w:tcPr>
            <w:tcW w:w="3596" w:type="pct"/>
            <w:noWrap w:val="0"/>
            <w:vAlign w:val="center"/>
          </w:tcPr>
          <w:p w14:paraId="19266607">
            <w:pPr>
              <w:rPr>
                <w:rFonts w:ascii="Times New Roman" w:hAnsi="Times New Roman" w:eastAsia="宋体" w:cs="Times New Roman"/>
                <w:color w:val="auto"/>
              </w:rPr>
            </w:pPr>
            <w:r>
              <w:rPr>
                <w:rFonts w:hint="eastAsia" w:ascii="Times New Roman" w:hAnsi="Times New Roman" w:eastAsia="宋体" w:cs="Times New Roman"/>
                <w:color w:val="auto"/>
              </w:rPr>
              <w:t>清洁，无烧蚀</w:t>
            </w:r>
          </w:p>
        </w:tc>
      </w:tr>
      <w:tr w14:paraId="70B2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51" w:type="pct"/>
            <w:noWrap w:val="0"/>
            <w:vAlign w:val="center"/>
          </w:tcPr>
          <w:p w14:paraId="6C4E45DF">
            <w:pPr>
              <w:jc w:val="center"/>
              <w:rPr>
                <w:rFonts w:ascii="Times New Roman" w:hAnsi="Times New Roman" w:eastAsia="宋体" w:cs="Times New Roman"/>
                <w:color w:val="auto"/>
              </w:rPr>
            </w:pPr>
            <w:r>
              <w:rPr>
                <w:rFonts w:hint="eastAsia" w:ascii="Times New Roman" w:hAnsi="Times New Roman" w:eastAsia="宋体" w:cs="Times New Roman"/>
                <w:color w:val="auto"/>
              </w:rPr>
              <w:t>5</w:t>
            </w:r>
          </w:p>
        </w:tc>
        <w:tc>
          <w:tcPr>
            <w:tcW w:w="1152" w:type="pct"/>
            <w:noWrap w:val="0"/>
            <w:vAlign w:val="center"/>
          </w:tcPr>
          <w:p w14:paraId="25944167">
            <w:pPr>
              <w:rPr>
                <w:rFonts w:ascii="Times New Roman" w:hAnsi="Times New Roman" w:eastAsia="宋体" w:cs="Times New Roman"/>
                <w:color w:val="auto"/>
              </w:rPr>
            </w:pPr>
            <w:r>
              <w:rPr>
                <w:rFonts w:hint="eastAsia" w:ascii="Times New Roman" w:hAnsi="Times New Roman" w:eastAsia="宋体" w:cs="Times New Roman"/>
                <w:color w:val="auto"/>
              </w:rPr>
              <w:t>曳引轮槽、曳引钢丝绳</w:t>
            </w:r>
          </w:p>
        </w:tc>
        <w:tc>
          <w:tcPr>
            <w:tcW w:w="3596" w:type="pct"/>
            <w:noWrap w:val="0"/>
            <w:vAlign w:val="center"/>
          </w:tcPr>
          <w:p w14:paraId="19D54DB5">
            <w:pPr>
              <w:rPr>
                <w:rFonts w:ascii="Times New Roman" w:hAnsi="Times New Roman" w:eastAsia="宋体" w:cs="Times New Roman"/>
                <w:color w:val="auto"/>
              </w:rPr>
            </w:pPr>
            <w:r>
              <w:rPr>
                <w:rFonts w:hint="eastAsia" w:ascii="Times New Roman" w:hAnsi="Times New Roman" w:eastAsia="宋体" w:cs="Times New Roman"/>
                <w:color w:val="auto"/>
              </w:rPr>
              <w:t>清洁，无严重油腻，张力均匀</w:t>
            </w:r>
          </w:p>
        </w:tc>
      </w:tr>
      <w:tr w14:paraId="4078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51" w:type="pct"/>
            <w:noWrap w:val="0"/>
            <w:vAlign w:val="center"/>
          </w:tcPr>
          <w:p w14:paraId="44A1590E">
            <w:pPr>
              <w:jc w:val="center"/>
              <w:rPr>
                <w:rFonts w:ascii="Times New Roman" w:hAnsi="Times New Roman" w:eastAsia="宋体" w:cs="Times New Roman"/>
                <w:color w:val="auto"/>
              </w:rPr>
            </w:pPr>
            <w:r>
              <w:rPr>
                <w:rFonts w:hint="eastAsia" w:ascii="Times New Roman" w:hAnsi="Times New Roman" w:eastAsia="宋体" w:cs="Times New Roman"/>
                <w:color w:val="auto"/>
              </w:rPr>
              <w:t>6</w:t>
            </w:r>
          </w:p>
        </w:tc>
        <w:tc>
          <w:tcPr>
            <w:tcW w:w="1152" w:type="pct"/>
            <w:noWrap w:val="0"/>
            <w:vAlign w:val="center"/>
          </w:tcPr>
          <w:p w14:paraId="1645CA7A">
            <w:pPr>
              <w:rPr>
                <w:rFonts w:ascii="Times New Roman" w:hAnsi="Times New Roman" w:eastAsia="宋体" w:cs="Times New Roman"/>
                <w:color w:val="auto"/>
              </w:rPr>
            </w:pPr>
            <w:r>
              <w:rPr>
                <w:rFonts w:hint="eastAsia" w:ascii="Times New Roman" w:hAnsi="Times New Roman" w:eastAsia="宋体" w:cs="Times New Roman"/>
                <w:color w:val="auto"/>
              </w:rPr>
              <w:t>限速器轮槽、限速器钢丝绳</w:t>
            </w:r>
          </w:p>
        </w:tc>
        <w:tc>
          <w:tcPr>
            <w:tcW w:w="3596" w:type="pct"/>
            <w:noWrap w:val="0"/>
            <w:vAlign w:val="center"/>
          </w:tcPr>
          <w:p w14:paraId="1DABF5D8">
            <w:pPr>
              <w:rPr>
                <w:rFonts w:ascii="Times New Roman" w:hAnsi="Times New Roman" w:eastAsia="宋体" w:cs="Times New Roman"/>
                <w:color w:val="auto"/>
              </w:rPr>
            </w:pPr>
            <w:r>
              <w:rPr>
                <w:rFonts w:hint="eastAsia" w:ascii="Times New Roman" w:hAnsi="Times New Roman" w:eastAsia="宋体" w:cs="Times New Roman"/>
                <w:color w:val="auto"/>
              </w:rPr>
              <w:t>清洁，无严重油腻</w:t>
            </w:r>
          </w:p>
        </w:tc>
      </w:tr>
      <w:tr w14:paraId="71CE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51" w:type="pct"/>
            <w:noWrap w:val="0"/>
            <w:vAlign w:val="center"/>
          </w:tcPr>
          <w:p w14:paraId="45C5CDFC">
            <w:pPr>
              <w:jc w:val="center"/>
              <w:rPr>
                <w:rFonts w:ascii="Times New Roman" w:hAnsi="Times New Roman" w:eastAsia="宋体" w:cs="Times New Roman"/>
                <w:color w:val="auto"/>
              </w:rPr>
            </w:pPr>
            <w:r>
              <w:rPr>
                <w:rFonts w:hint="eastAsia" w:ascii="Times New Roman" w:hAnsi="Times New Roman" w:eastAsia="宋体" w:cs="Times New Roman"/>
                <w:color w:val="auto"/>
              </w:rPr>
              <w:t>7</w:t>
            </w:r>
          </w:p>
        </w:tc>
        <w:tc>
          <w:tcPr>
            <w:tcW w:w="1152" w:type="pct"/>
            <w:noWrap w:val="0"/>
            <w:vAlign w:val="center"/>
          </w:tcPr>
          <w:p w14:paraId="17690A57">
            <w:pPr>
              <w:rPr>
                <w:rFonts w:ascii="Times New Roman" w:hAnsi="Times New Roman" w:eastAsia="宋体" w:cs="Times New Roman"/>
                <w:color w:val="auto"/>
              </w:rPr>
            </w:pPr>
            <w:r>
              <w:rPr>
                <w:rFonts w:hint="eastAsia" w:ascii="Times New Roman" w:hAnsi="Times New Roman" w:eastAsia="宋体" w:cs="Times New Roman"/>
                <w:color w:val="auto"/>
              </w:rPr>
              <w:t>靴衬、滚轮</w:t>
            </w:r>
          </w:p>
        </w:tc>
        <w:tc>
          <w:tcPr>
            <w:tcW w:w="3596" w:type="pct"/>
            <w:noWrap w:val="0"/>
            <w:vAlign w:val="center"/>
          </w:tcPr>
          <w:p w14:paraId="33B8593A">
            <w:pPr>
              <w:rPr>
                <w:rFonts w:ascii="Times New Roman" w:hAnsi="Times New Roman" w:eastAsia="宋体" w:cs="Times New Roman"/>
                <w:color w:val="auto"/>
              </w:rPr>
            </w:pPr>
            <w:r>
              <w:rPr>
                <w:rFonts w:hint="eastAsia" w:ascii="Times New Roman" w:hAnsi="Times New Roman" w:eastAsia="宋体" w:cs="Times New Roman"/>
                <w:color w:val="auto"/>
              </w:rPr>
              <w:t>清洁，磨损量不超过制造单位要求</w:t>
            </w:r>
          </w:p>
        </w:tc>
      </w:tr>
      <w:tr w14:paraId="1996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exact"/>
        </w:trPr>
        <w:tc>
          <w:tcPr>
            <w:tcW w:w="251" w:type="pct"/>
            <w:noWrap w:val="0"/>
            <w:vAlign w:val="center"/>
          </w:tcPr>
          <w:p w14:paraId="68631030">
            <w:pPr>
              <w:jc w:val="center"/>
              <w:rPr>
                <w:rFonts w:ascii="Times New Roman" w:hAnsi="Times New Roman" w:eastAsia="宋体" w:cs="Times New Roman"/>
                <w:color w:val="auto"/>
              </w:rPr>
            </w:pPr>
            <w:r>
              <w:rPr>
                <w:rFonts w:hint="eastAsia" w:ascii="Times New Roman" w:hAnsi="Times New Roman" w:eastAsia="宋体" w:cs="Times New Roman"/>
                <w:color w:val="auto"/>
              </w:rPr>
              <w:t>8</w:t>
            </w:r>
          </w:p>
        </w:tc>
        <w:tc>
          <w:tcPr>
            <w:tcW w:w="1152" w:type="pct"/>
            <w:noWrap w:val="0"/>
            <w:vAlign w:val="center"/>
          </w:tcPr>
          <w:p w14:paraId="39B89D7C">
            <w:pPr>
              <w:rPr>
                <w:rFonts w:ascii="Times New Roman" w:hAnsi="Times New Roman" w:eastAsia="宋体" w:cs="Times New Roman"/>
                <w:color w:val="auto"/>
              </w:rPr>
            </w:pPr>
            <w:r>
              <w:rPr>
                <w:rFonts w:hint="eastAsia" w:ascii="Times New Roman" w:hAnsi="Times New Roman" w:eastAsia="宋体" w:cs="Times New Roman"/>
                <w:color w:val="auto"/>
              </w:rPr>
              <w:t>验证轿门关闭的电气安全装置</w:t>
            </w:r>
          </w:p>
        </w:tc>
        <w:tc>
          <w:tcPr>
            <w:tcW w:w="3596" w:type="pct"/>
            <w:noWrap w:val="0"/>
            <w:vAlign w:val="center"/>
          </w:tcPr>
          <w:p w14:paraId="368A1172">
            <w:pPr>
              <w:rPr>
                <w:rFonts w:ascii="Times New Roman" w:hAnsi="Times New Roman" w:eastAsia="宋体" w:cs="Times New Roman"/>
                <w:color w:val="auto"/>
              </w:rPr>
            </w:pPr>
            <w:r>
              <w:rPr>
                <w:rFonts w:hint="eastAsia" w:ascii="Times New Roman" w:hAnsi="Times New Roman" w:eastAsia="宋体" w:cs="Times New Roman"/>
                <w:color w:val="auto"/>
              </w:rPr>
              <w:t>功能有效，工作正常</w:t>
            </w:r>
          </w:p>
        </w:tc>
      </w:tr>
      <w:tr w14:paraId="584D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trPr>
        <w:tc>
          <w:tcPr>
            <w:tcW w:w="251" w:type="pct"/>
            <w:noWrap w:val="0"/>
            <w:vAlign w:val="center"/>
          </w:tcPr>
          <w:p w14:paraId="5D7BD119">
            <w:pPr>
              <w:jc w:val="center"/>
              <w:rPr>
                <w:rFonts w:ascii="Times New Roman" w:hAnsi="Times New Roman" w:eastAsia="宋体" w:cs="Times New Roman"/>
                <w:color w:val="auto"/>
              </w:rPr>
            </w:pPr>
            <w:r>
              <w:rPr>
                <w:rFonts w:hint="eastAsia" w:ascii="Times New Roman" w:hAnsi="Times New Roman" w:eastAsia="宋体" w:cs="Times New Roman"/>
                <w:color w:val="auto"/>
              </w:rPr>
              <w:t>9</w:t>
            </w:r>
          </w:p>
        </w:tc>
        <w:tc>
          <w:tcPr>
            <w:tcW w:w="1152" w:type="pct"/>
            <w:noWrap w:val="0"/>
            <w:vAlign w:val="center"/>
          </w:tcPr>
          <w:p w14:paraId="01C54C25">
            <w:pPr>
              <w:rPr>
                <w:rFonts w:ascii="Times New Roman" w:hAnsi="Times New Roman" w:eastAsia="宋体" w:cs="Times New Roman"/>
                <w:color w:val="auto"/>
              </w:rPr>
            </w:pPr>
            <w:r>
              <w:rPr>
                <w:rFonts w:hint="eastAsia" w:ascii="Times New Roman" w:hAnsi="Times New Roman" w:eastAsia="宋体" w:cs="Times New Roman"/>
                <w:color w:val="auto"/>
              </w:rPr>
              <w:t>层门、轿门系统中传动钢丝绳</w:t>
            </w:r>
          </w:p>
          <w:p w14:paraId="6690AF51">
            <w:pPr>
              <w:rPr>
                <w:rFonts w:ascii="Times New Roman" w:hAnsi="Times New Roman" w:eastAsia="宋体" w:cs="Times New Roman"/>
                <w:color w:val="auto"/>
              </w:rPr>
            </w:pPr>
            <w:r>
              <w:rPr>
                <w:rFonts w:hint="eastAsia" w:ascii="Times New Roman" w:hAnsi="Times New Roman" w:eastAsia="宋体" w:cs="Times New Roman"/>
                <w:color w:val="auto"/>
              </w:rPr>
              <w:t>链条、胶带</w:t>
            </w:r>
          </w:p>
        </w:tc>
        <w:tc>
          <w:tcPr>
            <w:tcW w:w="3596" w:type="pct"/>
            <w:noWrap w:val="0"/>
            <w:vAlign w:val="center"/>
          </w:tcPr>
          <w:p w14:paraId="58BBC864">
            <w:pPr>
              <w:rPr>
                <w:rFonts w:ascii="Times New Roman" w:hAnsi="Times New Roman" w:eastAsia="宋体" w:cs="Times New Roman"/>
                <w:color w:val="auto"/>
              </w:rPr>
            </w:pPr>
            <w:r>
              <w:rPr>
                <w:rFonts w:hint="eastAsia" w:ascii="Times New Roman" w:hAnsi="Times New Roman" w:eastAsia="宋体" w:cs="Times New Roman"/>
                <w:color w:val="auto"/>
              </w:rPr>
              <w:t>钢丝绳、带、链无断裂，无锈蚀，按制造单位要求进行清洁、调整</w:t>
            </w:r>
          </w:p>
        </w:tc>
      </w:tr>
      <w:tr w14:paraId="6275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51" w:type="pct"/>
            <w:noWrap w:val="0"/>
            <w:vAlign w:val="center"/>
          </w:tcPr>
          <w:p w14:paraId="324EC44A">
            <w:pPr>
              <w:jc w:val="center"/>
              <w:rPr>
                <w:rFonts w:ascii="Times New Roman" w:hAnsi="Times New Roman" w:eastAsia="宋体" w:cs="Times New Roman"/>
                <w:color w:val="auto"/>
              </w:rPr>
            </w:pPr>
            <w:r>
              <w:rPr>
                <w:rFonts w:hint="eastAsia" w:ascii="Times New Roman" w:hAnsi="Times New Roman" w:eastAsia="宋体" w:cs="Times New Roman"/>
                <w:color w:val="auto"/>
              </w:rPr>
              <w:t>10</w:t>
            </w:r>
          </w:p>
        </w:tc>
        <w:tc>
          <w:tcPr>
            <w:tcW w:w="1152" w:type="pct"/>
            <w:noWrap w:val="0"/>
            <w:vAlign w:val="center"/>
          </w:tcPr>
          <w:p w14:paraId="5489D762">
            <w:pPr>
              <w:rPr>
                <w:rFonts w:ascii="Times New Roman" w:hAnsi="Times New Roman" w:eastAsia="宋体" w:cs="Times New Roman"/>
                <w:color w:val="auto"/>
              </w:rPr>
            </w:pPr>
            <w:r>
              <w:rPr>
                <w:rFonts w:hint="eastAsia" w:ascii="Times New Roman" w:hAnsi="Times New Roman" w:eastAsia="宋体" w:cs="Times New Roman"/>
                <w:color w:val="auto"/>
              </w:rPr>
              <w:t>层门门导靴</w:t>
            </w:r>
          </w:p>
        </w:tc>
        <w:tc>
          <w:tcPr>
            <w:tcW w:w="3596" w:type="pct"/>
            <w:noWrap w:val="0"/>
            <w:vAlign w:val="center"/>
          </w:tcPr>
          <w:p w14:paraId="09BBAA7A">
            <w:pPr>
              <w:rPr>
                <w:rFonts w:ascii="Times New Roman" w:hAnsi="Times New Roman" w:eastAsia="宋体" w:cs="Times New Roman"/>
                <w:color w:val="auto"/>
              </w:rPr>
            </w:pPr>
            <w:r>
              <w:rPr>
                <w:rFonts w:hint="eastAsia" w:ascii="Times New Roman" w:hAnsi="Times New Roman" w:eastAsia="宋体" w:cs="Times New Roman"/>
                <w:color w:val="auto"/>
              </w:rPr>
              <w:t>固定可靠，磨损量不超过制造单位要求</w:t>
            </w:r>
          </w:p>
        </w:tc>
      </w:tr>
      <w:tr w14:paraId="0BB7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51" w:type="pct"/>
            <w:noWrap w:val="0"/>
            <w:vAlign w:val="center"/>
          </w:tcPr>
          <w:p w14:paraId="109817A0">
            <w:pPr>
              <w:jc w:val="center"/>
              <w:rPr>
                <w:rFonts w:ascii="Times New Roman" w:hAnsi="Times New Roman" w:eastAsia="宋体" w:cs="Times New Roman"/>
                <w:color w:val="auto"/>
              </w:rPr>
            </w:pPr>
            <w:r>
              <w:rPr>
                <w:rFonts w:hint="eastAsia" w:ascii="Times New Roman" w:hAnsi="Times New Roman" w:eastAsia="宋体" w:cs="Times New Roman"/>
                <w:color w:val="auto"/>
              </w:rPr>
              <w:t>11</w:t>
            </w:r>
          </w:p>
        </w:tc>
        <w:tc>
          <w:tcPr>
            <w:tcW w:w="1152" w:type="pct"/>
            <w:noWrap w:val="0"/>
            <w:vAlign w:val="center"/>
          </w:tcPr>
          <w:p w14:paraId="17C40E30">
            <w:pPr>
              <w:rPr>
                <w:rFonts w:ascii="Times New Roman" w:hAnsi="Times New Roman" w:eastAsia="宋体" w:cs="Times New Roman"/>
                <w:color w:val="auto"/>
              </w:rPr>
            </w:pPr>
            <w:r>
              <w:rPr>
                <w:rFonts w:hint="eastAsia" w:ascii="Times New Roman" w:hAnsi="Times New Roman" w:eastAsia="宋体" w:cs="Times New Roman"/>
                <w:color w:val="auto"/>
              </w:rPr>
              <w:t>消防开关</w:t>
            </w:r>
          </w:p>
        </w:tc>
        <w:tc>
          <w:tcPr>
            <w:tcW w:w="3596" w:type="pct"/>
            <w:noWrap w:val="0"/>
            <w:vAlign w:val="center"/>
          </w:tcPr>
          <w:p w14:paraId="4EEAEEF0">
            <w:pPr>
              <w:rPr>
                <w:rFonts w:ascii="Times New Roman" w:hAnsi="Times New Roman" w:eastAsia="宋体" w:cs="Times New Roman"/>
                <w:color w:val="auto"/>
              </w:rPr>
            </w:pPr>
            <w:r>
              <w:rPr>
                <w:rFonts w:hint="eastAsia" w:ascii="Times New Roman" w:hAnsi="Times New Roman" w:eastAsia="宋体" w:cs="Times New Roman"/>
                <w:color w:val="auto"/>
              </w:rPr>
              <w:t>消防迫降和消防员专用各项功能应有效，基站消防开关应有适当防护</w:t>
            </w:r>
          </w:p>
        </w:tc>
      </w:tr>
      <w:tr w14:paraId="6781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exact"/>
        </w:trPr>
        <w:tc>
          <w:tcPr>
            <w:tcW w:w="251" w:type="pct"/>
            <w:noWrap w:val="0"/>
            <w:vAlign w:val="center"/>
          </w:tcPr>
          <w:p w14:paraId="400A5D5D">
            <w:pPr>
              <w:jc w:val="center"/>
              <w:rPr>
                <w:rFonts w:ascii="Times New Roman" w:hAnsi="Times New Roman" w:eastAsia="宋体" w:cs="Times New Roman"/>
                <w:color w:val="auto"/>
              </w:rPr>
            </w:pPr>
            <w:r>
              <w:rPr>
                <w:rFonts w:hint="eastAsia" w:ascii="Times New Roman" w:hAnsi="Times New Roman" w:eastAsia="宋体" w:cs="Times New Roman"/>
                <w:color w:val="auto"/>
              </w:rPr>
              <w:t>12</w:t>
            </w:r>
          </w:p>
        </w:tc>
        <w:tc>
          <w:tcPr>
            <w:tcW w:w="1152" w:type="pct"/>
            <w:noWrap w:val="0"/>
            <w:vAlign w:val="center"/>
          </w:tcPr>
          <w:p w14:paraId="017387F2">
            <w:pPr>
              <w:rPr>
                <w:rFonts w:ascii="Times New Roman" w:hAnsi="Times New Roman" w:eastAsia="宋体" w:cs="Times New Roman"/>
                <w:color w:val="auto"/>
              </w:rPr>
            </w:pPr>
            <w:r>
              <w:rPr>
                <w:rFonts w:hint="eastAsia" w:ascii="Times New Roman" w:hAnsi="Times New Roman" w:eastAsia="宋体" w:cs="Times New Roman"/>
                <w:color w:val="auto"/>
              </w:rPr>
              <w:t>缓冲器</w:t>
            </w:r>
          </w:p>
        </w:tc>
        <w:tc>
          <w:tcPr>
            <w:tcW w:w="3596" w:type="pct"/>
            <w:noWrap w:val="0"/>
            <w:vAlign w:val="center"/>
          </w:tcPr>
          <w:p w14:paraId="6C570AF9">
            <w:pPr>
              <w:rPr>
                <w:rFonts w:ascii="Times New Roman" w:hAnsi="Times New Roman" w:eastAsia="宋体" w:cs="Times New Roman"/>
                <w:color w:val="auto"/>
              </w:rPr>
            </w:pPr>
            <w:r>
              <w:rPr>
                <w:rFonts w:hint="eastAsia" w:ascii="Times New Roman" w:hAnsi="Times New Roman" w:eastAsia="宋体" w:cs="Times New Roman"/>
                <w:color w:val="auto"/>
              </w:rPr>
              <w:t>耗能缓冲器电气安全装置功能有效，油量适宜，柱塞无锈蚀，非线性蓄能型缓冲器表面正常,无影响性能的变化，弹簧缓冲器无锈蚀</w:t>
            </w:r>
          </w:p>
        </w:tc>
      </w:tr>
      <w:tr w14:paraId="3B21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trPr>
        <w:tc>
          <w:tcPr>
            <w:tcW w:w="251" w:type="pct"/>
            <w:noWrap w:val="0"/>
            <w:vAlign w:val="center"/>
          </w:tcPr>
          <w:p w14:paraId="4928EC1D">
            <w:pPr>
              <w:jc w:val="center"/>
              <w:rPr>
                <w:rFonts w:ascii="Times New Roman" w:hAnsi="Times New Roman" w:eastAsia="宋体" w:cs="Times New Roman"/>
                <w:color w:val="auto"/>
              </w:rPr>
            </w:pPr>
            <w:r>
              <w:rPr>
                <w:rFonts w:hint="eastAsia" w:ascii="Times New Roman" w:hAnsi="Times New Roman" w:eastAsia="宋体" w:cs="Times New Roman"/>
                <w:color w:val="auto"/>
              </w:rPr>
              <w:t>13</w:t>
            </w:r>
          </w:p>
        </w:tc>
        <w:tc>
          <w:tcPr>
            <w:tcW w:w="1152" w:type="pct"/>
            <w:noWrap w:val="0"/>
            <w:vAlign w:val="center"/>
          </w:tcPr>
          <w:p w14:paraId="01879291">
            <w:pPr>
              <w:rPr>
                <w:rFonts w:ascii="Times New Roman" w:hAnsi="Times New Roman" w:eastAsia="宋体" w:cs="Times New Roman"/>
                <w:color w:val="auto"/>
              </w:rPr>
            </w:pPr>
            <w:r>
              <w:rPr>
                <w:rFonts w:hint="eastAsia" w:ascii="Times New Roman" w:hAnsi="Times New Roman" w:eastAsia="宋体" w:cs="Times New Roman"/>
                <w:color w:val="auto"/>
              </w:rPr>
              <w:t>限速器张紧轮装置及其电气安全装置</w:t>
            </w:r>
          </w:p>
        </w:tc>
        <w:tc>
          <w:tcPr>
            <w:tcW w:w="3596" w:type="pct"/>
            <w:noWrap w:val="0"/>
            <w:vAlign w:val="center"/>
          </w:tcPr>
          <w:p w14:paraId="5141E0AE">
            <w:pPr>
              <w:rPr>
                <w:rFonts w:ascii="Times New Roman" w:hAnsi="Times New Roman" w:eastAsia="宋体" w:cs="Times New Roman"/>
                <w:color w:val="auto"/>
              </w:rPr>
            </w:pPr>
            <w:r>
              <w:rPr>
                <w:rFonts w:hint="eastAsia" w:ascii="Times New Roman" w:hAnsi="Times New Roman" w:eastAsia="宋体" w:cs="Times New Roman"/>
                <w:color w:val="auto"/>
              </w:rPr>
              <w:t>清洁，工作正常</w:t>
            </w:r>
          </w:p>
        </w:tc>
      </w:tr>
    </w:tbl>
    <w:p w14:paraId="2CDF5D17">
      <w:pPr>
        <w:rPr>
          <w:rFonts w:ascii="Times New Roman" w:hAnsi="Times New Roman" w:eastAsia="宋体" w:cs="Times New Roman"/>
          <w:color w:val="auto"/>
        </w:rPr>
      </w:pPr>
      <w:r>
        <w:rPr>
          <w:rFonts w:hint="eastAsia" w:ascii="Times New Roman" w:hAnsi="Times New Roman" w:eastAsia="宋体" w:cs="Times New Roman"/>
          <w:color w:val="auto"/>
        </w:rPr>
        <w:t>半年度维护保养项目除符合表A-2要求时，还应符合表A-3的要求</w:t>
      </w:r>
    </w:p>
    <w:p w14:paraId="5E772CFE">
      <w:pPr>
        <w:rPr>
          <w:rFonts w:ascii="Times New Roman" w:hAnsi="Times New Roman" w:eastAsia="宋体" w:cs="Times New Roman"/>
          <w:bCs/>
          <w:color w:val="auto"/>
        </w:rPr>
      </w:pPr>
    </w:p>
    <w:p w14:paraId="0C94B3E0">
      <w:pPr>
        <w:rPr>
          <w:rFonts w:ascii="Times New Roman" w:hAnsi="Times New Roman" w:eastAsia="宋体" w:cs="Times New Roman"/>
          <w:b/>
          <w:color w:val="auto"/>
        </w:rPr>
      </w:pPr>
      <w:r>
        <w:rPr>
          <w:rFonts w:hint="eastAsia" w:ascii="Times New Roman" w:hAnsi="Times New Roman" w:eastAsia="宋体" w:cs="Times New Roman"/>
          <w:b/>
          <w:color w:val="auto"/>
        </w:rPr>
        <w:t>表A-3    半年度维保项目（内容）和要求</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7"/>
        <w:gridCol w:w="2513"/>
        <w:gridCol w:w="5243"/>
      </w:tblGrid>
      <w:tr w14:paraId="68F5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069D0046">
            <w:pPr>
              <w:jc w:val="center"/>
              <w:rPr>
                <w:rFonts w:ascii="Times New Roman" w:hAnsi="Times New Roman" w:eastAsia="宋体" w:cs="Times New Roman"/>
                <w:bCs/>
                <w:color w:val="auto"/>
              </w:rPr>
            </w:pPr>
            <w:r>
              <w:rPr>
                <w:rFonts w:hint="eastAsia" w:ascii="Times New Roman" w:hAnsi="Times New Roman" w:eastAsia="宋体" w:cs="Times New Roman"/>
                <w:bCs/>
                <w:color w:val="auto"/>
              </w:rPr>
              <w:t>序号</w:t>
            </w:r>
          </w:p>
        </w:tc>
        <w:tc>
          <w:tcPr>
            <w:tcW w:w="1511" w:type="pct"/>
            <w:noWrap w:val="0"/>
            <w:vAlign w:val="center"/>
          </w:tcPr>
          <w:p w14:paraId="7D2FD8F7">
            <w:pPr>
              <w:rPr>
                <w:rFonts w:ascii="Times New Roman" w:hAnsi="Times New Roman" w:eastAsia="宋体" w:cs="Times New Roman"/>
                <w:bCs/>
                <w:color w:val="auto"/>
              </w:rPr>
            </w:pPr>
            <w:r>
              <w:rPr>
                <w:rFonts w:hint="eastAsia" w:ascii="Times New Roman" w:hAnsi="Times New Roman" w:eastAsia="宋体" w:cs="Times New Roman"/>
                <w:bCs/>
                <w:color w:val="auto"/>
              </w:rPr>
              <w:t>维护保养项目（内容）</w:t>
            </w:r>
          </w:p>
        </w:tc>
        <w:tc>
          <w:tcPr>
            <w:tcW w:w="3152" w:type="pct"/>
            <w:noWrap w:val="0"/>
            <w:vAlign w:val="center"/>
          </w:tcPr>
          <w:p w14:paraId="44F96542">
            <w:pPr>
              <w:rPr>
                <w:rFonts w:ascii="Times New Roman" w:hAnsi="Times New Roman" w:eastAsia="宋体" w:cs="Times New Roman"/>
                <w:bCs/>
                <w:color w:val="auto"/>
              </w:rPr>
            </w:pPr>
            <w:r>
              <w:rPr>
                <w:rFonts w:hint="eastAsia" w:ascii="Times New Roman" w:hAnsi="Times New Roman" w:eastAsia="宋体" w:cs="Times New Roman"/>
                <w:bCs/>
                <w:color w:val="auto"/>
              </w:rPr>
              <w:t>维护保养基本要求</w:t>
            </w:r>
          </w:p>
        </w:tc>
      </w:tr>
      <w:tr w14:paraId="6E9F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67578EA4">
            <w:pPr>
              <w:jc w:val="center"/>
              <w:rPr>
                <w:rFonts w:ascii="Times New Roman" w:hAnsi="Times New Roman" w:eastAsia="宋体" w:cs="Times New Roman"/>
                <w:color w:val="auto"/>
              </w:rPr>
            </w:pPr>
            <w:r>
              <w:rPr>
                <w:rFonts w:hint="eastAsia" w:ascii="Times New Roman" w:hAnsi="Times New Roman" w:eastAsia="宋体" w:cs="Times New Roman"/>
                <w:color w:val="auto"/>
              </w:rPr>
              <w:t>1</w:t>
            </w:r>
          </w:p>
        </w:tc>
        <w:tc>
          <w:tcPr>
            <w:tcW w:w="1511" w:type="pct"/>
            <w:noWrap w:val="0"/>
            <w:vAlign w:val="center"/>
          </w:tcPr>
          <w:p w14:paraId="05FDB71C">
            <w:pPr>
              <w:rPr>
                <w:rFonts w:ascii="Times New Roman" w:hAnsi="Times New Roman" w:eastAsia="宋体" w:cs="Times New Roman"/>
                <w:color w:val="auto"/>
              </w:rPr>
            </w:pPr>
            <w:r>
              <w:rPr>
                <w:rFonts w:hint="eastAsia" w:ascii="Times New Roman" w:hAnsi="Times New Roman" w:eastAsia="宋体" w:cs="Times New Roman"/>
                <w:color w:val="auto"/>
              </w:rPr>
              <w:t>电动机与减速机联轴器螺栓</w:t>
            </w:r>
          </w:p>
        </w:tc>
        <w:tc>
          <w:tcPr>
            <w:tcW w:w="3152" w:type="pct"/>
            <w:noWrap w:val="0"/>
            <w:vAlign w:val="center"/>
          </w:tcPr>
          <w:p w14:paraId="372F19EF">
            <w:pPr>
              <w:rPr>
                <w:rFonts w:ascii="Times New Roman" w:hAnsi="Times New Roman" w:eastAsia="宋体" w:cs="Times New Roman"/>
                <w:color w:val="auto"/>
              </w:rPr>
            </w:pPr>
            <w:r>
              <w:rPr>
                <w:rFonts w:hint="eastAsia" w:ascii="Times New Roman" w:hAnsi="Times New Roman" w:eastAsia="宋体" w:cs="Times New Roman"/>
                <w:color w:val="auto"/>
              </w:rPr>
              <w:t>无松动，连接良好</w:t>
            </w:r>
          </w:p>
        </w:tc>
      </w:tr>
      <w:tr w14:paraId="287D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108A5986">
            <w:pPr>
              <w:jc w:val="center"/>
              <w:rPr>
                <w:rFonts w:ascii="Times New Roman" w:hAnsi="Times New Roman" w:eastAsia="宋体" w:cs="Times New Roman"/>
                <w:color w:val="auto"/>
              </w:rPr>
            </w:pPr>
            <w:r>
              <w:rPr>
                <w:rFonts w:hint="eastAsia" w:ascii="Times New Roman" w:hAnsi="Times New Roman" w:eastAsia="宋体" w:cs="Times New Roman"/>
                <w:color w:val="auto"/>
              </w:rPr>
              <w:t>2</w:t>
            </w:r>
          </w:p>
        </w:tc>
        <w:tc>
          <w:tcPr>
            <w:tcW w:w="1511" w:type="pct"/>
            <w:noWrap w:val="0"/>
            <w:vAlign w:val="center"/>
          </w:tcPr>
          <w:p w14:paraId="106BA90F">
            <w:pPr>
              <w:rPr>
                <w:rFonts w:ascii="Times New Roman" w:hAnsi="Times New Roman" w:eastAsia="宋体" w:cs="Times New Roman"/>
                <w:color w:val="auto"/>
              </w:rPr>
            </w:pPr>
            <w:r>
              <w:rPr>
                <w:rFonts w:hint="eastAsia" w:ascii="Times New Roman" w:hAnsi="Times New Roman" w:eastAsia="宋体" w:cs="Times New Roman"/>
                <w:color w:val="auto"/>
              </w:rPr>
              <w:t>曳引轮、导向轮轴承部</w:t>
            </w:r>
          </w:p>
        </w:tc>
        <w:tc>
          <w:tcPr>
            <w:tcW w:w="3152" w:type="pct"/>
            <w:noWrap w:val="0"/>
            <w:vAlign w:val="center"/>
          </w:tcPr>
          <w:p w14:paraId="1F2B0F1B">
            <w:pPr>
              <w:rPr>
                <w:rFonts w:ascii="Times New Roman" w:hAnsi="Times New Roman" w:eastAsia="宋体" w:cs="Times New Roman"/>
                <w:color w:val="auto"/>
              </w:rPr>
            </w:pPr>
            <w:r>
              <w:rPr>
                <w:rFonts w:hint="eastAsia" w:ascii="Times New Roman" w:hAnsi="Times New Roman" w:eastAsia="宋体" w:cs="Times New Roman"/>
                <w:color w:val="auto"/>
              </w:rPr>
              <w:t>无异常声，无振动，润滑良好</w:t>
            </w:r>
          </w:p>
        </w:tc>
      </w:tr>
      <w:tr w14:paraId="19A5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103ADAA0">
            <w:pPr>
              <w:jc w:val="center"/>
              <w:rPr>
                <w:rFonts w:ascii="Times New Roman" w:hAnsi="Times New Roman" w:eastAsia="宋体" w:cs="Times New Roman"/>
                <w:color w:val="auto"/>
              </w:rPr>
            </w:pPr>
            <w:r>
              <w:rPr>
                <w:rFonts w:hint="eastAsia" w:ascii="Times New Roman" w:hAnsi="Times New Roman" w:eastAsia="宋体" w:cs="Times New Roman"/>
                <w:color w:val="auto"/>
              </w:rPr>
              <w:t>3</w:t>
            </w:r>
          </w:p>
        </w:tc>
        <w:tc>
          <w:tcPr>
            <w:tcW w:w="1511" w:type="pct"/>
            <w:noWrap w:val="0"/>
            <w:vAlign w:val="center"/>
          </w:tcPr>
          <w:p w14:paraId="7C52A600">
            <w:pPr>
              <w:rPr>
                <w:rFonts w:ascii="Times New Roman" w:hAnsi="Times New Roman" w:eastAsia="宋体" w:cs="Times New Roman"/>
                <w:color w:val="auto"/>
              </w:rPr>
            </w:pPr>
            <w:r>
              <w:rPr>
                <w:rFonts w:hint="eastAsia" w:ascii="Times New Roman" w:hAnsi="Times New Roman" w:eastAsia="宋体" w:cs="Times New Roman"/>
                <w:color w:val="auto"/>
              </w:rPr>
              <w:t>曳引轮槽</w:t>
            </w:r>
          </w:p>
        </w:tc>
        <w:tc>
          <w:tcPr>
            <w:tcW w:w="3152" w:type="pct"/>
            <w:noWrap w:val="0"/>
            <w:vAlign w:val="center"/>
          </w:tcPr>
          <w:p w14:paraId="23E401FE">
            <w:pPr>
              <w:rPr>
                <w:rFonts w:ascii="Times New Roman" w:hAnsi="Times New Roman" w:eastAsia="宋体" w:cs="Times New Roman"/>
                <w:color w:val="auto"/>
              </w:rPr>
            </w:pPr>
            <w:r>
              <w:rPr>
                <w:rFonts w:hint="eastAsia" w:ascii="Times New Roman" w:hAnsi="Times New Roman" w:eastAsia="宋体" w:cs="Times New Roman"/>
                <w:color w:val="auto"/>
              </w:rPr>
              <w:t>磨损量不超过制造单位要求，无油腻，各绳槽磨损均匀</w:t>
            </w:r>
          </w:p>
        </w:tc>
      </w:tr>
      <w:tr w14:paraId="769C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7B9F5BEB">
            <w:pPr>
              <w:jc w:val="center"/>
              <w:rPr>
                <w:rFonts w:ascii="Times New Roman" w:hAnsi="Times New Roman" w:eastAsia="宋体" w:cs="Times New Roman"/>
                <w:color w:val="auto"/>
              </w:rPr>
            </w:pPr>
            <w:r>
              <w:rPr>
                <w:rFonts w:hint="eastAsia" w:ascii="Times New Roman" w:hAnsi="Times New Roman" w:eastAsia="宋体" w:cs="Times New Roman"/>
                <w:color w:val="auto"/>
              </w:rPr>
              <w:t>4</w:t>
            </w:r>
          </w:p>
        </w:tc>
        <w:tc>
          <w:tcPr>
            <w:tcW w:w="1511" w:type="pct"/>
            <w:noWrap w:val="0"/>
            <w:vAlign w:val="center"/>
          </w:tcPr>
          <w:p w14:paraId="6F20ADE0">
            <w:pPr>
              <w:rPr>
                <w:rFonts w:ascii="Times New Roman" w:hAnsi="Times New Roman" w:eastAsia="宋体" w:cs="Times New Roman"/>
                <w:color w:val="auto"/>
              </w:rPr>
            </w:pPr>
            <w:r>
              <w:rPr>
                <w:rFonts w:hint="eastAsia" w:ascii="Times New Roman" w:hAnsi="Times New Roman" w:eastAsia="宋体" w:cs="Times New Roman"/>
                <w:color w:val="auto"/>
              </w:rPr>
              <w:t>制动器上检测开关</w:t>
            </w:r>
          </w:p>
        </w:tc>
        <w:tc>
          <w:tcPr>
            <w:tcW w:w="3152" w:type="pct"/>
            <w:noWrap w:val="0"/>
            <w:vAlign w:val="center"/>
          </w:tcPr>
          <w:p w14:paraId="2F1B5288">
            <w:pPr>
              <w:rPr>
                <w:rFonts w:ascii="Times New Roman" w:hAnsi="Times New Roman" w:eastAsia="宋体" w:cs="Times New Roman"/>
                <w:color w:val="auto"/>
              </w:rPr>
            </w:pPr>
            <w:r>
              <w:rPr>
                <w:rFonts w:hint="eastAsia" w:ascii="Times New Roman" w:hAnsi="Times New Roman" w:eastAsia="宋体" w:cs="Times New Roman"/>
                <w:color w:val="auto"/>
              </w:rPr>
              <w:t>工作正常，制动器动作可靠</w:t>
            </w:r>
          </w:p>
        </w:tc>
      </w:tr>
      <w:tr w14:paraId="5F4F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15A90D36">
            <w:pPr>
              <w:jc w:val="center"/>
              <w:rPr>
                <w:rFonts w:ascii="Times New Roman" w:hAnsi="Times New Roman" w:eastAsia="宋体" w:cs="Times New Roman"/>
                <w:color w:val="auto"/>
              </w:rPr>
            </w:pPr>
            <w:r>
              <w:rPr>
                <w:rFonts w:hint="eastAsia" w:ascii="Times New Roman" w:hAnsi="Times New Roman" w:eastAsia="宋体" w:cs="Times New Roman"/>
                <w:color w:val="auto"/>
              </w:rPr>
              <w:t>5</w:t>
            </w:r>
          </w:p>
        </w:tc>
        <w:tc>
          <w:tcPr>
            <w:tcW w:w="1511" w:type="pct"/>
            <w:noWrap w:val="0"/>
            <w:vAlign w:val="center"/>
          </w:tcPr>
          <w:p w14:paraId="4EE09A2E">
            <w:pPr>
              <w:rPr>
                <w:rFonts w:ascii="Times New Roman" w:hAnsi="Times New Roman" w:eastAsia="宋体" w:cs="Times New Roman"/>
                <w:color w:val="auto"/>
              </w:rPr>
            </w:pPr>
            <w:r>
              <w:rPr>
                <w:rFonts w:hint="eastAsia" w:ascii="Times New Roman" w:hAnsi="Times New Roman" w:eastAsia="宋体" w:cs="Times New Roman"/>
                <w:color w:val="auto"/>
              </w:rPr>
              <w:t>控制柜内各接线端子</w:t>
            </w:r>
          </w:p>
        </w:tc>
        <w:tc>
          <w:tcPr>
            <w:tcW w:w="3152" w:type="pct"/>
            <w:noWrap w:val="0"/>
            <w:vAlign w:val="center"/>
          </w:tcPr>
          <w:p w14:paraId="30E8A4B1">
            <w:pPr>
              <w:rPr>
                <w:rFonts w:ascii="Times New Roman" w:hAnsi="Times New Roman" w:eastAsia="宋体" w:cs="Times New Roman"/>
                <w:color w:val="auto"/>
              </w:rPr>
            </w:pPr>
            <w:r>
              <w:rPr>
                <w:rFonts w:hint="eastAsia" w:ascii="Times New Roman" w:hAnsi="Times New Roman" w:eastAsia="宋体" w:cs="Times New Roman"/>
                <w:color w:val="auto"/>
              </w:rPr>
              <w:t>线号齐全清晰，布线整齐，各接线端子紧固，无积尘</w:t>
            </w:r>
          </w:p>
        </w:tc>
      </w:tr>
      <w:tr w14:paraId="61E6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26D8A629">
            <w:pPr>
              <w:jc w:val="center"/>
              <w:rPr>
                <w:rFonts w:ascii="Times New Roman" w:hAnsi="Times New Roman" w:eastAsia="宋体" w:cs="Times New Roman"/>
                <w:color w:val="auto"/>
              </w:rPr>
            </w:pPr>
            <w:r>
              <w:rPr>
                <w:rFonts w:hint="eastAsia" w:ascii="Times New Roman" w:hAnsi="Times New Roman" w:eastAsia="宋体" w:cs="Times New Roman"/>
                <w:color w:val="auto"/>
              </w:rPr>
              <w:t>6</w:t>
            </w:r>
          </w:p>
        </w:tc>
        <w:tc>
          <w:tcPr>
            <w:tcW w:w="1511" w:type="pct"/>
            <w:noWrap w:val="0"/>
            <w:vAlign w:val="center"/>
          </w:tcPr>
          <w:p w14:paraId="14E924EC">
            <w:pPr>
              <w:rPr>
                <w:rFonts w:ascii="Times New Roman" w:hAnsi="Times New Roman" w:eastAsia="宋体" w:cs="Times New Roman"/>
                <w:color w:val="auto"/>
              </w:rPr>
            </w:pPr>
            <w:r>
              <w:rPr>
                <w:rFonts w:hint="eastAsia" w:ascii="Times New Roman" w:hAnsi="Times New Roman" w:eastAsia="宋体" w:cs="Times New Roman"/>
                <w:color w:val="auto"/>
              </w:rPr>
              <w:t>控制柜各仪表</w:t>
            </w:r>
          </w:p>
        </w:tc>
        <w:tc>
          <w:tcPr>
            <w:tcW w:w="3152" w:type="pct"/>
            <w:noWrap w:val="0"/>
            <w:vAlign w:val="center"/>
          </w:tcPr>
          <w:p w14:paraId="7914E414">
            <w:pPr>
              <w:rPr>
                <w:rFonts w:ascii="Times New Roman" w:hAnsi="Times New Roman" w:eastAsia="宋体" w:cs="Times New Roman"/>
                <w:color w:val="auto"/>
              </w:rPr>
            </w:pPr>
            <w:r>
              <w:rPr>
                <w:rFonts w:hint="eastAsia" w:ascii="Times New Roman" w:hAnsi="Times New Roman" w:eastAsia="宋体" w:cs="Times New Roman"/>
                <w:color w:val="auto"/>
              </w:rPr>
              <w:t>显示正确</w:t>
            </w:r>
          </w:p>
        </w:tc>
      </w:tr>
      <w:tr w14:paraId="0D70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542BE7CC">
            <w:pPr>
              <w:jc w:val="center"/>
              <w:rPr>
                <w:rFonts w:ascii="Times New Roman" w:hAnsi="Times New Roman" w:eastAsia="宋体" w:cs="Times New Roman"/>
                <w:color w:val="auto"/>
              </w:rPr>
            </w:pPr>
            <w:r>
              <w:rPr>
                <w:rFonts w:hint="eastAsia" w:ascii="Times New Roman" w:hAnsi="Times New Roman" w:eastAsia="宋体" w:cs="Times New Roman"/>
                <w:color w:val="auto"/>
              </w:rPr>
              <w:t>7</w:t>
            </w:r>
          </w:p>
        </w:tc>
        <w:tc>
          <w:tcPr>
            <w:tcW w:w="1511" w:type="pct"/>
            <w:noWrap w:val="0"/>
            <w:vAlign w:val="center"/>
          </w:tcPr>
          <w:p w14:paraId="0DC0B6D0">
            <w:pPr>
              <w:rPr>
                <w:rFonts w:ascii="Times New Roman" w:hAnsi="Times New Roman" w:eastAsia="宋体" w:cs="Times New Roman"/>
                <w:color w:val="auto"/>
              </w:rPr>
            </w:pPr>
            <w:r>
              <w:rPr>
                <w:rFonts w:hint="eastAsia" w:ascii="Times New Roman" w:hAnsi="Times New Roman" w:eastAsia="宋体" w:cs="Times New Roman"/>
                <w:color w:val="auto"/>
              </w:rPr>
              <w:t>井道、对重、轿顶各反绳轮轴承部</w:t>
            </w:r>
          </w:p>
        </w:tc>
        <w:tc>
          <w:tcPr>
            <w:tcW w:w="3152" w:type="pct"/>
            <w:noWrap w:val="0"/>
            <w:vAlign w:val="center"/>
          </w:tcPr>
          <w:p w14:paraId="37342F51">
            <w:pPr>
              <w:rPr>
                <w:rFonts w:ascii="Times New Roman" w:hAnsi="Times New Roman" w:eastAsia="宋体" w:cs="Times New Roman"/>
                <w:color w:val="auto"/>
              </w:rPr>
            </w:pPr>
            <w:r>
              <w:rPr>
                <w:rFonts w:hint="eastAsia" w:ascii="Times New Roman" w:hAnsi="Times New Roman" w:eastAsia="宋体" w:cs="Times New Roman"/>
                <w:color w:val="auto"/>
              </w:rPr>
              <w:t>无异常声，无振动，润滑良好</w:t>
            </w:r>
          </w:p>
        </w:tc>
      </w:tr>
      <w:tr w14:paraId="4655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527C559F">
            <w:pPr>
              <w:jc w:val="center"/>
              <w:rPr>
                <w:rFonts w:ascii="Times New Roman" w:hAnsi="Times New Roman" w:eastAsia="宋体" w:cs="Times New Roman"/>
                <w:color w:val="auto"/>
              </w:rPr>
            </w:pPr>
            <w:r>
              <w:rPr>
                <w:rFonts w:hint="eastAsia" w:ascii="Times New Roman" w:hAnsi="Times New Roman" w:eastAsia="宋体" w:cs="Times New Roman"/>
                <w:color w:val="auto"/>
              </w:rPr>
              <w:t>8</w:t>
            </w:r>
          </w:p>
        </w:tc>
        <w:tc>
          <w:tcPr>
            <w:tcW w:w="1511" w:type="pct"/>
            <w:noWrap w:val="0"/>
            <w:vAlign w:val="center"/>
          </w:tcPr>
          <w:p w14:paraId="5795DC94">
            <w:pPr>
              <w:rPr>
                <w:rFonts w:ascii="Times New Roman" w:hAnsi="Times New Roman" w:eastAsia="宋体" w:cs="Times New Roman"/>
                <w:color w:val="auto"/>
              </w:rPr>
            </w:pPr>
            <w:r>
              <w:rPr>
                <w:rFonts w:hint="eastAsia" w:ascii="Times New Roman" w:hAnsi="Times New Roman" w:eastAsia="宋体" w:cs="Times New Roman"/>
                <w:color w:val="auto"/>
              </w:rPr>
              <w:t>曳引绳、补偿绳</w:t>
            </w:r>
          </w:p>
        </w:tc>
        <w:tc>
          <w:tcPr>
            <w:tcW w:w="3152" w:type="pct"/>
            <w:noWrap w:val="0"/>
            <w:vAlign w:val="center"/>
          </w:tcPr>
          <w:p w14:paraId="2E064D2B">
            <w:pPr>
              <w:rPr>
                <w:rFonts w:ascii="Times New Roman" w:hAnsi="Times New Roman" w:eastAsia="宋体" w:cs="Times New Roman"/>
                <w:color w:val="auto"/>
              </w:rPr>
            </w:pPr>
            <w:r>
              <w:rPr>
                <w:rFonts w:hint="eastAsia" w:ascii="Times New Roman" w:hAnsi="Times New Roman" w:eastAsia="宋体" w:cs="Times New Roman"/>
                <w:color w:val="auto"/>
              </w:rPr>
              <w:t>磨损量、断丝数不超过要求</w:t>
            </w:r>
          </w:p>
        </w:tc>
      </w:tr>
      <w:tr w14:paraId="6AAC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718F6F3D">
            <w:pPr>
              <w:jc w:val="center"/>
              <w:rPr>
                <w:rFonts w:ascii="Times New Roman" w:hAnsi="Times New Roman" w:eastAsia="宋体" w:cs="Times New Roman"/>
                <w:color w:val="auto"/>
              </w:rPr>
            </w:pPr>
            <w:r>
              <w:rPr>
                <w:rFonts w:hint="eastAsia" w:ascii="Times New Roman" w:hAnsi="Times New Roman" w:eastAsia="宋体" w:cs="Times New Roman"/>
                <w:color w:val="auto"/>
              </w:rPr>
              <w:t>9</w:t>
            </w:r>
          </w:p>
        </w:tc>
        <w:tc>
          <w:tcPr>
            <w:tcW w:w="1511" w:type="pct"/>
            <w:noWrap w:val="0"/>
            <w:vAlign w:val="center"/>
          </w:tcPr>
          <w:p w14:paraId="44CADF8A">
            <w:pPr>
              <w:rPr>
                <w:rFonts w:ascii="Times New Roman" w:hAnsi="Times New Roman" w:eastAsia="宋体" w:cs="Times New Roman"/>
                <w:color w:val="auto"/>
              </w:rPr>
            </w:pPr>
            <w:r>
              <w:rPr>
                <w:rFonts w:hint="eastAsia" w:ascii="Times New Roman" w:hAnsi="Times New Roman" w:eastAsia="宋体" w:cs="Times New Roman"/>
                <w:color w:val="auto"/>
              </w:rPr>
              <w:t>曳引绳绳头组合</w:t>
            </w:r>
          </w:p>
        </w:tc>
        <w:tc>
          <w:tcPr>
            <w:tcW w:w="3152" w:type="pct"/>
            <w:noWrap w:val="0"/>
            <w:vAlign w:val="center"/>
          </w:tcPr>
          <w:p w14:paraId="66F23B83">
            <w:pPr>
              <w:rPr>
                <w:rFonts w:ascii="Times New Roman" w:hAnsi="Times New Roman" w:eastAsia="宋体" w:cs="Times New Roman"/>
                <w:color w:val="auto"/>
              </w:rPr>
            </w:pPr>
            <w:r>
              <w:rPr>
                <w:rFonts w:hint="eastAsia" w:ascii="Times New Roman" w:hAnsi="Times New Roman" w:eastAsia="宋体" w:cs="Times New Roman"/>
                <w:color w:val="auto"/>
              </w:rPr>
              <w:t>螺母无松动</w:t>
            </w:r>
          </w:p>
        </w:tc>
      </w:tr>
      <w:tr w14:paraId="2643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366D0CAA">
            <w:pPr>
              <w:jc w:val="center"/>
              <w:rPr>
                <w:rFonts w:ascii="Times New Roman" w:hAnsi="Times New Roman" w:eastAsia="宋体" w:cs="Times New Roman"/>
                <w:color w:val="auto"/>
              </w:rPr>
            </w:pPr>
            <w:r>
              <w:rPr>
                <w:rFonts w:hint="eastAsia" w:ascii="Times New Roman" w:hAnsi="Times New Roman" w:eastAsia="宋体" w:cs="Times New Roman"/>
                <w:color w:val="auto"/>
              </w:rPr>
              <w:t>10</w:t>
            </w:r>
          </w:p>
        </w:tc>
        <w:tc>
          <w:tcPr>
            <w:tcW w:w="1511" w:type="pct"/>
            <w:noWrap w:val="0"/>
            <w:vAlign w:val="center"/>
          </w:tcPr>
          <w:p w14:paraId="64EDDA3B">
            <w:pPr>
              <w:rPr>
                <w:rFonts w:ascii="Times New Roman" w:hAnsi="Times New Roman" w:eastAsia="宋体" w:cs="Times New Roman"/>
                <w:color w:val="auto"/>
              </w:rPr>
            </w:pPr>
            <w:r>
              <w:rPr>
                <w:rFonts w:hint="eastAsia" w:ascii="Times New Roman" w:hAnsi="Times New Roman" w:eastAsia="宋体" w:cs="Times New Roman"/>
                <w:color w:val="auto"/>
              </w:rPr>
              <w:t>限速器钢丝绳</w:t>
            </w:r>
          </w:p>
        </w:tc>
        <w:tc>
          <w:tcPr>
            <w:tcW w:w="3152" w:type="pct"/>
            <w:noWrap w:val="0"/>
            <w:vAlign w:val="center"/>
          </w:tcPr>
          <w:p w14:paraId="178E555F">
            <w:pPr>
              <w:rPr>
                <w:rFonts w:ascii="Times New Roman" w:hAnsi="Times New Roman" w:eastAsia="宋体" w:cs="Times New Roman"/>
                <w:color w:val="auto"/>
              </w:rPr>
            </w:pPr>
            <w:r>
              <w:rPr>
                <w:rFonts w:hint="eastAsia" w:ascii="Times New Roman" w:hAnsi="Times New Roman" w:eastAsia="宋体" w:cs="Times New Roman"/>
                <w:color w:val="auto"/>
              </w:rPr>
              <w:t>磨损量、断丝数不超过制造单位要求</w:t>
            </w:r>
          </w:p>
        </w:tc>
      </w:tr>
      <w:tr w14:paraId="7976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594B403C">
            <w:pPr>
              <w:jc w:val="center"/>
              <w:rPr>
                <w:rFonts w:ascii="Times New Roman" w:hAnsi="Times New Roman" w:eastAsia="宋体" w:cs="Times New Roman"/>
                <w:color w:val="auto"/>
              </w:rPr>
            </w:pPr>
            <w:r>
              <w:rPr>
                <w:rFonts w:hint="eastAsia" w:ascii="Times New Roman" w:hAnsi="Times New Roman" w:eastAsia="宋体" w:cs="Times New Roman"/>
                <w:color w:val="auto"/>
              </w:rPr>
              <w:t>11</w:t>
            </w:r>
          </w:p>
        </w:tc>
        <w:tc>
          <w:tcPr>
            <w:tcW w:w="1511" w:type="pct"/>
            <w:noWrap w:val="0"/>
            <w:vAlign w:val="center"/>
          </w:tcPr>
          <w:p w14:paraId="11EEC921">
            <w:pPr>
              <w:rPr>
                <w:rFonts w:ascii="Times New Roman" w:hAnsi="Times New Roman" w:eastAsia="宋体" w:cs="Times New Roman"/>
                <w:color w:val="auto"/>
              </w:rPr>
            </w:pPr>
            <w:r>
              <w:rPr>
                <w:rFonts w:hint="eastAsia" w:ascii="Times New Roman" w:hAnsi="Times New Roman" w:eastAsia="宋体" w:cs="Times New Roman"/>
                <w:color w:val="auto"/>
              </w:rPr>
              <w:t>层门、轿门门扇</w:t>
            </w:r>
          </w:p>
        </w:tc>
        <w:tc>
          <w:tcPr>
            <w:tcW w:w="3152" w:type="pct"/>
            <w:noWrap w:val="0"/>
            <w:vAlign w:val="center"/>
          </w:tcPr>
          <w:p w14:paraId="049C0BF5">
            <w:pPr>
              <w:rPr>
                <w:rFonts w:ascii="Times New Roman" w:hAnsi="Times New Roman" w:eastAsia="宋体" w:cs="Times New Roman"/>
                <w:color w:val="auto"/>
              </w:rPr>
            </w:pPr>
            <w:r>
              <w:rPr>
                <w:rFonts w:hint="eastAsia" w:ascii="Times New Roman" w:hAnsi="Times New Roman" w:eastAsia="宋体" w:cs="Times New Roman"/>
                <w:color w:val="auto"/>
              </w:rPr>
              <w:t>门扇各相关间隙符合标准</w:t>
            </w:r>
          </w:p>
        </w:tc>
      </w:tr>
      <w:tr w14:paraId="5831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58FDEA20">
            <w:pPr>
              <w:jc w:val="center"/>
              <w:rPr>
                <w:rFonts w:ascii="Times New Roman" w:hAnsi="Times New Roman" w:eastAsia="宋体" w:cs="Times New Roman"/>
                <w:color w:val="auto"/>
              </w:rPr>
            </w:pPr>
            <w:r>
              <w:rPr>
                <w:rFonts w:hint="eastAsia" w:ascii="Times New Roman" w:hAnsi="Times New Roman" w:eastAsia="宋体" w:cs="Times New Roman"/>
                <w:color w:val="auto"/>
              </w:rPr>
              <w:t>12</w:t>
            </w:r>
          </w:p>
        </w:tc>
        <w:tc>
          <w:tcPr>
            <w:tcW w:w="1511" w:type="pct"/>
            <w:noWrap w:val="0"/>
            <w:vAlign w:val="center"/>
          </w:tcPr>
          <w:p w14:paraId="571F8DA2">
            <w:pPr>
              <w:rPr>
                <w:rFonts w:ascii="Times New Roman" w:hAnsi="Times New Roman" w:eastAsia="宋体" w:cs="Times New Roman"/>
                <w:color w:val="auto"/>
              </w:rPr>
            </w:pPr>
            <w:r>
              <w:rPr>
                <w:rFonts w:hint="eastAsia" w:ascii="Times New Roman" w:hAnsi="Times New Roman" w:eastAsia="宋体" w:cs="Times New Roman"/>
                <w:color w:val="auto"/>
              </w:rPr>
              <w:t>对重缓冲距</w:t>
            </w:r>
          </w:p>
        </w:tc>
        <w:tc>
          <w:tcPr>
            <w:tcW w:w="3152" w:type="pct"/>
            <w:noWrap w:val="0"/>
            <w:vAlign w:val="center"/>
          </w:tcPr>
          <w:p w14:paraId="73165ADB">
            <w:pPr>
              <w:rPr>
                <w:rFonts w:ascii="Times New Roman" w:hAnsi="Times New Roman" w:eastAsia="宋体" w:cs="Times New Roman"/>
                <w:color w:val="auto"/>
              </w:rPr>
            </w:pPr>
            <w:r>
              <w:rPr>
                <w:rFonts w:hint="eastAsia" w:ascii="Times New Roman" w:hAnsi="Times New Roman" w:eastAsia="宋体" w:cs="Times New Roman"/>
                <w:color w:val="auto"/>
              </w:rPr>
              <w:t xml:space="preserve">符合标准 </w:t>
            </w:r>
          </w:p>
        </w:tc>
      </w:tr>
      <w:tr w14:paraId="4FA2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352BD149">
            <w:pPr>
              <w:jc w:val="center"/>
              <w:rPr>
                <w:rFonts w:ascii="Times New Roman" w:hAnsi="Times New Roman" w:eastAsia="宋体" w:cs="Times New Roman"/>
                <w:color w:val="auto"/>
              </w:rPr>
            </w:pPr>
            <w:r>
              <w:rPr>
                <w:rFonts w:hint="eastAsia" w:ascii="Times New Roman" w:hAnsi="Times New Roman" w:eastAsia="宋体" w:cs="Times New Roman"/>
                <w:color w:val="auto"/>
              </w:rPr>
              <w:t>13</w:t>
            </w:r>
          </w:p>
        </w:tc>
        <w:tc>
          <w:tcPr>
            <w:tcW w:w="1511" w:type="pct"/>
            <w:noWrap w:val="0"/>
            <w:vAlign w:val="center"/>
          </w:tcPr>
          <w:p w14:paraId="7A60E01F">
            <w:pPr>
              <w:rPr>
                <w:rFonts w:ascii="Times New Roman" w:hAnsi="Times New Roman" w:eastAsia="宋体" w:cs="Times New Roman"/>
                <w:color w:val="auto"/>
              </w:rPr>
            </w:pPr>
            <w:r>
              <w:rPr>
                <w:rFonts w:hint="eastAsia" w:ascii="Times New Roman" w:hAnsi="Times New Roman" w:eastAsia="宋体" w:cs="Times New Roman"/>
                <w:color w:val="auto"/>
              </w:rPr>
              <w:t>补偿链（绳）与轿厢、对重接合处</w:t>
            </w:r>
          </w:p>
        </w:tc>
        <w:tc>
          <w:tcPr>
            <w:tcW w:w="3152" w:type="pct"/>
            <w:noWrap w:val="0"/>
            <w:vAlign w:val="center"/>
          </w:tcPr>
          <w:p w14:paraId="1FE1E715">
            <w:pPr>
              <w:rPr>
                <w:rFonts w:ascii="Times New Roman" w:hAnsi="Times New Roman" w:eastAsia="宋体" w:cs="Times New Roman"/>
                <w:color w:val="auto"/>
              </w:rPr>
            </w:pPr>
            <w:r>
              <w:rPr>
                <w:rFonts w:hint="eastAsia" w:ascii="Times New Roman" w:hAnsi="Times New Roman" w:eastAsia="宋体" w:cs="Times New Roman"/>
                <w:color w:val="auto"/>
              </w:rPr>
              <w:t>两端固定可靠无松动</w:t>
            </w:r>
          </w:p>
        </w:tc>
      </w:tr>
      <w:tr w14:paraId="2B6F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335" w:type="pct"/>
            <w:noWrap w:val="0"/>
            <w:vAlign w:val="center"/>
          </w:tcPr>
          <w:p w14:paraId="75E690FF">
            <w:pPr>
              <w:jc w:val="center"/>
              <w:rPr>
                <w:rFonts w:ascii="Times New Roman" w:hAnsi="Times New Roman" w:eastAsia="宋体" w:cs="Times New Roman"/>
                <w:color w:val="auto"/>
              </w:rPr>
            </w:pPr>
            <w:r>
              <w:rPr>
                <w:rFonts w:hint="eastAsia" w:ascii="Times New Roman" w:hAnsi="Times New Roman" w:eastAsia="宋体" w:cs="Times New Roman"/>
                <w:color w:val="auto"/>
              </w:rPr>
              <w:t>14</w:t>
            </w:r>
          </w:p>
        </w:tc>
        <w:tc>
          <w:tcPr>
            <w:tcW w:w="1511" w:type="pct"/>
            <w:noWrap w:val="0"/>
            <w:vAlign w:val="center"/>
          </w:tcPr>
          <w:p w14:paraId="4780275D">
            <w:pPr>
              <w:rPr>
                <w:rFonts w:ascii="Times New Roman" w:hAnsi="Times New Roman" w:eastAsia="宋体" w:cs="Times New Roman"/>
                <w:color w:val="auto"/>
              </w:rPr>
            </w:pPr>
            <w:r>
              <w:rPr>
                <w:rFonts w:hint="eastAsia" w:ascii="Times New Roman" w:hAnsi="Times New Roman" w:eastAsia="宋体" w:cs="Times New Roman"/>
                <w:color w:val="auto"/>
              </w:rPr>
              <w:t>上下极限开关</w:t>
            </w:r>
          </w:p>
        </w:tc>
        <w:tc>
          <w:tcPr>
            <w:tcW w:w="3152" w:type="pct"/>
            <w:noWrap w:val="0"/>
            <w:vAlign w:val="center"/>
          </w:tcPr>
          <w:p w14:paraId="6654CD4B">
            <w:pPr>
              <w:rPr>
                <w:rFonts w:ascii="Times New Roman" w:hAnsi="Times New Roman" w:eastAsia="宋体" w:cs="Times New Roman"/>
                <w:color w:val="auto"/>
              </w:rPr>
            </w:pPr>
            <w:r>
              <w:rPr>
                <w:rFonts w:hint="eastAsia" w:ascii="Times New Roman" w:hAnsi="Times New Roman" w:eastAsia="宋体" w:cs="Times New Roman"/>
                <w:color w:val="auto"/>
              </w:rPr>
              <w:t>工作正常</w:t>
            </w:r>
          </w:p>
        </w:tc>
      </w:tr>
    </w:tbl>
    <w:p w14:paraId="755D2B56">
      <w:pPr>
        <w:rPr>
          <w:rFonts w:ascii="Times New Roman" w:hAnsi="Times New Roman" w:eastAsia="宋体" w:cs="Times New Roman"/>
          <w:color w:val="auto"/>
        </w:rPr>
      </w:pPr>
      <w:r>
        <w:rPr>
          <w:rFonts w:hint="eastAsia" w:ascii="Times New Roman" w:hAnsi="Times New Roman" w:eastAsia="宋体" w:cs="Times New Roman"/>
          <w:color w:val="auto"/>
        </w:rPr>
        <w:t>年度维护保养项目除符合表A-3要求时，还应符合表A-4的要求</w:t>
      </w:r>
    </w:p>
    <w:p w14:paraId="071DF107">
      <w:pPr>
        <w:rPr>
          <w:rFonts w:ascii="Times New Roman" w:hAnsi="Times New Roman" w:eastAsia="宋体" w:cs="Times New Roman"/>
          <w:bCs/>
          <w:color w:val="auto"/>
        </w:rPr>
      </w:pPr>
    </w:p>
    <w:p w14:paraId="33D53E9C">
      <w:pPr>
        <w:rPr>
          <w:rFonts w:ascii="Times New Roman" w:hAnsi="Times New Roman" w:eastAsia="宋体" w:cs="Times New Roman"/>
          <w:b/>
          <w:color w:val="auto"/>
        </w:rPr>
      </w:pPr>
      <w:r>
        <w:rPr>
          <w:rFonts w:hint="eastAsia" w:ascii="Times New Roman" w:hAnsi="Times New Roman" w:eastAsia="宋体" w:cs="Times New Roman"/>
          <w:b/>
          <w:color w:val="auto"/>
        </w:rPr>
        <w:t>表A-4    年度维保项目（内容）和要求</w:t>
      </w:r>
    </w:p>
    <w:tbl>
      <w:tblPr>
        <w:tblStyle w:val="11"/>
        <w:tblW w:w="0" w:type="auto"/>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0"/>
        <w:gridCol w:w="2487"/>
        <w:gridCol w:w="5258"/>
      </w:tblGrid>
      <w:tr w14:paraId="1D06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noWrap w:val="0"/>
            <w:vAlign w:val="center"/>
          </w:tcPr>
          <w:p w14:paraId="117480A0">
            <w:pPr>
              <w:jc w:val="center"/>
              <w:rPr>
                <w:rFonts w:ascii="Times New Roman" w:hAnsi="Times New Roman" w:eastAsia="宋体" w:cs="Times New Roman"/>
                <w:bCs/>
                <w:color w:val="auto"/>
              </w:rPr>
            </w:pPr>
            <w:r>
              <w:rPr>
                <w:rFonts w:hint="eastAsia" w:ascii="Times New Roman" w:hAnsi="Times New Roman" w:eastAsia="宋体" w:cs="Times New Roman"/>
                <w:bCs/>
                <w:color w:val="auto"/>
              </w:rPr>
              <w:t>序号</w:t>
            </w:r>
          </w:p>
        </w:tc>
        <w:tc>
          <w:tcPr>
            <w:tcW w:w="2583" w:type="dxa"/>
            <w:noWrap w:val="0"/>
            <w:vAlign w:val="center"/>
          </w:tcPr>
          <w:p w14:paraId="4D778DB7">
            <w:pPr>
              <w:rPr>
                <w:rFonts w:ascii="Times New Roman" w:hAnsi="Times New Roman" w:eastAsia="宋体" w:cs="Times New Roman"/>
                <w:bCs/>
                <w:color w:val="auto"/>
              </w:rPr>
            </w:pPr>
            <w:r>
              <w:rPr>
                <w:rFonts w:hint="eastAsia" w:ascii="Times New Roman" w:hAnsi="Times New Roman" w:eastAsia="宋体" w:cs="Times New Roman"/>
                <w:bCs/>
                <w:color w:val="auto"/>
              </w:rPr>
              <w:t>维护保养项目（内容）</w:t>
            </w:r>
          </w:p>
        </w:tc>
        <w:tc>
          <w:tcPr>
            <w:tcW w:w="5481" w:type="dxa"/>
            <w:noWrap w:val="0"/>
            <w:vAlign w:val="center"/>
          </w:tcPr>
          <w:p w14:paraId="7D1D0C03">
            <w:pPr>
              <w:rPr>
                <w:rFonts w:ascii="Times New Roman" w:hAnsi="Times New Roman" w:eastAsia="宋体" w:cs="Times New Roman"/>
                <w:bCs/>
                <w:color w:val="auto"/>
              </w:rPr>
            </w:pPr>
            <w:r>
              <w:rPr>
                <w:rFonts w:hint="eastAsia" w:ascii="Times New Roman" w:hAnsi="Times New Roman" w:eastAsia="宋体" w:cs="Times New Roman"/>
                <w:bCs/>
                <w:color w:val="auto"/>
              </w:rPr>
              <w:t>维护保养基本要求</w:t>
            </w:r>
          </w:p>
        </w:tc>
      </w:tr>
      <w:tr w14:paraId="2463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noWrap w:val="0"/>
            <w:vAlign w:val="center"/>
          </w:tcPr>
          <w:p w14:paraId="74AC4C5C">
            <w:pPr>
              <w:jc w:val="center"/>
              <w:rPr>
                <w:rFonts w:ascii="Times New Roman" w:hAnsi="Times New Roman" w:eastAsia="宋体" w:cs="Times New Roman"/>
                <w:color w:val="auto"/>
              </w:rPr>
            </w:pPr>
            <w:r>
              <w:rPr>
                <w:rFonts w:hint="eastAsia" w:ascii="Times New Roman" w:hAnsi="Times New Roman" w:eastAsia="宋体" w:cs="Times New Roman"/>
                <w:color w:val="auto"/>
              </w:rPr>
              <w:t>1</w:t>
            </w:r>
          </w:p>
        </w:tc>
        <w:tc>
          <w:tcPr>
            <w:tcW w:w="2583" w:type="dxa"/>
            <w:noWrap w:val="0"/>
            <w:vAlign w:val="center"/>
          </w:tcPr>
          <w:p w14:paraId="71F2A4FF">
            <w:pPr>
              <w:rPr>
                <w:rFonts w:ascii="Times New Roman" w:hAnsi="Times New Roman" w:eastAsia="宋体" w:cs="Times New Roman"/>
                <w:color w:val="auto"/>
              </w:rPr>
            </w:pPr>
            <w:r>
              <w:rPr>
                <w:rFonts w:hint="eastAsia" w:ascii="Times New Roman" w:hAnsi="Times New Roman" w:eastAsia="宋体" w:cs="Times New Roman"/>
                <w:color w:val="auto"/>
              </w:rPr>
              <w:t>减速机润滑油</w:t>
            </w:r>
          </w:p>
        </w:tc>
        <w:tc>
          <w:tcPr>
            <w:tcW w:w="5481" w:type="dxa"/>
            <w:noWrap w:val="0"/>
            <w:vAlign w:val="center"/>
          </w:tcPr>
          <w:p w14:paraId="4DFA9DC0">
            <w:pPr>
              <w:rPr>
                <w:rFonts w:ascii="Times New Roman" w:hAnsi="Times New Roman" w:eastAsia="宋体" w:cs="Times New Roman"/>
                <w:color w:val="auto"/>
              </w:rPr>
            </w:pPr>
            <w:r>
              <w:rPr>
                <w:rFonts w:hint="eastAsia" w:ascii="Times New Roman" w:hAnsi="Times New Roman" w:eastAsia="宋体" w:cs="Times New Roman"/>
                <w:color w:val="auto"/>
              </w:rPr>
              <w:t>按照制造单位要求适时更换，保证油质符合要求</w:t>
            </w:r>
          </w:p>
        </w:tc>
      </w:tr>
      <w:tr w14:paraId="4196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noWrap w:val="0"/>
            <w:vAlign w:val="center"/>
          </w:tcPr>
          <w:p w14:paraId="12383675">
            <w:pPr>
              <w:jc w:val="center"/>
              <w:rPr>
                <w:rFonts w:ascii="Times New Roman" w:hAnsi="Times New Roman" w:eastAsia="宋体" w:cs="Times New Roman"/>
                <w:color w:val="auto"/>
              </w:rPr>
            </w:pPr>
            <w:r>
              <w:rPr>
                <w:rFonts w:hint="eastAsia" w:ascii="Times New Roman" w:hAnsi="Times New Roman" w:eastAsia="宋体" w:cs="Times New Roman"/>
                <w:color w:val="auto"/>
              </w:rPr>
              <w:t>2</w:t>
            </w:r>
          </w:p>
        </w:tc>
        <w:tc>
          <w:tcPr>
            <w:tcW w:w="2583" w:type="dxa"/>
            <w:noWrap w:val="0"/>
            <w:vAlign w:val="center"/>
          </w:tcPr>
          <w:p w14:paraId="60AE31F5">
            <w:pPr>
              <w:rPr>
                <w:rFonts w:ascii="Times New Roman" w:hAnsi="Times New Roman" w:eastAsia="宋体" w:cs="Times New Roman"/>
                <w:color w:val="auto"/>
              </w:rPr>
            </w:pPr>
            <w:r>
              <w:rPr>
                <w:rFonts w:hint="eastAsia" w:ascii="Times New Roman" w:hAnsi="Times New Roman" w:eastAsia="宋体" w:cs="Times New Roman"/>
                <w:color w:val="auto"/>
              </w:rPr>
              <w:t>控制柜接触器、继电器触点</w:t>
            </w:r>
          </w:p>
        </w:tc>
        <w:tc>
          <w:tcPr>
            <w:tcW w:w="5481" w:type="dxa"/>
            <w:noWrap w:val="0"/>
            <w:vAlign w:val="center"/>
          </w:tcPr>
          <w:p w14:paraId="4B2D7ADB">
            <w:pPr>
              <w:rPr>
                <w:rFonts w:ascii="Times New Roman" w:hAnsi="Times New Roman" w:eastAsia="宋体" w:cs="Times New Roman"/>
                <w:color w:val="auto"/>
              </w:rPr>
            </w:pPr>
            <w:r>
              <w:rPr>
                <w:rFonts w:hint="eastAsia" w:ascii="Times New Roman" w:hAnsi="Times New Roman" w:eastAsia="宋体" w:cs="Times New Roman"/>
                <w:color w:val="auto"/>
              </w:rPr>
              <w:t>接触良好，接触器、继电器固定可靠、工作正常</w:t>
            </w:r>
          </w:p>
        </w:tc>
      </w:tr>
      <w:tr w14:paraId="117E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noWrap w:val="0"/>
            <w:vAlign w:val="center"/>
          </w:tcPr>
          <w:p w14:paraId="4E8EE6C4">
            <w:pPr>
              <w:jc w:val="center"/>
              <w:rPr>
                <w:rFonts w:ascii="Times New Roman" w:hAnsi="Times New Roman" w:eastAsia="宋体" w:cs="Times New Roman"/>
                <w:color w:val="auto"/>
              </w:rPr>
            </w:pPr>
            <w:r>
              <w:rPr>
                <w:rFonts w:hint="eastAsia" w:ascii="Times New Roman" w:hAnsi="Times New Roman" w:eastAsia="宋体" w:cs="Times New Roman"/>
                <w:color w:val="auto"/>
              </w:rPr>
              <w:t>3</w:t>
            </w:r>
          </w:p>
        </w:tc>
        <w:tc>
          <w:tcPr>
            <w:tcW w:w="2583" w:type="dxa"/>
            <w:noWrap w:val="0"/>
            <w:vAlign w:val="center"/>
          </w:tcPr>
          <w:p w14:paraId="6988AFA3">
            <w:pPr>
              <w:rPr>
                <w:rFonts w:ascii="Times New Roman" w:hAnsi="Times New Roman" w:eastAsia="宋体" w:cs="Times New Roman"/>
                <w:color w:val="auto"/>
              </w:rPr>
            </w:pPr>
            <w:r>
              <w:rPr>
                <w:rFonts w:hint="eastAsia" w:ascii="Times New Roman" w:hAnsi="Times New Roman" w:eastAsia="宋体" w:cs="Times New Roman"/>
                <w:color w:val="auto"/>
              </w:rPr>
              <w:t>制动器铁芯（柱塞）</w:t>
            </w:r>
          </w:p>
        </w:tc>
        <w:tc>
          <w:tcPr>
            <w:tcW w:w="5481" w:type="dxa"/>
            <w:noWrap w:val="0"/>
            <w:vAlign w:val="center"/>
          </w:tcPr>
          <w:p w14:paraId="27E80E91">
            <w:pPr>
              <w:rPr>
                <w:rFonts w:ascii="Times New Roman" w:hAnsi="Times New Roman" w:eastAsia="宋体" w:cs="Times New Roman"/>
                <w:color w:val="auto"/>
              </w:rPr>
            </w:pPr>
            <w:r>
              <w:rPr>
                <w:rFonts w:hint="eastAsia" w:ascii="Times New Roman" w:hAnsi="Times New Roman" w:eastAsia="宋体" w:cs="Times New Roman"/>
                <w:color w:val="auto"/>
              </w:rPr>
              <w:t>铁芯表面清洁，磨损量不超过制造单位要求；各运动部件选用规定润滑剂润滑</w:t>
            </w:r>
          </w:p>
        </w:tc>
      </w:tr>
      <w:tr w14:paraId="074C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noWrap w:val="0"/>
            <w:vAlign w:val="center"/>
          </w:tcPr>
          <w:p w14:paraId="42AE66F2">
            <w:pPr>
              <w:jc w:val="center"/>
              <w:rPr>
                <w:rFonts w:ascii="Times New Roman" w:hAnsi="Times New Roman" w:eastAsia="宋体" w:cs="Times New Roman"/>
                <w:bCs/>
                <w:color w:val="auto"/>
              </w:rPr>
            </w:pPr>
            <w:r>
              <w:rPr>
                <w:rFonts w:hint="eastAsia" w:ascii="Times New Roman" w:hAnsi="Times New Roman" w:eastAsia="宋体" w:cs="Times New Roman"/>
                <w:bCs/>
                <w:color w:val="auto"/>
              </w:rPr>
              <w:t>序号</w:t>
            </w:r>
          </w:p>
        </w:tc>
        <w:tc>
          <w:tcPr>
            <w:tcW w:w="2583" w:type="dxa"/>
            <w:noWrap w:val="0"/>
            <w:vAlign w:val="center"/>
          </w:tcPr>
          <w:p w14:paraId="5C8FE195">
            <w:pPr>
              <w:rPr>
                <w:rFonts w:ascii="Times New Roman" w:hAnsi="Times New Roman" w:eastAsia="宋体" w:cs="Times New Roman"/>
                <w:bCs/>
                <w:color w:val="auto"/>
              </w:rPr>
            </w:pPr>
            <w:r>
              <w:rPr>
                <w:rFonts w:hint="eastAsia" w:ascii="Times New Roman" w:hAnsi="Times New Roman" w:eastAsia="宋体" w:cs="Times New Roman"/>
                <w:bCs/>
                <w:color w:val="auto"/>
              </w:rPr>
              <w:t>维护保养项目（内容）</w:t>
            </w:r>
          </w:p>
        </w:tc>
        <w:tc>
          <w:tcPr>
            <w:tcW w:w="5481" w:type="dxa"/>
            <w:noWrap w:val="0"/>
            <w:vAlign w:val="center"/>
          </w:tcPr>
          <w:p w14:paraId="2C985454">
            <w:pPr>
              <w:rPr>
                <w:rFonts w:ascii="Times New Roman" w:hAnsi="Times New Roman" w:eastAsia="宋体" w:cs="Times New Roman"/>
                <w:bCs/>
                <w:color w:val="auto"/>
              </w:rPr>
            </w:pPr>
            <w:r>
              <w:rPr>
                <w:rFonts w:hint="eastAsia" w:ascii="Times New Roman" w:hAnsi="Times New Roman" w:eastAsia="宋体" w:cs="Times New Roman"/>
                <w:bCs/>
                <w:color w:val="auto"/>
              </w:rPr>
              <w:t>维护保养基本要求</w:t>
            </w:r>
          </w:p>
        </w:tc>
      </w:tr>
      <w:tr w14:paraId="27F3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noWrap w:val="0"/>
            <w:vAlign w:val="center"/>
          </w:tcPr>
          <w:p w14:paraId="3AD88EFD">
            <w:pPr>
              <w:jc w:val="center"/>
              <w:rPr>
                <w:rFonts w:ascii="Times New Roman" w:hAnsi="Times New Roman" w:eastAsia="宋体" w:cs="Times New Roman"/>
                <w:color w:val="auto"/>
              </w:rPr>
            </w:pPr>
            <w:r>
              <w:rPr>
                <w:rFonts w:hint="eastAsia" w:ascii="Times New Roman" w:hAnsi="Times New Roman" w:eastAsia="宋体" w:cs="Times New Roman"/>
                <w:color w:val="auto"/>
              </w:rPr>
              <w:t>4</w:t>
            </w:r>
          </w:p>
        </w:tc>
        <w:tc>
          <w:tcPr>
            <w:tcW w:w="2583" w:type="dxa"/>
            <w:noWrap w:val="0"/>
            <w:vAlign w:val="center"/>
          </w:tcPr>
          <w:p w14:paraId="44F8F238">
            <w:pPr>
              <w:rPr>
                <w:rFonts w:ascii="Times New Roman" w:hAnsi="Times New Roman" w:eastAsia="宋体" w:cs="Times New Roman"/>
                <w:color w:val="auto"/>
              </w:rPr>
            </w:pPr>
            <w:r>
              <w:rPr>
                <w:rFonts w:hint="eastAsia" w:ascii="Times New Roman" w:hAnsi="Times New Roman" w:eastAsia="宋体" w:cs="Times New Roman"/>
                <w:color w:val="auto"/>
              </w:rPr>
              <w:t>制动器制动弹簧压缩量</w:t>
            </w:r>
          </w:p>
        </w:tc>
        <w:tc>
          <w:tcPr>
            <w:tcW w:w="5481" w:type="dxa"/>
            <w:noWrap w:val="0"/>
            <w:vAlign w:val="center"/>
          </w:tcPr>
          <w:p w14:paraId="67BA62D3">
            <w:pPr>
              <w:rPr>
                <w:rFonts w:ascii="Times New Roman" w:hAnsi="Times New Roman" w:eastAsia="宋体" w:cs="Times New Roman"/>
                <w:color w:val="auto"/>
              </w:rPr>
            </w:pPr>
            <w:r>
              <w:rPr>
                <w:rFonts w:hint="eastAsia" w:ascii="Times New Roman" w:hAnsi="Times New Roman" w:eastAsia="宋体" w:cs="Times New Roman"/>
                <w:color w:val="auto"/>
              </w:rPr>
              <w:t>符合制造单位要求，保持有足够的制动力</w:t>
            </w:r>
          </w:p>
        </w:tc>
      </w:tr>
      <w:tr w14:paraId="0BFE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noWrap w:val="0"/>
            <w:vAlign w:val="center"/>
          </w:tcPr>
          <w:p w14:paraId="4B91A386">
            <w:pPr>
              <w:jc w:val="center"/>
              <w:rPr>
                <w:rFonts w:ascii="Times New Roman" w:hAnsi="Times New Roman" w:eastAsia="宋体" w:cs="Times New Roman"/>
                <w:color w:val="auto"/>
              </w:rPr>
            </w:pPr>
            <w:r>
              <w:rPr>
                <w:rFonts w:hint="eastAsia" w:ascii="Times New Roman" w:hAnsi="Times New Roman" w:eastAsia="宋体" w:cs="Times New Roman"/>
                <w:color w:val="auto"/>
              </w:rPr>
              <w:t>5</w:t>
            </w:r>
          </w:p>
        </w:tc>
        <w:tc>
          <w:tcPr>
            <w:tcW w:w="2583" w:type="dxa"/>
            <w:noWrap w:val="0"/>
            <w:vAlign w:val="center"/>
          </w:tcPr>
          <w:p w14:paraId="1E0FA124">
            <w:pPr>
              <w:rPr>
                <w:rFonts w:ascii="Times New Roman" w:hAnsi="Times New Roman" w:eastAsia="宋体" w:cs="Times New Roman"/>
                <w:color w:val="auto"/>
              </w:rPr>
            </w:pPr>
            <w:r>
              <w:rPr>
                <w:rFonts w:hint="eastAsia" w:ascii="Times New Roman" w:hAnsi="Times New Roman" w:eastAsia="宋体" w:cs="Times New Roman"/>
                <w:color w:val="auto"/>
              </w:rPr>
              <w:t>导电回路绝缘性能测试</w:t>
            </w:r>
          </w:p>
        </w:tc>
        <w:tc>
          <w:tcPr>
            <w:tcW w:w="5481" w:type="dxa"/>
            <w:noWrap w:val="0"/>
            <w:vAlign w:val="center"/>
          </w:tcPr>
          <w:p w14:paraId="64E3FC4B">
            <w:pPr>
              <w:rPr>
                <w:rFonts w:ascii="Times New Roman" w:hAnsi="Times New Roman" w:eastAsia="宋体" w:cs="Times New Roman"/>
                <w:color w:val="auto"/>
              </w:rPr>
            </w:pPr>
            <w:r>
              <w:rPr>
                <w:rFonts w:hint="eastAsia" w:ascii="Times New Roman" w:hAnsi="Times New Roman" w:eastAsia="宋体" w:cs="Times New Roman"/>
                <w:color w:val="auto"/>
              </w:rPr>
              <w:t>动力电路和电气安全装置电路不小于0.5MΩ；照明电路和其他电路不小于0.25 MΩ</w:t>
            </w:r>
          </w:p>
        </w:tc>
      </w:tr>
      <w:tr w14:paraId="04C8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noWrap w:val="0"/>
            <w:vAlign w:val="center"/>
          </w:tcPr>
          <w:p w14:paraId="37D8DE00">
            <w:pPr>
              <w:jc w:val="center"/>
              <w:rPr>
                <w:rFonts w:ascii="Times New Roman" w:hAnsi="Times New Roman" w:eastAsia="宋体" w:cs="Times New Roman"/>
                <w:color w:val="auto"/>
              </w:rPr>
            </w:pPr>
            <w:r>
              <w:rPr>
                <w:rFonts w:hint="eastAsia" w:ascii="Times New Roman" w:hAnsi="Times New Roman" w:eastAsia="宋体" w:cs="Times New Roman"/>
                <w:color w:val="auto"/>
              </w:rPr>
              <w:t>6</w:t>
            </w:r>
          </w:p>
        </w:tc>
        <w:tc>
          <w:tcPr>
            <w:tcW w:w="2583" w:type="dxa"/>
            <w:noWrap w:val="0"/>
            <w:vAlign w:val="center"/>
          </w:tcPr>
          <w:p w14:paraId="54DC9D96">
            <w:pPr>
              <w:rPr>
                <w:rFonts w:ascii="Times New Roman" w:hAnsi="Times New Roman" w:eastAsia="宋体" w:cs="Times New Roman"/>
                <w:color w:val="auto"/>
              </w:rPr>
            </w:pPr>
            <w:r>
              <w:rPr>
                <w:rFonts w:hint="eastAsia" w:ascii="Times New Roman" w:hAnsi="Times New Roman" w:eastAsia="宋体" w:cs="Times New Roman"/>
                <w:color w:val="auto"/>
              </w:rPr>
              <w:t>限速器安全钳联动试验</w:t>
            </w:r>
          </w:p>
        </w:tc>
        <w:tc>
          <w:tcPr>
            <w:tcW w:w="5481" w:type="dxa"/>
            <w:noWrap w:val="0"/>
            <w:vAlign w:val="center"/>
          </w:tcPr>
          <w:p w14:paraId="62D1BA3A">
            <w:pPr>
              <w:rPr>
                <w:rFonts w:ascii="Times New Roman" w:hAnsi="Times New Roman" w:eastAsia="宋体" w:cs="Times New Roman"/>
                <w:color w:val="auto"/>
              </w:rPr>
            </w:pPr>
            <w:r>
              <w:rPr>
                <w:rFonts w:hint="eastAsia" w:ascii="Times New Roman" w:hAnsi="Times New Roman" w:eastAsia="宋体" w:cs="Times New Roman"/>
                <w:color w:val="auto"/>
              </w:rPr>
              <w:t>工作正常（每2年进行一次限速器动作速度校验）</w:t>
            </w:r>
          </w:p>
        </w:tc>
      </w:tr>
      <w:tr w14:paraId="27F5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noWrap w:val="0"/>
            <w:vAlign w:val="center"/>
          </w:tcPr>
          <w:p w14:paraId="2E822AA9">
            <w:pPr>
              <w:jc w:val="center"/>
              <w:rPr>
                <w:rFonts w:ascii="Times New Roman" w:hAnsi="Times New Roman" w:eastAsia="宋体" w:cs="Times New Roman"/>
                <w:color w:val="auto"/>
              </w:rPr>
            </w:pPr>
            <w:r>
              <w:rPr>
                <w:rFonts w:hint="eastAsia" w:ascii="Times New Roman" w:hAnsi="Times New Roman" w:eastAsia="宋体" w:cs="Times New Roman"/>
                <w:color w:val="auto"/>
              </w:rPr>
              <w:t>7</w:t>
            </w:r>
          </w:p>
        </w:tc>
        <w:tc>
          <w:tcPr>
            <w:tcW w:w="2583" w:type="dxa"/>
            <w:noWrap w:val="0"/>
            <w:vAlign w:val="center"/>
          </w:tcPr>
          <w:p w14:paraId="73A6B87B">
            <w:pPr>
              <w:rPr>
                <w:rFonts w:ascii="Times New Roman" w:hAnsi="Times New Roman" w:eastAsia="宋体" w:cs="Times New Roman"/>
                <w:color w:val="auto"/>
              </w:rPr>
            </w:pPr>
            <w:r>
              <w:rPr>
                <w:rFonts w:hint="eastAsia" w:ascii="Times New Roman" w:hAnsi="Times New Roman" w:eastAsia="宋体" w:cs="Times New Roman"/>
                <w:color w:val="auto"/>
              </w:rPr>
              <w:t>上行超速保护装置动作试验</w:t>
            </w:r>
          </w:p>
        </w:tc>
        <w:tc>
          <w:tcPr>
            <w:tcW w:w="5481" w:type="dxa"/>
            <w:noWrap w:val="0"/>
            <w:vAlign w:val="center"/>
          </w:tcPr>
          <w:p w14:paraId="315D9A0B">
            <w:pPr>
              <w:rPr>
                <w:rFonts w:ascii="Times New Roman" w:hAnsi="Times New Roman" w:eastAsia="宋体" w:cs="Times New Roman"/>
                <w:color w:val="auto"/>
              </w:rPr>
            </w:pPr>
            <w:r>
              <w:rPr>
                <w:rFonts w:hint="eastAsia" w:ascii="Times New Roman" w:hAnsi="Times New Roman" w:eastAsia="宋体" w:cs="Times New Roman"/>
                <w:color w:val="auto"/>
              </w:rPr>
              <w:t>工作正常，速度监控部件和制动减速部件完好，速度监控部件能在检测出上行轿厢的速度失控时操纵制动减速元件动作</w:t>
            </w:r>
          </w:p>
        </w:tc>
      </w:tr>
      <w:tr w14:paraId="1009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noWrap w:val="0"/>
            <w:vAlign w:val="center"/>
          </w:tcPr>
          <w:p w14:paraId="3C952697">
            <w:pPr>
              <w:jc w:val="center"/>
              <w:rPr>
                <w:rFonts w:ascii="Times New Roman" w:hAnsi="Times New Roman" w:eastAsia="宋体" w:cs="Times New Roman"/>
                <w:color w:val="auto"/>
              </w:rPr>
            </w:pPr>
            <w:r>
              <w:rPr>
                <w:rFonts w:hint="eastAsia" w:ascii="Times New Roman" w:hAnsi="Times New Roman" w:eastAsia="宋体" w:cs="Times New Roman"/>
                <w:color w:val="auto"/>
              </w:rPr>
              <w:t>8</w:t>
            </w:r>
          </w:p>
        </w:tc>
        <w:tc>
          <w:tcPr>
            <w:tcW w:w="2583" w:type="dxa"/>
            <w:noWrap w:val="0"/>
            <w:vAlign w:val="center"/>
          </w:tcPr>
          <w:p w14:paraId="21DB0B06">
            <w:pPr>
              <w:rPr>
                <w:rFonts w:ascii="Times New Roman" w:hAnsi="Times New Roman" w:eastAsia="宋体" w:cs="Times New Roman"/>
                <w:color w:val="auto"/>
              </w:rPr>
            </w:pPr>
            <w:r>
              <w:rPr>
                <w:rFonts w:hint="eastAsia" w:ascii="Times New Roman" w:hAnsi="Times New Roman" w:eastAsia="宋体" w:cs="Times New Roman"/>
                <w:color w:val="auto"/>
              </w:rPr>
              <w:t>轿顶、轿厢架、轿门</w:t>
            </w:r>
          </w:p>
          <w:p w14:paraId="2B6901E9">
            <w:pPr>
              <w:rPr>
                <w:rFonts w:ascii="Times New Roman" w:hAnsi="Times New Roman" w:eastAsia="宋体" w:cs="Times New Roman"/>
                <w:color w:val="auto"/>
              </w:rPr>
            </w:pPr>
            <w:r>
              <w:rPr>
                <w:rFonts w:hint="eastAsia" w:ascii="Times New Roman" w:hAnsi="Times New Roman" w:eastAsia="宋体" w:cs="Times New Roman"/>
                <w:color w:val="auto"/>
              </w:rPr>
              <w:t>及其附件的螺栓</w:t>
            </w:r>
          </w:p>
        </w:tc>
        <w:tc>
          <w:tcPr>
            <w:tcW w:w="5481" w:type="dxa"/>
            <w:noWrap w:val="0"/>
            <w:vAlign w:val="center"/>
          </w:tcPr>
          <w:p w14:paraId="45F1D2D9">
            <w:pPr>
              <w:rPr>
                <w:rFonts w:ascii="Times New Roman" w:hAnsi="Times New Roman" w:eastAsia="宋体" w:cs="Times New Roman"/>
                <w:color w:val="auto"/>
              </w:rPr>
            </w:pPr>
            <w:r>
              <w:rPr>
                <w:rFonts w:hint="eastAsia" w:ascii="Times New Roman" w:hAnsi="Times New Roman" w:eastAsia="宋体" w:cs="Times New Roman"/>
                <w:color w:val="auto"/>
              </w:rPr>
              <w:t>固定螺栓齐全牢固，无松动</w:t>
            </w:r>
          </w:p>
        </w:tc>
      </w:tr>
      <w:tr w14:paraId="396D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noWrap w:val="0"/>
            <w:vAlign w:val="center"/>
          </w:tcPr>
          <w:p w14:paraId="64794AC2">
            <w:pPr>
              <w:jc w:val="center"/>
              <w:rPr>
                <w:rFonts w:ascii="Times New Roman" w:hAnsi="Times New Roman" w:eastAsia="宋体" w:cs="Times New Roman"/>
                <w:color w:val="auto"/>
              </w:rPr>
            </w:pPr>
            <w:r>
              <w:rPr>
                <w:rFonts w:hint="eastAsia" w:ascii="Times New Roman" w:hAnsi="Times New Roman" w:eastAsia="宋体" w:cs="Times New Roman"/>
                <w:color w:val="auto"/>
              </w:rPr>
              <w:t>9</w:t>
            </w:r>
          </w:p>
        </w:tc>
        <w:tc>
          <w:tcPr>
            <w:tcW w:w="2583" w:type="dxa"/>
            <w:noWrap w:val="0"/>
            <w:vAlign w:val="center"/>
          </w:tcPr>
          <w:p w14:paraId="04753F29">
            <w:pPr>
              <w:rPr>
                <w:rFonts w:ascii="Times New Roman" w:hAnsi="Times New Roman" w:eastAsia="宋体" w:cs="Times New Roman"/>
                <w:color w:val="auto"/>
              </w:rPr>
            </w:pPr>
            <w:r>
              <w:rPr>
                <w:rFonts w:hint="eastAsia" w:ascii="Times New Roman" w:hAnsi="Times New Roman" w:eastAsia="宋体" w:cs="Times New Roman"/>
                <w:color w:val="auto"/>
              </w:rPr>
              <w:t>轿厢和对重的导轨支架</w:t>
            </w:r>
          </w:p>
        </w:tc>
        <w:tc>
          <w:tcPr>
            <w:tcW w:w="5481" w:type="dxa"/>
            <w:noWrap w:val="0"/>
            <w:vAlign w:val="center"/>
          </w:tcPr>
          <w:p w14:paraId="02A7E1C8">
            <w:pPr>
              <w:rPr>
                <w:rFonts w:ascii="Times New Roman" w:hAnsi="Times New Roman" w:eastAsia="宋体" w:cs="Times New Roman"/>
                <w:color w:val="auto"/>
              </w:rPr>
            </w:pPr>
            <w:r>
              <w:rPr>
                <w:rFonts w:hint="eastAsia" w:ascii="Times New Roman" w:hAnsi="Times New Roman" w:eastAsia="宋体" w:cs="Times New Roman"/>
                <w:color w:val="auto"/>
              </w:rPr>
              <w:t xml:space="preserve">齐全牢固，无松动，无锈蚀 </w:t>
            </w:r>
          </w:p>
        </w:tc>
      </w:tr>
      <w:tr w14:paraId="2807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noWrap w:val="0"/>
            <w:vAlign w:val="center"/>
          </w:tcPr>
          <w:p w14:paraId="42032207">
            <w:pPr>
              <w:jc w:val="center"/>
              <w:rPr>
                <w:rFonts w:ascii="Times New Roman" w:hAnsi="Times New Roman" w:eastAsia="宋体" w:cs="Times New Roman"/>
                <w:color w:val="auto"/>
              </w:rPr>
            </w:pPr>
            <w:r>
              <w:rPr>
                <w:rFonts w:hint="eastAsia" w:ascii="Times New Roman" w:hAnsi="Times New Roman" w:eastAsia="宋体" w:cs="Times New Roman"/>
                <w:color w:val="auto"/>
              </w:rPr>
              <w:t>10</w:t>
            </w:r>
          </w:p>
        </w:tc>
        <w:tc>
          <w:tcPr>
            <w:tcW w:w="2583" w:type="dxa"/>
            <w:noWrap w:val="0"/>
            <w:vAlign w:val="center"/>
          </w:tcPr>
          <w:p w14:paraId="7B67A51C">
            <w:pPr>
              <w:rPr>
                <w:rFonts w:ascii="Times New Roman" w:hAnsi="Times New Roman" w:eastAsia="宋体" w:cs="Times New Roman"/>
                <w:color w:val="auto"/>
              </w:rPr>
            </w:pPr>
            <w:r>
              <w:rPr>
                <w:rFonts w:hint="eastAsia" w:ascii="Times New Roman" w:hAnsi="Times New Roman" w:eastAsia="宋体" w:cs="Times New Roman"/>
                <w:color w:val="auto"/>
              </w:rPr>
              <w:t>轿厢和对重的导轨</w:t>
            </w:r>
          </w:p>
        </w:tc>
        <w:tc>
          <w:tcPr>
            <w:tcW w:w="5481" w:type="dxa"/>
            <w:noWrap w:val="0"/>
            <w:vAlign w:val="center"/>
          </w:tcPr>
          <w:p w14:paraId="38AE6AEA">
            <w:pPr>
              <w:rPr>
                <w:rFonts w:ascii="Times New Roman" w:hAnsi="Times New Roman" w:eastAsia="宋体" w:cs="Times New Roman"/>
                <w:color w:val="auto"/>
              </w:rPr>
            </w:pPr>
            <w:r>
              <w:rPr>
                <w:rFonts w:hint="eastAsia" w:ascii="Times New Roman" w:hAnsi="Times New Roman" w:eastAsia="宋体" w:cs="Times New Roman"/>
                <w:color w:val="auto"/>
              </w:rPr>
              <w:t>表面清洁，压板牢固</w:t>
            </w:r>
          </w:p>
        </w:tc>
      </w:tr>
      <w:tr w14:paraId="1F8C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trPr>
        <w:tc>
          <w:tcPr>
            <w:tcW w:w="565" w:type="dxa"/>
            <w:noWrap w:val="0"/>
            <w:vAlign w:val="center"/>
          </w:tcPr>
          <w:p w14:paraId="02EC4F05">
            <w:pPr>
              <w:jc w:val="center"/>
              <w:rPr>
                <w:rFonts w:ascii="Times New Roman" w:hAnsi="Times New Roman" w:eastAsia="宋体" w:cs="Times New Roman"/>
                <w:color w:val="auto"/>
              </w:rPr>
            </w:pPr>
            <w:r>
              <w:rPr>
                <w:rFonts w:hint="eastAsia" w:ascii="Times New Roman" w:hAnsi="Times New Roman" w:eastAsia="宋体" w:cs="Times New Roman"/>
                <w:color w:val="auto"/>
              </w:rPr>
              <w:t>11</w:t>
            </w:r>
          </w:p>
        </w:tc>
        <w:tc>
          <w:tcPr>
            <w:tcW w:w="2583" w:type="dxa"/>
            <w:noWrap w:val="0"/>
            <w:vAlign w:val="center"/>
          </w:tcPr>
          <w:p w14:paraId="4FCB3B72">
            <w:pPr>
              <w:rPr>
                <w:rFonts w:ascii="Times New Roman" w:hAnsi="Times New Roman" w:eastAsia="宋体" w:cs="Times New Roman"/>
                <w:color w:val="auto"/>
              </w:rPr>
            </w:pPr>
            <w:r>
              <w:rPr>
                <w:rFonts w:hint="eastAsia" w:ascii="Times New Roman" w:hAnsi="Times New Roman" w:eastAsia="宋体" w:cs="Times New Roman"/>
                <w:color w:val="auto"/>
              </w:rPr>
              <w:t>随行电缆</w:t>
            </w:r>
          </w:p>
        </w:tc>
        <w:tc>
          <w:tcPr>
            <w:tcW w:w="5481" w:type="dxa"/>
            <w:noWrap w:val="0"/>
            <w:vAlign w:val="center"/>
          </w:tcPr>
          <w:p w14:paraId="17A07A92">
            <w:pPr>
              <w:rPr>
                <w:rFonts w:ascii="Times New Roman" w:hAnsi="Times New Roman" w:eastAsia="宋体" w:cs="Times New Roman"/>
                <w:color w:val="auto"/>
              </w:rPr>
            </w:pPr>
            <w:r>
              <w:rPr>
                <w:rFonts w:hint="eastAsia" w:ascii="Times New Roman" w:hAnsi="Times New Roman" w:eastAsia="宋体" w:cs="Times New Roman"/>
                <w:color w:val="auto"/>
              </w:rPr>
              <w:t xml:space="preserve">随行电缆无损伤；随行电缆两端应可靠固定，不应有打结及波浪扭曲现象；运行时随行电缆不应触及其他部件而导致磨损或损坏；轿厢完全压缩缓冲器后，电缆不得与底坑地面及其他部件接触 </w:t>
            </w:r>
          </w:p>
        </w:tc>
      </w:tr>
      <w:tr w14:paraId="0112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noWrap w:val="0"/>
            <w:vAlign w:val="center"/>
          </w:tcPr>
          <w:p w14:paraId="312DF42D">
            <w:pPr>
              <w:jc w:val="center"/>
              <w:rPr>
                <w:rFonts w:ascii="Times New Roman" w:hAnsi="Times New Roman" w:eastAsia="宋体" w:cs="Times New Roman"/>
                <w:color w:val="auto"/>
              </w:rPr>
            </w:pPr>
            <w:r>
              <w:rPr>
                <w:rFonts w:hint="eastAsia" w:ascii="Times New Roman" w:hAnsi="Times New Roman" w:eastAsia="宋体" w:cs="Times New Roman"/>
                <w:color w:val="auto"/>
              </w:rPr>
              <w:t>12</w:t>
            </w:r>
          </w:p>
        </w:tc>
        <w:tc>
          <w:tcPr>
            <w:tcW w:w="2583" w:type="dxa"/>
            <w:noWrap w:val="0"/>
            <w:vAlign w:val="center"/>
          </w:tcPr>
          <w:p w14:paraId="3FE5BD7F">
            <w:pPr>
              <w:rPr>
                <w:rFonts w:ascii="Times New Roman" w:hAnsi="Times New Roman" w:eastAsia="宋体" w:cs="Times New Roman"/>
                <w:color w:val="auto"/>
              </w:rPr>
            </w:pPr>
            <w:r>
              <w:rPr>
                <w:rFonts w:hint="eastAsia" w:ascii="Times New Roman" w:hAnsi="Times New Roman" w:eastAsia="宋体" w:cs="Times New Roman"/>
                <w:color w:val="auto"/>
              </w:rPr>
              <w:t>层门装置和地坎</w:t>
            </w:r>
          </w:p>
        </w:tc>
        <w:tc>
          <w:tcPr>
            <w:tcW w:w="5481" w:type="dxa"/>
            <w:noWrap w:val="0"/>
            <w:vAlign w:val="center"/>
          </w:tcPr>
          <w:p w14:paraId="7191855E">
            <w:pPr>
              <w:rPr>
                <w:rFonts w:ascii="Times New Roman" w:hAnsi="Times New Roman" w:eastAsia="宋体" w:cs="Times New Roman"/>
                <w:color w:val="auto"/>
              </w:rPr>
            </w:pPr>
            <w:r>
              <w:rPr>
                <w:rFonts w:hint="eastAsia" w:ascii="Times New Roman" w:hAnsi="Times New Roman" w:eastAsia="宋体" w:cs="Times New Roman"/>
                <w:color w:val="auto"/>
              </w:rPr>
              <w:t>无影响正常使用的变形，各固定螺栓紧固</w:t>
            </w:r>
          </w:p>
        </w:tc>
      </w:tr>
      <w:tr w14:paraId="1B56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noWrap w:val="0"/>
            <w:vAlign w:val="center"/>
          </w:tcPr>
          <w:p w14:paraId="08508633">
            <w:pPr>
              <w:jc w:val="center"/>
              <w:rPr>
                <w:rFonts w:ascii="Times New Roman" w:hAnsi="Times New Roman" w:eastAsia="宋体" w:cs="Times New Roman"/>
                <w:color w:val="auto"/>
              </w:rPr>
            </w:pPr>
            <w:r>
              <w:rPr>
                <w:rFonts w:hint="eastAsia" w:ascii="Times New Roman" w:hAnsi="Times New Roman" w:eastAsia="宋体" w:cs="Times New Roman"/>
                <w:color w:val="auto"/>
              </w:rPr>
              <w:t>13</w:t>
            </w:r>
          </w:p>
        </w:tc>
        <w:tc>
          <w:tcPr>
            <w:tcW w:w="2583" w:type="dxa"/>
            <w:noWrap w:val="0"/>
            <w:vAlign w:val="center"/>
          </w:tcPr>
          <w:p w14:paraId="3120A360">
            <w:pPr>
              <w:rPr>
                <w:rFonts w:ascii="Times New Roman" w:hAnsi="Times New Roman" w:eastAsia="宋体" w:cs="Times New Roman"/>
                <w:color w:val="auto"/>
              </w:rPr>
            </w:pPr>
            <w:r>
              <w:rPr>
                <w:rFonts w:hint="eastAsia" w:ascii="Times New Roman" w:hAnsi="Times New Roman" w:eastAsia="宋体" w:cs="Times New Roman"/>
                <w:color w:val="auto"/>
              </w:rPr>
              <w:t>轿厢称重装置</w:t>
            </w:r>
          </w:p>
        </w:tc>
        <w:tc>
          <w:tcPr>
            <w:tcW w:w="5481" w:type="dxa"/>
            <w:noWrap w:val="0"/>
            <w:vAlign w:val="center"/>
          </w:tcPr>
          <w:p w14:paraId="587DAFB9">
            <w:pPr>
              <w:rPr>
                <w:rFonts w:ascii="Times New Roman" w:hAnsi="Times New Roman" w:eastAsia="宋体" w:cs="Times New Roman"/>
                <w:color w:val="auto"/>
              </w:rPr>
            </w:pPr>
            <w:r>
              <w:rPr>
                <w:rFonts w:hint="eastAsia" w:ascii="Times New Roman" w:hAnsi="Times New Roman" w:eastAsia="宋体" w:cs="Times New Roman"/>
                <w:color w:val="auto"/>
              </w:rPr>
              <w:t>准确有效，满载、超载信号所对应的相关声光信号正常</w:t>
            </w:r>
          </w:p>
        </w:tc>
      </w:tr>
      <w:tr w14:paraId="6C04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noWrap w:val="0"/>
            <w:vAlign w:val="center"/>
          </w:tcPr>
          <w:p w14:paraId="500ACDE3">
            <w:pPr>
              <w:jc w:val="center"/>
              <w:rPr>
                <w:rFonts w:ascii="Times New Roman" w:hAnsi="Times New Roman" w:eastAsia="宋体" w:cs="Times New Roman"/>
                <w:color w:val="auto"/>
              </w:rPr>
            </w:pPr>
            <w:r>
              <w:rPr>
                <w:rFonts w:hint="eastAsia" w:ascii="Times New Roman" w:hAnsi="Times New Roman" w:eastAsia="宋体" w:cs="Times New Roman"/>
                <w:color w:val="auto"/>
              </w:rPr>
              <w:t>14</w:t>
            </w:r>
          </w:p>
        </w:tc>
        <w:tc>
          <w:tcPr>
            <w:tcW w:w="2583" w:type="dxa"/>
            <w:noWrap w:val="0"/>
            <w:vAlign w:val="center"/>
          </w:tcPr>
          <w:p w14:paraId="07D8402A">
            <w:pPr>
              <w:rPr>
                <w:rFonts w:ascii="Times New Roman" w:hAnsi="Times New Roman" w:eastAsia="宋体" w:cs="Times New Roman"/>
                <w:color w:val="auto"/>
              </w:rPr>
            </w:pPr>
            <w:r>
              <w:rPr>
                <w:rFonts w:hint="eastAsia" w:ascii="Times New Roman" w:hAnsi="Times New Roman" w:eastAsia="宋体" w:cs="Times New Roman"/>
                <w:color w:val="auto"/>
              </w:rPr>
              <w:t>安全钳钳座</w:t>
            </w:r>
          </w:p>
        </w:tc>
        <w:tc>
          <w:tcPr>
            <w:tcW w:w="5481" w:type="dxa"/>
            <w:noWrap w:val="0"/>
            <w:vAlign w:val="center"/>
          </w:tcPr>
          <w:p w14:paraId="40010466">
            <w:pPr>
              <w:rPr>
                <w:rFonts w:ascii="Times New Roman" w:hAnsi="Times New Roman" w:eastAsia="宋体" w:cs="Times New Roman"/>
                <w:color w:val="auto"/>
              </w:rPr>
            </w:pPr>
            <w:r>
              <w:rPr>
                <w:rFonts w:hint="eastAsia" w:ascii="Times New Roman" w:hAnsi="Times New Roman" w:eastAsia="宋体" w:cs="Times New Roman"/>
                <w:color w:val="auto"/>
              </w:rPr>
              <w:t>固定，无松动；安全钳及联动机构各部件齐全，无过量磨损及损坏；安全钳各楔块与导轨间隙均匀并符合产品要求，夹紧位置正确；安全钳各部件无油污</w:t>
            </w:r>
          </w:p>
        </w:tc>
      </w:tr>
      <w:tr w14:paraId="3B6A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noWrap w:val="0"/>
            <w:vAlign w:val="center"/>
          </w:tcPr>
          <w:p w14:paraId="65720A72">
            <w:pPr>
              <w:jc w:val="center"/>
              <w:rPr>
                <w:rFonts w:ascii="Times New Roman" w:hAnsi="Times New Roman" w:eastAsia="宋体" w:cs="Times New Roman"/>
                <w:color w:val="auto"/>
              </w:rPr>
            </w:pPr>
            <w:r>
              <w:rPr>
                <w:rFonts w:hint="eastAsia" w:ascii="Times New Roman" w:hAnsi="Times New Roman" w:eastAsia="宋体" w:cs="Times New Roman"/>
                <w:color w:val="auto"/>
              </w:rPr>
              <w:t>15</w:t>
            </w:r>
          </w:p>
        </w:tc>
        <w:tc>
          <w:tcPr>
            <w:tcW w:w="2583" w:type="dxa"/>
            <w:noWrap w:val="0"/>
            <w:vAlign w:val="center"/>
          </w:tcPr>
          <w:p w14:paraId="51A03151">
            <w:pPr>
              <w:rPr>
                <w:rFonts w:ascii="Times New Roman" w:hAnsi="Times New Roman" w:eastAsia="宋体" w:cs="Times New Roman"/>
                <w:color w:val="auto"/>
              </w:rPr>
            </w:pPr>
            <w:r>
              <w:rPr>
                <w:rFonts w:hint="eastAsia" w:ascii="Times New Roman" w:hAnsi="Times New Roman" w:eastAsia="宋体" w:cs="Times New Roman"/>
                <w:color w:val="auto"/>
              </w:rPr>
              <w:t>轿底各安装螺栓</w:t>
            </w:r>
          </w:p>
        </w:tc>
        <w:tc>
          <w:tcPr>
            <w:tcW w:w="5481" w:type="dxa"/>
            <w:noWrap w:val="0"/>
            <w:vAlign w:val="center"/>
          </w:tcPr>
          <w:p w14:paraId="5531F922">
            <w:pPr>
              <w:rPr>
                <w:rFonts w:ascii="Times New Roman" w:hAnsi="Times New Roman" w:eastAsia="宋体" w:cs="Times New Roman"/>
                <w:color w:val="auto"/>
              </w:rPr>
            </w:pPr>
            <w:r>
              <w:rPr>
                <w:rFonts w:hint="eastAsia" w:ascii="Times New Roman" w:hAnsi="Times New Roman" w:eastAsia="宋体" w:cs="Times New Roman"/>
                <w:color w:val="auto"/>
              </w:rPr>
              <w:t>齐全牢固，无松动</w:t>
            </w:r>
          </w:p>
        </w:tc>
      </w:tr>
      <w:tr w14:paraId="798C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noWrap w:val="0"/>
            <w:vAlign w:val="center"/>
          </w:tcPr>
          <w:p w14:paraId="6B506D6B">
            <w:pPr>
              <w:jc w:val="center"/>
              <w:rPr>
                <w:rFonts w:ascii="Times New Roman" w:hAnsi="Times New Roman" w:eastAsia="宋体" w:cs="Times New Roman"/>
                <w:color w:val="auto"/>
              </w:rPr>
            </w:pPr>
            <w:r>
              <w:rPr>
                <w:rFonts w:hint="eastAsia" w:ascii="Times New Roman" w:hAnsi="Times New Roman" w:eastAsia="宋体" w:cs="Times New Roman"/>
                <w:color w:val="auto"/>
              </w:rPr>
              <w:t>16</w:t>
            </w:r>
          </w:p>
        </w:tc>
        <w:tc>
          <w:tcPr>
            <w:tcW w:w="2583" w:type="dxa"/>
            <w:noWrap w:val="0"/>
            <w:vAlign w:val="center"/>
          </w:tcPr>
          <w:p w14:paraId="2723E82F">
            <w:pPr>
              <w:rPr>
                <w:rFonts w:ascii="Times New Roman" w:hAnsi="Times New Roman" w:eastAsia="宋体" w:cs="Times New Roman"/>
                <w:color w:val="auto"/>
              </w:rPr>
            </w:pPr>
            <w:r>
              <w:rPr>
                <w:rFonts w:hint="eastAsia" w:ascii="Times New Roman" w:hAnsi="Times New Roman" w:eastAsia="宋体" w:cs="Times New Roman"/>
                <w:color w:val="auto"/>
              </w:rPr>
              <w:t>缓冲器</w:t>
            </w:r>
          </w:p>
        </w:tc>
        <w:tc>
          <w:tcPr>
            <w:tcW w:w="5481" w:type="dxa"/>
            <w:noWrap w:val="0"/>
            <w:vAlign w:val="center"/>
          </w:tcPr>
          <w:p w14:paraId="1DA4C924">
            <w:pPr>
              <w:rPr>
                <w:rFonts w:ascii="Times New Roman" w:hAnsi="Times New Roman" w:eastAsia="宋体" w:cs="Times New Roman"/>
                <w:color w:val="auto"/>
              </w:rPr>
            </w:pPr>
            <w:r>
              <w:rPr>
                <w:rFonts w:hint="eastAsia" w:ascii="Times New Roman" w:hAnsi="Times New Roman" w:eastAsia="宋体" w:cs="Times New Roman"/>
                <w:color w:val="auto"/>
              </w:rPr>
              <w:t>固定，无松动</w:t>
            </w:r>
          </w:p>
        </w:tc>
      </w:tr>
    </w:tbl>
    <w:p w14:paraId="653E5250">
      <w:pPr>
        <w:pStyle w:val="2"/>
        <w:rPr>
          <w:rFonts w:hAnsi="宋体"/>
          <w:b/>
          <w:bCs/>
          <w:color w:val="auto"/>
          <w:sz w:val="44"/>
          <w:szCs w:val="44"/>
        </w:rPr>
      </w:pPr>
    </w:p>
    <w:p w14:paraId="0F19E23C">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46AE8627">
      <w:pPr>
        <w:pStyle w:val="15"/>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第六章响应文件格式</w:t>
      </w:r>
    </w:p>
    <w:p w14:paraId="609CC8DC">
      <w:pPr>
        <w:pStyle w:val="15"/>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注:本附件所有格式为响应文件的组成部分仅供制作响应文件时参考,供应商应根据行业特点,结合本次协商要求，对有关表格进行补充或修改,但不得减少响应文件的格式内容。</w:t>
      </w:r>
    </w:p>
    <w:p w14:paraId="1EB6F264">
      <w:pPr>
        <w:pStyle w:val="15"/>
        <w:rPr>
          <w:color w:val="auto"/>
        </w:rPr>
      </w:pPr>
      <w:r>
        <w:rPr>
          <w:rFonts w:hint="eastAsia" w:ascii="宋体" w:hAnsi="宋体" w:eastAsia="宋体" w:cs="宋体"/>
          <w:color w:val="auto"/>
          <w:sz w:val="21"/>
          <w:szCs w:val="21"/>
        </w:rPr>
        <w:br w:type="textWrapping"/>
      </w:r>
      <w:r>
        <w:rPr>
          <w:color w:val="auto"/>
        </w:rPr>
        <w:br w:type="page"/>
      </w:r>
    </w:p>
    <w:p w14:paraId="623A0C1B">
      <w:pPr>
        <w:pStyle w:val="15"/>
        <w:jc w:val="center"/>
        <w:outlineLvl w:val="2"/>
        <w:rPr>
          <w:color w:val="auto"/>
        </w:rPr>
      </w:pPr>
      <w:r>
        <w:rPr>
          <w:b/>
          <w:color w:val="auto"/>
          <w:sz w:val="28"/>
        </w:rPr>
        <w:t>封面格式</w:t>
      </w:r>
    </w:p>
    <w:p w14:paraId="657C7684">
      <w:pPr>
        <w:pStyle w:val="15"/>
        <w:jc w:val="center"/>
        <w:outlineLvl w:val="0"/>
        <w:rPr>
          <w:b/>
          <w:color w:val="auto"/>
          <w:sz w:val="48"/>
        </w:rPr>
      </w:pPr>
    </w:p>
    <w:p w14:paraId="3C754BB0">
      <w:pPr>
        <w:pStyle w:val="15"/>
        <w:jc w:val="center"/>
        <w:outlineLvl w:val="0"/>
        <w:rPr>
          <w:color w:val="auto"/>
        </w:rPr>
      </w:pPr>
      <w:r>
        <w:rPr>
          <w:b/>
          <w:color w:val="auto"/>
          <w:sz w:val="48"/>
        </w:rPr>
        <w:t>单一来源采购项目</w:t>
      </w:r>
    </w:p>
    <w:p w14:paraId="7B60EB8A">
      <w:pPr>
        <w:pStyle w:val="15"/>
        <w:jc w:val="center"/>
        <w:outlineLvl w:val="1"/>
        <w:rPr>
          <w:color w:val="auto"/>
        </w:rPr>
      </w:pPr>
      <w:r>
        <w:rPr>
          <w:b/>
          <w:color w:val="auto"/>
          <w:sz w:val="36"/>
        </w:rPr>
        <w:t>响应文件</w:t>
      </w:r>
      <w:r>
        <w:rPr>
          <w:color w:val="auto"/>
        </w:rPr>
        <w:br w:type="textWrapping"/>
      </w:r>
      <w:r>
        <w:rPr>
          <w:color w:val="auto"/>
        </w:rPr>
        <w:br w:type="textWrapping"/>
      </w:r>
    </w:p>
    <w:p w14:paraId="6984E5E3">
      <w:pPr>
        <w:pStyle w:val="15"/>
        <w:jc w:val="center"/>
        <w:outlineLvl w:val="2"/>
        <w:rPr>
          <w:color w:val="auto"/>
        </w:rPr>
      </w:pPr>
      <w:r>
        <w:rPr>
          <w:b/>
          <w:color w:val="auto"/>
          <w:sz w:val="28"/>
        </w:rPr>
        <w:t>（填写正本或副本）</w:t>
      </w:r>
      <w:r>
        <w:rPr>
          <w:color w:val="auto"/>
        </w:rPr>
        <w:br w:type="textWrapping"/>
      </w:r>
      <w:r>
        <w:rPr>
          <w:color w:val="auto"/>
        </w:rPr>
        <w:br w:type="textWrapping"/>
      </w:r>
      <w:r>
        <w:rPr>
          <w:color w:val="auto"/>
        </w:rPr>
        <w:br w:type="textWrapping"/>
      </w:r>
    </w:p>
    <w:p w14:paraId="4BF34AF4">
      <w:pPr>
        <w:pStyle w:val="15"/>
        <w:jc w:val="center"/>
        <w:outlineLvl w:val="2"/>
        <w:rPr>
          <w:rFonts w:hint="eastAsia" w:eastAsiaTheme="minorEastAsia"/>
          <w:color w:val="auto"/>
          <w:lang w:eastAsia="zh-CN"/>
        </w:rPr>
      </w:pPr>
      <w:r>
        <w:rPr>
          <w:b/>
          <w:color w:val="auto"/>
          <w:sz w:val="28"/>
        </w:rPr>
        <w:t>项目名称：</w:t>
      </w:r>
    </w:p>
    <w:p w14:paraId="679B866F">
      <w:pPr>
        <w:pStyle w:val="15"/>
        <w:jc w:val="center"/>
        <w:outlineLvl w:val="2"/>
        <w:rPr>
          <w:rFonts w:hint="eastAsia" w:eastAsiaTheme="minorEastAsia"/>
          <w:color w:val="auto"/>
          <w:lang w:eastAsia="zh-CN"/>
        </w:rPr>
      </w:pPr>
      <w:r>
        <w:rPr>
          <w:b/>
          <w:color w:val="auto"/>
          <w:sz w:val="28"/>
        </w:rPr>
        <w:t>项目编号：</w:t>
      </w:r>
    </w:p>
    <w:p w14:paraId="7614048E">
      <w:pPr>
        <w:pStyle w:val="15"/>
        <w:jc w:val="center"/>
        <w:outlineLvl w:val="2"/>
        <w:rPr>
          <w:rFonts w:hint="eastAsia" w:eastAsiaTheme="minorEastAsia"/>
          <w:color w:val="auto"/>
          <w:lang w:eastAsia="zh-CN"/>
        </w:rPr>
      </w:pPr>
      <w:r>
        <w:rPr>
          <w:rFonts w:hint="eastAsia"/>
          <w:b/>
          <w:color w:val="auto"/>
          <w:sz w:val="28"/>
          <w:lang w:eastAsia="zh-CN"/>
        </w:rPr>
        <w:t>采购包</w:t>
      </w:r>
      <w:r>
        <w:rPr>
          <w:b/>
          <w:color w:val="auto"/>
          <w:sz w:val="28"/>
        </w:rPr>
        <w:t>号：</w:t>
      </w:r>
    </w:p>
    <w:p w14:paraId="6C6EBE62">
      <w:pPr>
        <w:pStyle w:val="15"/>
        <w:jc w:val="center"/>
        <w:outlineLvl w:val="2"/>
        <w:rPr>
          <w:rFonts w:hint="eastAsia" w:eastAsiaTheme="minorEastAsia"/>
          <w:color w:val="auto"/>
          <w:lang w:eastAsia="zh-CN"/>
        </w:rPr>
      </w:pPr>
      <w:r>
        <w:rPr>
          <w:b/>
          <w:color w:val="auto"/>
          <w:sz w:val="28"/>
        </w:rPr>
        <w:t>供应商名称：</w:t>
      </w:r>
    </w:p>
    <w:p w14:paraId="2F7670CD">
      <w:pPr>
        <w:pStyle w:val="15"/>
        <w:jc w:val="center"/>
        <w:outlineLvl w:val="2"/>
        <w:rPr>
          <w:rFonts w:hint="eastAsia" w:eastAsiaTheme="minorEastAsia"/>
          <w:color w:val="auto"/>
          <w:lang w:eastAsia="zh-CN"/>
        </w:rPr>
      </w:pPr>
      <w:r>
        <w:rPr>
          <w:b/>
          <w:color w:val="auto"/>
          <w:sz w:val="28"/>
        </w:rPr>
        <w:t>单位负责人名称：</w:t>
      </w:r>
    </w:p>
    <w:p w14:paraId="1BDA2126">
      <w:pPr>
        <w:pStyle w:val="15"/>
        <w:jc w:val="center"/>
        <w:outlineLvl w:val="2"/>
        <w:rPr>
          <w:rFonts w:hint="eastAsia" w:eastAsiaTheme="minorEastAsia"/>
          <w:color w:val="auto"/>
          <w:lang w:eastAsia="zh-CN"/>
        </w:rPr>
      </w:pPr>
      <w:r>
        <w:rPr>
          <w:b/>
          <w:color w:val="auto"/>
          <w:sz w:val="28"/>
        </w:rPr>
        <w:t>授权代表名称：</w:t>
      </w:r>
    </w:p>
    <w:p w14:paraId="26D30FCE">
      <w:pPr>
        <w:pStyle w:val="15"/>
        <w:jc w:val="center"/>
        <w:outlineLvl w:val="2"/>
        <w:rPr>
          <w:rFonts w:hint="eastAsia" w:eastAsiaTheme="minorEastAsia"/>
          <w:color w:val="auto"/>
          <w:lang w:eastAsia="zh-CN"/>
        </w:rPr>
      </w:pPr>
      <w:r>
        <w:rPr>
          <w:b/>
          <w:color w:val="auto"/>
          <w:sz w:val="28"/>
        </w:rPr>
        <w:t>联系电话：</w:t>
      </w:r>
    </w:p>
    <w:p w14:paraId="2744CDC8">
      <w:pPr>
        <w:pStyle w:val="15"/>
        <w:jc w:val="center"/>
        <w:outlineLvl w:val="2"/>
        <w:rPr>
          <w:rFonts w:hint="eastAsia" w:eastAsiaTheme="minorEastAsia"/>
          <w:color w:val="auto"/>
          <w:lang w:eastAsia="zh-CN"/>
        </w:rPr>
      </w:pPr>
      <w:r>
        <w:rPr>
          <w:b/>
          <w:color w:val="auto"/>
          <w:sz w:val="28"/>
        </w:rPr>
        <w:t>联系地址：</w:t>
      </w:r>
    </w:p>
    <w:p w14:paraId="40C02433">
      <w:pPr>
        <w:pStyle w:val="15"/>
        <w:rPr>
          <w:color w:val="auto"/>
        </w:rPr>
      </w:pPr>
      <w:r>
        <w:rPr>
          <w:color w:val="auto"/>
        </w:rPr>
        <w:br w:type="textWrapping"/>
      </w:r>
      <w:r>
        <w:rPr>
          <w:color w:val="auto"/>
        </w:rPr>
        <w:br w:type="page"/>
      </w:r>
    </w:p>
    <w:p w14:paraId="6F911756">
      <w:pPr>
        <w:pStyle w:val="15"/>
        <w:jc w:val="center"/>
        <w:outlineLvl w:val="2"/>
        <w:rPr>
          <w:color w:val="auto"/>
        </w:rPr>
      </w:pPr>
      <w:r>
        <w:rPr>
          <w:b/>
          <w:color w:val="auto"/>
          <w:sz w:val="28"/>
        </w:rPr>
        <w:t>目录</w:t>
      </w:r>
    </w:p>
    <w:p w14:paraId="114384D8">
      <w:pPr>
        <w:pStyle w:val="15"/>
        <w:ind w:firstLine="480"/>
        <w:jc w:val="left"/>
        <w:rPr>
          <w:color w:val="auto"/>
        </w:rPr>
      </w:pPr>
      <w:r>
        <w:rPr>
          <w:color w:val="auto"/>
        </w:rPr>
        <w:t>一、协商响应声明</w:t>
      </w:r>
    </w:p>
    <w:p w14:paraId="75C4F2FA">
      <w:pPr>
        <w:pStyle w:val="15"/>
        <w:ind w:firstLine="480"/>
        <w:jc w:val="left"/>
        <w:rPr>
          <w:color w:val="auto"/>
        </w:rPr>
      </w:pPr>
      <w:r>
        <w:rPr>
          <w:color w:val="auto"/>
        </w:rPr>
        <w:t>附件1、《单位负责人身份证明复印件》</w:t>
      </w:r>
    </w:p>
    <w:p w14:paraId="1992D0D3">
      <w:pPr>
        <w:pStyle w:val="15"/>
        <w:ind w:firstLine="480"/>
        <w:jc w:val="left"/>
        <w:rPr>
          <w:color w:val="auto"/>
        </w:rPr>
      </w:pPr>
      <w:r>
        <w:rPr>
          <w:color w:val="auto"/>
        </w:rPr>
        <w:t>附件2、《单位负责人授权书》(单位负责人参加协商的可无须提供本函)</w:t>
      </w:r>
    </w:p>
    <w:p w14:paraId="181D0CC2">
      <w:pPr>
        <w:pStyle w:val="15"/>
        <w:ind w:firstLine="480"/>
        <w:jc w:val="left"/>
        <w:rPr>
          <w:color w:val="auto"/>
        </w:rPr>
      </w:pPr>
      <w:r>
        <w:rPr>
          <w:color w:val="auto"/>
        </w:rPr>
        <w:t>二、供应商基本情况</w:t>
      </w:r>
    </w:p>
    <w:p w14:paraId="4E962FC4">
      <w:pPr>
        <w:pStyle w:val="15"/>
        <w:ind w:firstLine="480"/>
        <w:jc w:val="left"/>
        <w:rPr>
          <w:color w:val="auto"/>
        </w:rPr>
      </w:pPr>
      <w:r>
        <w:rPr>
          <w:color w:val="auto"/>
        </w:rPr>
        <w:t>附件3、供应商基本资质材料</w:t>
      </w:r>
    </w:p>
    <w:p w14:paraId="6FB45789">
      <w:pPr>
        <w:pStyle w:val="15"/>
        <w:ind w:firstLine="480"/>
        <w:jc w:val="left"/>
        <w:rPr>
          <w:color w:val="auto"/>
        </w:rPr>
      </w:pPr>
      <w:r>
        <w:rPr>
          <w:color w:val="auto"/>
        </w:rPr>
        <w:t>附件</w:t>
      </w:r>
      <w:r>
        <w:rPr>
          <w:rFonts w:hint="eastAsia"/>
          <w:color w:val="auto"/>
          <w:lang w:val="en-US" w:eastAsia="zh-CN"/>
        </w:rPr>
        <w:t>4</w:t>
      </w:r>
      <w:r>
        <w:rPr>
          <w:color w:val="auto"/>
        </w:rPr>
        <w:t>、采购文件要求的供应商其他资料</w:t>
      </w:r>
    </w:p>
    <w:p w14:paraId="44744BEE">
      <w:pPr>
        <w:pStyle w:val="15"/>
        <w:ind w:firstLine="480"/>
        <w:jc w:val="left"/>
        <w:rPr>
          <w:color w:val="auto"/>
        </w:rPr>
      </w:pPr>
      <w:r>
        <w:rPr>
          <w:color w:val="auto"/>
        </w:rPr>
        <w:t>三、单一来源报价资料</w:t>
      </w:r>
    </w:p>
    <w:p w14:paraId="2959D3CC">
      <w:pPr>
        <w:pStyle w:val="15"/>
        <w:ind w:firstLine="480"/>
        <w:jc w:val="left"/>
        <w:rPr>
          <w:color w:val="auto"/>
        </w:rPr>
      </w:pPr>
      <w:r>
        <w:rPr>
          <w:color w:val="auto"/>
        </w:rPr>
        <w:t>附件</w:t>
      </w:r>
      <w:r>
        <w:rPr>
          <w:rFonts w:hint="eastAsia"/>
          <w:color w:val="auto"/>
          <w:lang w:val="en-US" w:eastAsia="zh-CN"/>
        </w:rPr>
        <w:t>5</w:t>
      </w:r>
      <w:r>
        <w:rPr>
          <w:color w:val="auto"/>
        </w:rPr>
        <w:t>、开标（报价）一览表</w:t>
      </w:r>
    </w:p>
    <w:p w14:paraId="148448B0">
      <w:pPr>
        <w:pStyle w:val="15"/>
        <w:ind w:firstLine="480"/>
        <w:jc w:val="left"/>
        <w:rPr>
          <w:color w:val="auto"/>
        </w:rPr>
      </w:pPr>
      <w:r>
        <w:rPr>
          <w:color w:val="auto"/>
        </w:rPr>
        <w:t>附件</w:t>
      </w:r>
      <w:r>
        <w:rPr>
          <w:rFonts w:hint="eastAsia"/>
          <w:color w:val="auto"/>
          <w:lang w:val="en-US" w:eastAsia="zh-CN"/>
        </w:rPr>
        <w:t>6</w:t>
      </w:r>
      <w:r>
        <w:rPr>
          <w:color w:val="auto"/>
        </w:rPr>
        <w:t>、采购标的成本说明(格式自定)</w:t>
      </w:r>
    </w:p>
    <w:p w14:paraId="5D4F2CE4">
      <w:pPr>
        <w:pStyle w:val="15"/>
        <w:ind w:firstLine="480"/>
        <w:jc w:val="left"/>
        <w:rPr>
          <w:color w:val="auto"/>
        </w:rPr>
      </w:pPr>
      <w:r>
        <w:rPr>
          <w:color w:val="auto"/>
        </w:rPr>
        <w:t>附件</w:t>
      </w:r>
      <w:r>
        <w:rPr>
          <w:rFonts w:hint="eastAsia"/>
          <w:color w:val="auto"/>
          <w:lang w:val="en-US" w:eastAsia="zh-CN"/>
        </w:rPr>
        <w:t>7</w:t>
      </w:r>
      <w:r>
        <w:rPr>
          <w:color w:val="auto"/>
        </w:rPr>
        <w:t>、同类项目合同价格说明(格式自定)</w:t>
      </w:r>
    </w:p>
    <w:p w14:paraId="1F72E77C">
      <w:pPr>
        <w:pStyle w:val="15"/>
        <w:ind w:firstLine="480"/>
        <w:jc w:val="left"/>
        <w:rPr>
          <w:color w:val="auto"/>
        </w:rPr>
      </w:pPr>
      <w:r>
        <w:rPr>
          <w:color w:val="auto"/>
        </w:rPr>
        <w:t>附件</w:t>
      </w:r>
      <w:r>
        <w:rPr>
          <w:rFonts w:hint="eastAsia"/>
          <w:color w:val="auto"/>
          <w:lang w:val="en-US" w:eastAsia="zh-CN"/>
        </w:rPr>
        <w:t>8</w:t>
      </w:r>
      <w:r>
        <w:rPr>
          <w:color w:val="auto"/>
        </w:rPr>
        <w:t>、供应商相关专利、专有技术情况说明(格式自定)</w:t>
      </w:r>
    </w:p>
    <w:p w14:paraId="13155B9F">
      <w:pPr>
        <w:pStyle w:val="15"/>
        <w:ind w:firstLine="480"/>
        <w:jc w:val="left"/>
        <w:rPr>
          <w:color w:val="auto"/>
        </w:rPr>
      </w:pPr>
      <w:r>
        <w:rPr>
          <w:color w:val="auto"/>
        </w:rPr>
        <w:t>四、技术商务条款响应情况</w:t>
      </w:r>
    </w:p>
    <w:p w14:paraId="0AB6198F">
      <w:pPr>
        <w:pStyle w:val="15"/>
        <w:ind w:firstLine="480"/>
        <w:jc w:val="left"/>
        <w:rPr>
          <w:color w:val="auto"/>
        </w:rPr>
      </w:pPr>
      <w:r>
        <w:rPr>
          <w:color w:val="auto"/>
        </w:rPr>
        <w:t>附件</w:t>
      </w:r>
      <w:r>
        <w:rPr>
          <w:rFonts w:hint="eastAsia"/>
          <w:color w:val="auto"/>
          <w:lang w:val="en-US" w:eastAsia="zh-CN"/>
        </w:rPr>
        <w:t>9</w:t>
      </w:r>
      <w:r>
        <w:rPr>
          <w:color w:val="auto"/>
        </w:rPr>
        <w:t>、标的说明、技术方案或服务方案</w:t>
      </w:r>
    </w:p>
    <w:p w14:paraId="1AE7AD00">
      <w:pPr>
        <w:pStyle w:val="15"/>
        <w:ind w:firstLine="480"/>
        <w:jc w:val="left"/>
        <w:rPr>
          <w:color w:val="auto"/>
        </w:rPr>
      </w:pPr>
      <w:r>
        <w:rPr>
          <w:color w:val="auto"/>
        </w:rPr>
        <w:t>附件</w:t>
      </w:r>
      <w:r>
        <w:rPr>
          <w:rFonts w:hint="eastAsia"/>
          <w:color w:val="auto"/>
          <w:lang w:val="en-US" w:eastAsia="zh-CN"/>
        </w:rPr>
        <w:t>10</w:t>
      </w:r>
      <w:r>
        <w:rPr>
          <w:color w:val="auto"/>
        </w:rPr>
        <w:t>、协商内容及要求响应表</w:t>
      </w:r>
    </w:p>
    <w:p w14:paraId="62D6DB1B">
      <w:pPr>
        <w:pStyle w:val="15"/>
        <w:ind w:firstLine="480"/>
        <w:jc w:val="left"/>
        <w:rPr>
          <w:color w:val="auto"/>
        </w:rPr>
      </w:pPr>
      <w:r>
        <w:rPr>
          <w:color w:val="auto"/>
        </w:rPr>
        <w:t>附件</w:t>
      </w:r>
      <w:r>
        <w:rPr>
          <w:rFonts w:hint="eastAsia"/>
          <w:color w:val="auto"/>
          <w:lang w:val="en-US" w:eastAsia="zh-CN"/>
        </w:rPr>
        <w:t>11</w:t>
      </w:r>
      <w:r>
        <w:rPr>
          <w:color w:val="auto"/>
        </w:rPr>
        <w:t>、供应商认为需要提供的其他技术资料</w:t>
      </w:r>
    </w:p>
    <w:p w14:paraId="11A82085">
      <w:pPr>
        <w:pStyle w:val="15"/>
        <w:rPr>
          <w:color w:val="auto"/>
        </w:rPr>
      </w:pPr>
      <w:r>
        <w:rPr>
          <w:color w:val="auto"/>
        </w:rPr>
        <w:br w:type="textWrapping"/>
      </w:r>
      <w:r>
        <w:rPr>
          <w:color w:val="auto"/>
        </w:rPr>
        <w:br w:type="page"/>
      </w:r>
    </w:p>
    <w:p w14:paraId="6ABD232E">
      <w:pPr>
        <w:pStyle w:val="15"/>
        <w:jc w:val="center"/>
        <w:outlineLvl w:val="2"/>
        <w:rPr>
          <w:color w:val="auto"/>
        </w:rPr>
      </w:pPr>
      <w:r>
        <w:rPr>
          <w:b/>
          <w:color w:val="auto"/>
          <w:sz w:val="28"/>
        </w:rPr>
        <w:t>一、协商响应声明</w:t>
      </w:r>
    </w:p>
    <w:p w14:paraId="493EE94A">
      <w:pPr>
        <w:pStyle w:val="15"/>
        <w:ind w:firstLine="480"/>
        <w:jc w:val="left"/>
        <w:rPr>
          <w:color w:val="auto"/>
        </w:rPr>
      </w:pPr>
      <w:r>
        <w:rPr>
          <w:color w:val="auto"/>
        </w:rPr>
        <w:t>致：</w:t>
      </w:r>
      <w:r>
        <w:rPr>
          <w:color w:val="auto"/>
          <w:u w:val="single"/>
        </w:rPr>
        <w:t>（采购人或采购代理机构）</w:t>
      </w:r>
    </w:p>
    <w:p w14:paraId="14FA9751">
      <w:pPr>
        <w:pStyle w:val="15"/>
        <w:ind w:firstLine="480"/>
        <w:jc w:val="left"/>
        <w:rPr>
          <w:color w:val="auto"/>
        </w:rPr>
      </w:pPr>
      <w:r>
        <w:rPr>
          <w:color w:val="auto"/>
        </w:rPr>
        <w:t>兹收到贵单位关于</w:t>
      </w:r>
      <w:r>
        <w:rPr>
          <w:color w:val="auto"/>
          <w:u w:val="single"/>
        </w:rPr>
        <w:t>（填写“项目名称”）</w:t>
      </w:r>
      <w:r>
        <w:rPr>
          <w:color w:val="auto"/>
        </w:rPr>
        <w:t>项目</w:t>
      </w:r>
      <w:r>
        <w:rPr>
          <w:color w:val="auto"/>
          <w:u w:val="single"/>
        </w:rPr>
        <w:t>（项目编号：　　　　　）</w:t>
      </w:r>
      <w:r>
        <w:rPr>
          <w:color w:val="auto"/>
        </w:rPr>
        <w:t>的协商邀请，本供应商代表</w:t>
      </w:r>
      <w:r>
        <w:rPr>
          <w:color w:val="auto"/>
          <w:u w:val="single"/>
        </w:rPr>
        <w:t>（填写“全名”）</w:t>
      </w:r>
      <w:r>
        <w:rPr>
          <w:color w:val="auto"/>
        </w:rPr>
        <w:t>已获得我方正式授权并代表供应商（填写“全称”）参加协调，并提交采购文件规定份数的响应文件正本和副本。</w:t>
      </w:r>
    </w:p>
    <w:p w14:paraId="4695157A">
      <w:pPr>
        <w:pStyle w:val="15"/>
        <w:ind w:firstLine="480"/>
        <w:jc w:val="left"/>
        <w:rPr>
          <w:color w:val="auto"/>
        </w:rPr>
      </w:pPr>
      <w:r>
        <w:rPr>
          <w:color w:val="auto"/>
        </w:rPr>
        <w:t>根据本函，本供应商代表宣布我方保证遵守</w:t>
      </w:r>
      <w:r>
        <w:rPr>
          <w:rFonts w:hint="eastAsia"/>
          <w:color w:val="auto"/>
          <w:lang w:eastAsia="zh-CN"/>
        </w:rPr>
        <w:t>单一来源采购文件</w:t>
      </w:r>
      <w:r>
        <w:rPr>
          <w:color w:val="auto"/>
        </w:rPr>
        <w:t>的全部规定，同时：</w:t>
      </w:r>
    </w:p>
    <w:p w14:paraId="05AE36A2">
      <w:pPr>
        <w:pStyle w:val="15"/>
        <w:ind w:firstLine="480"/>
        <w:jc w:val="left"/>
        <w:rPr>
          <w:color w:val="auto"/>
        </w:rPr>
      </w:pPr>
      <w:r>
        <w:rPr>
          <w:color w:val="auto"/>
        </w:rPr>
        <w:t>1、确认：</w:t>
      </w:r>
    </w:p>
    <w:p w14:paraId="70F993AA">
      <w:pPr>
        <w:pStyle w:val="15"/>
        <w:ind w:firstLine="480"/>
        <w:jc w:val="left"/>
        <w:rPr>
          <w:color w:val="auto"/>
        </w:rPr>
      </w:pPr>
      <w:r>
        <w:rPr>
          <w:color w:val="auto"/>
        </w:rPr>
        <w:t>1.1所投采购包的报价详见“开标（报价）一览表”，最终成交价格以双方协商一致的有效报价为准。</w:t>
      </w:r>
    </w:p>
    <w:p w14:paraId="2F9AD921">
      <w:pPr>
        <w:pStyle w:val="15"/>
        <w:ind w:firstLine="480"/>
        <w:jc w:val="left"/>
        <w:rPr>
          <w:color w:val="auto"/>
        </w:rPr>
      </w:pPr>
      <w:r>
        <w:rPr>
          <w:color w:val="auto"/>
        </w:rPr>
        <w:t>1.2我方已详细审查全部采购文件及其附件（若有），包括其澄清或修改（若有），并将自行承担因对全部采购文件理解不正确或误解而产生的相应后果。</w:t>
      </w:r>
    </w:p>
    <w:p w14:paraId="00C487D0">
      <w:pPr>
        <w:pStyle w:val="15"/>
        <w:ind w:firstLine="480"/>
        <w:jc w:val="left"/>
        <w:rPr>
          <w:color w:val="auto"/>
        </w:rPr>
      </w:pPr>
      <w:r>
        <w:rPr>
          <w:color w:val="auto"/>
        </w:rPr>
        <w:t>2、承诺</w:t>
      </w:r>
    </w:p>
    <w:p w14:paraId="3B7693DC">
      <w:pPr>
        <w:pStyle w:val="15"/>
        <w:ind w:firstLine="480"/>
        <w:jc w:val="left"/>
        <w:rPr>
          <w:color w:val="auto"/>
        </w:rPr>
      </w:pPr>
      <w:r>
        <w:rPr>
          <w:color w:val="auto"/>
        </w:rPr>
        <w:t>2.1采购文件各组成部分的内容及其所提交的全部资料是不可割离且真实、有效、准确、完整和不具有任何误导性的，否则造成不利后果由我方承担责任。</w:t>
      </w:r>
    </w:p>
    <w:p w14:paraId="61E9CD59">
      <w:pPr>
        <w:pStyle w:val="15"/>
        <w:ind w:firstLine="480"/>
        <w:jc w:val="left"/>
        <w:rPr>
          <w:color w:val="auto"/>
        </w:rPr>
      </w:pPr>
      <w:r>
        <w:rPr>
          <w:color w:val="auto"/>
        </w:rPr>
        <w:t>2.</w:t>
      </w:r>
      <w:r>
        <w:rPr>
          <w:rFonts w:hint="eastAsia"/>
          <w:color w:val="auto"/>
          <w:lang w:val="en-US" w:eastAsia="zh-CN"/>
        </w:rPr>
        <w:t>2</w:t>
      </w:r>
      <w:r>
        <w:rPr>
          <w:color w:val="auto"/>
        </w:rPr>
        <w:t>协商有效期：按照采购文件第三章规定执行，并在采购文件第二章载明的期限内保持有效。</w:t>
      </w:r>
    </w:p>
    <w:p w14:paraId="025EE6E6">
      <w:pPr>
        <w:pStyle w:val="15"/>
        <w:ind w:firstLine="480"/>
        <w:jc w:val="left"/>
        <w:rPr>
          <w:color w:val="auto"/>
        </w:rPr>
      </w:pPr>
      <w:r>
        <w:rPr>
          <w:color w:val="auto"/>
        </w:rPr>
        <w:t>2.</w:t>
      </w:r>
      <w:r>
        <w:rPr>
          <w:rFonts w:hint="eastAsia"/>
          <w:color w:val="auto"/>
          <w:lang w:val="en-US" w:eastAsia="zh-CN"/>
        </w:rPr>
        <w:t>3</w:t>
      </w:r>
      <w:r>
        <w:rPr>
          <w:color w:val="auto"/>
        </w:rPr>
        <w:t>若成交，则按照采购文件、我方响应文件及</w:t>
      </w:r>
      <w:r>
        <w:rPr>
          <w:rFonts w:hint="eastAsia"/>
          <w:color w:val="auto"/>
          <w:lang w:eastAsia="zh-CN"/>
        </w:rPr>
        <w:t>合同</w:t>
      </w:r>
      <w:r>
        <w:rPr>
          <w:color w:val="auto"/>
        </w:rPr>
        <w:t>的约定履行责任和义务。</w:t>
      </w:r>
    </w:p>
    <w:p w14:paraId="082251B2">
      <w:pPr>
        <w:pStyle w:val="15"/>
        <w:ind w:firstLine="480"/>
        <w:jc w:val="left"/>
        <w:rPr>
          <w:color w:val="auto"/>
        </w:rPr>
      </w:pPr>
      <w:r>
        <w:rPr>
          <w:color w:val="auto"/>
        </w:rPr>
        <w:t>2.</w:t>
      </w:r>
      <w:r>
        <w:rPr>
          <w:rFonts w:hint="eastAsia"/>
          <w:color w:val="auto"/>
          <w:lang w:val="en-US" w:eastAsia="zh-CN"/>
        </w:rPr>
        <w:t>4</w:t>
      </w:r>
      <w:r>
        <w:rPr>
          <w:color w:val="auto"/>
        </w:rPr>
        <w:t>我方承诺遵守《中华人民共和国劳动合同法》有关规定和《中华人民共和国妇女权益保障法》中关于“劳动和社会保障权益”的有关要求。</w:t>
      </w:r>
    </w:p>
    <w:p w14:paraId="2330CB12">
      <w:pPr>
        <w:pStyle w:val="15"/>
        <w:ind w:firstLine="480"/>
        <w:jc w:val="left"/>
        <w:rPr>
          <w:color w:val="auto"/>
        </w:rPr>
      </w:pPr>
      <w:r>
        <w:rPr>
          <w:color w:val="auto"/>
        </w:rPr>
        <w:t>2.</w:t>
      </w:r>
      <w:r>
        <w:rPr>
          <w:rFonts w:hint="eastAsia"/>
          <w:color w:val="auto"/>
          <w:lang w:val="en-US" w:eastAsia="zh-CN"/>
        </w:rPr>
        <w:t>5</w:t>
      </w:r>
      <w:r>
        <w:rPr>
          <w:color w:val="auto"/>
        </w:rPr>
        <w:t>若贵单位要求，我方同意提供与本项目采购有关的一切资料、数据或文件，并完全理解贵单位不一定要接受我方的报价。</w:t>
      </w:r>
    </w:p>
    <w:p w14:paraId="49277490">
      <w:pPr>
        <w:pStyle w:val="15"/>
        <w:ind w:firstLine="480"/>
        <w:jc w:val="left"/>
        <w:rPr>
          <w:color w:val="auto"/>
        </w:rPr>
      </w:pPr>
      <w:r>
        <w:rPr>
          <w:color w:val="auto"/>
        </w:rPr>
        <w:t>3、声明</w:t>
      </w:r>
    </w:p>
    <w:p w14:paraId="30835435">
      <w:pPr>
        <w:pStyle w:val="15"/>
        <w:ind w:firstLine="480"/>
        <w:jc w:val="left"/>
        <w:rPr>
          <w:color w:val="auto"/>
        </w:rPr>
      </w:pPr>
      <w:r>
        <w:rPr>
          <w:color w:val="auto"/>
        </w:rPr>
        <w:t>3.1我方具备采购文件第一章载明的“供应商的资格要求”且我方承诺在参加采购活动前三年内在经营活动中没有《政府采购法》第二十二条第一款第(五)项所称重大违法记录，包括：我单位或者单位负责人、董事、监事、高级管理人员未因经营活动中的违法行为受到刑事处罚或者责令停产停业、吊销许可证或者执照、较大数额罚款等行政处罚。</w:t>
      </w:r>
    </w:p>
    <w:p w14:paraId="2FCDF5AE">
      <w:pPr>
        <w:pStyle w:val="15"/>
        <w:ind w:firstLine="480"/>
        <w:jc w:val="left"/>
        <w:rPr>
          <w:color w:val="auto"/>
        </w:rPr>
      </w:pPr>
      <w:r>
        <w:rPr>
          <w:color w:val="auto"/>
        </w:rPr>
        <w:t>3.2与本项目协商过程中有关的一切正式往来通讯请寄：</w:t>
      </w:r>
    </w:p>
    <w:p w14:paraId="0CC25903">
      <w:pPr>
        <w:pStyle w:val="15"/>
        <w:ind w:firstLine="480"/>
        <w:jc w:val="left"/>
        <w:rPr>
          <w:color w:val="auto"/>
        </w:rPr>
      </w:pPr>
      <w:r>
        <w:rPr>
          <w:color w:val="auto"/>
        </w:rPr>
        <w:t>地址：</w:t>
      </w:r>
      <w:r>
        <w:rPr>
          <w:color w:val="auto"/>
          <w:u w:val="single"/>
        </w:rPr>
        <w:t>　　　　　　　</w:t>
      </w:r>
      <w:r>
        <w:rPr>
          <w:color w:val="auto"/>
        </w:rPr>
        <w:t>邮编：</w:t>
      </w:r>
      <w:r>
        <w:rPr>
          <w:color w:val="auto"/>
          <w:u w:val="single"/>
        </w:rPr>
        <w:t>　　　　　　　</w:t>
      </w:r>
    </w:p>
    <w:p w14:paraId="48178DF5">
      <w:pPr>
        <w:pStyle w:val="15"/>
        <w:ind w:firstLine="480"/>
        <w:jc w:val="left"/>
        <w:rPr>
          <w:color w:val="auto"/>
        </w:rPr>
      </w:pPr>
      <w:r>
        <w:rPr>
          <w:color w:val="auto"/>
        </w:rPr>
        <w:t>联系方法：</w:t>
      </w:r>
      <w:r>
        <w:rPr>
          <w:color w:val="auto"/>
          <w:u w:val="single"/>
        </w:rPr>
        <w:t>　　　　　　　</w:t>
      </w:r>
    </w:p>
    <w:p w14:paraId="27B4B973">
      <w:pPr>
        <w:pStyle w:val="15"/>
        <w:ind w:firstLine="480"/>
        <w:jc w:val="right"/>
        <w:rPr>
          <w:color w:val="auto"/>
        </w:rPr>
      </w:pPr>
      <w:r>
        <w:rPr>
          <w:color w:val="auto"/>
        </w:rPr>
        <w:t>供应商代表签名或签章：</w:t>
      </w:r>
      <w:r>
        <w:rPr>
          <w:color w:val="auto"/>
          <w:u w:val="single"/>
        </w:rPr>
        <w:t>　　　　　　　</w:t>
      </w:r>
    </w:p>
    <w:p w14:paraId="23CEFDE6">
      <w:pPr>
        <w:pStyle w:val="15"/>
        <w:ind w:firstLine="480"/>
        <w:jc w:val="right"/>
        <w:rPr>
          <w:color w:val="auto"/>
        </w:rPr>
      </w:pPr>
      <w:r>
        <w:rPr>
          <w:color w:val="auto"/>
        </w:rPr>
        <w:t>供应商（全称并加盖公章）：</w:t>
      </w:r>
      <w:r>
        <w:rPr>
          <w:color w:val="auto"/>
          <w:u w:val="single"/>
        </w:rPr>
        <w:t>　　　　　　　</w:t>
      </w:r>
    </w:p>
    <w:p w14:paraId="40C46F1B">
      <w:pPr>
        <w:pStyle w:val="15"/>
        <w:ind w:firstLine="480"/>
        <w:jc w:val="right"/>
        <w:rPr>
          <w:color w:val="auto"/>
        </w:rPr>
      </w:pPr>
      <w:r>
        <w:rPr>
          <w:color w:val="auto"/>
        </w:rPr>
        <w:t>日期：　　年　　月　　日</w:t>
      </w:r>
    </w:p>
    <w:p w14:paraId="4B40CEA4">
      <w:pPr>
        <w:pStyle w:val="15"/>
        <w:rPr>
          <w:color w:val="auto"/>
        </w:rPr>
      </w:pPr>
      <w:r>
        <w:rPr>
          <w:color w:val="auto"/>
        </w:rPr>
        <w:br w:type="textWrapping"/>
      </w:r>
      <w:r>
        <w:rPr>
          <w:color w:val="auto"/>
        </w:rPr>
        <w:br w:type="page"/>
      </w:r>
    </w:p>
    <w:p w14:paraId="715815AF">
      <w:pPr>
        <w:pStyle w:val="15"/>
        <w:jc w:val="center"/>
        <w:outlineLvl w:val="2"/>
        <w:rPr>
          <w:color w:val="auto"/>
        </w:rPr>
      </w:pPr>
      <w:r>
        <w:rPr>
          <w:b/>
          <w:color w:val="auto"/>
          <w:sz w:val="28"/>
        </w:rPr>
        <w:t>附件1、法定代表人或单位负责人身份证明复印件</w:t>
      </w:r>
    </w:p>
    <w:p w14:paraId="34645677">
      <w:pPr>
        <w:pStyle w:val="15"/>
        <w:jc w:val="left"/>
        <w:rPr>
          <w:color w:val="auto"/>
        </w:rPr>
      </w:pPr>
      <w:r>
        <w:rPr>
          <w:color w:val="auto"/>
        </w:rPr>
        <w:br w:type="textWrapping"/>
      </w:r>
    </w:p>
    <w:p w14:paraId="4059FE02">
      <w:pPr>
        <w:pStyle w:val="15"/>
        <w:jc w:val="left"/>
        <w:rPr>
          <w:color w:val="auto"/>
        </w:rPr>
      </w:pPr>
      <w:r>
        <w:rPr>
          <w:color w:val="auto"/>
        </w:rPr>
        <w:t>法定代表人或单位负责人身份证正面复印件</w:t>
      </w:r>
    </w:p>
    <w:p w14:paraId="076C4E5A">
      <w:pPr>
        <w:pStyle w:val="15"/>
        <w:jc w:val="left"/>
        <w:rPr>
          <w:color w:val="auto"/>
        </w:rPr>
      </w:pPr>
      <w:r>
        <w:rPr>
          <w:color w:val="auto"/>
        </w:rPr>
        <w:t>（正面）</w:t>
      </w:r>
      <w:r>
        <w:rPr>
          <w:color w:val="auto"/>
        </w:rPr>
        <w:br w:type="textWrapping"/>
      </w:r>
    </w:p>
    <w:p w14:paraId="5729EFF3">
      <w:pPr>
        <w:pStyle w:val="15"/>
        <w:pBdr>
          <w:top w:val="dashed" w:color="000000" w:sz="4" w:space="0"/>
          <w:left w:val="dashed" w:color="000000" w:sz="4" w:space="0"/>
          <w:bottom w:val="dashed" w:color="000000" w:sz="4" w:space="0"/>
          <w:right w:val="dashed" w:color="000000" w:sz="4" w:space="0"/>
        </w:pBdr>
        <w:jc w:val="center"/>
        <w:rPr>
          <w:color w:val="auto"/>
        </w:rPr>
      </w:pPr>
      <w:r>
        <w:rPr>
          <w:color w:val="auto"/>
        </w:rPr>
        <w:br w:type="textWrapping"/>
      </w:r>
    </w:p>
    <w:p w14:paraId="170F0278">
      <w:pPr>
        <w:pStyle w:val="15"/>
        <w:jc w:val="center"/>
        <w:rPr>
          <w:color w:val="auto"/>
        </w:rPr>
      </w:pPr>
      <w:r>
        <w:rPr>
          <w:color w:val="auto"/>
        </w:rPr>
        <w:t>法定代表人或单位负责人身份证反面复印件</w:t>
      </w:r>
    </w:p>
    <w:p w14:paraId="03E21751">
      <w:pPr>
        <w:pStyle w:val="15"/>
        <w:jc w:val="center"/>
        <w:rPr>
          <w:color w:val="auto"/>
        </w:rPr>
      </w:pPr>
      <w:r>
        <w:rPr>
          <w:color w:val="auto"/>
        </w:rPr>
        <w:t>（反面）</w:t>
      </w:r>
      <w:r>
        <w:rPr>
          <w:color w:val="auto"/>
        </w:rPr>
        <w:br w:type="textWrapping"/>
      </w:r>
    </w:p>
    <w:p w14:paraId="782544B6">
      <w:pPr>
        <w:pStyle w:val="15"/>
        <w:ind w:firstLine="480"/>
        <w:jc w:val="left"/>
        <w:rPr>
          <w:color w:val="auto"/>
        </w:rPr>
      </w:pPr>
      <w:r>
        <w:rPr>
          <w:color w:val="auto"/>
        </w:rPr>
        <w:t>注：“单位负责人”指单位法定代表人（供应商为法人的）或法律、法规规定代表单位行使职权的主要负责人（供应商为其他组织的）。</w:t>
      </w:r>
    </w:p>
    <w:p w14:paraId="58E6B64A">
      <w:pPr>
        <w:pStyle w:val="15"/>
        <w:ind w:firstLine="480"/>
        <w:jc w:val="right"/>
        <w:rPr>
          <w:color w:val="auto"/>
        </w:rPr>
      </w:pPr>
      <w:r>
        <w:rPr>
          <w:color w:val="auto"/>
        </w:rPr>
        <w:t>供应商代表签名或签章：</w:t>
      </w:r>
      <w:r>
        <w:rPr>
          <w:color w:val="auto"/>
          <w:u w:val="single"/>
        </w:rPr>
        <w:t>　　　　　　　</w:t>
      </w:r>
    </w:p>
    <w:p w14:paraId="0CADF014">
      <w:pPr>
        <w:pStyle w:val="15"/>
        <w:ind w:firstLine="480"/>
        <w:jc w:val="right"/>
        <w:rPr>
          <w:color w:val="auto"/>
        </w:rPr>
      </w:pPr>
      <w:r>
        <w:rPr>
          <w:color w:val="auto"/>
        </w:rPr>
        <w:t>供应商（全称并加盖公章）：</w:t>
      </w:r>
      <w:r>
        <w:rPr>
          <w:color w:val="auto"/>
          <w:u w:val="single"/>
        </w:rPr>
        <w:t>　　　　　　　</w:t>
      </w:r>
    </w:p>
    <w:p w14:paraId="4E5D5FC4">
      <w:pPr>
        <w:pStyle w:val="15"/>
        <w:ind w:firstLine="480"/>
        <w:jc w:val="right"/>
        <w:rPr>
          <w:color w:val="auto"/>
        </w:rPr>
      </w:pPr>
      <w:r>
        <w:rPr>
          <w:color w:val="auto"/>
        </w:rPr>
        <w:t>日期：　　年　　月　　日</w:t>
      </w:r>
    </w:p>
    <w:p w14:paraId="12BD0BA0">
      <w:pPr>
        <w:pStyle w:val="15"/>
        <w:rPr>
          <w:color w:val="auto"/>
        </w:rPr>
      </w:pPr>
      <w:r>
        <w:rPr>
          <w:color w:val="auto"/>
        </w:rPr>
        <w:br w:type="textWrapping"/>
      </w:r>
      <w:r>
        <w:rPr>
          <w:color w:val="auto"/>
        </w:rPr>
        <w:br w:type="page"/>
      </w:r>
    </w:p>
    <w:p w14:paraId="29C54772">
      <w:pPr>
        <w:pStyle w:val="15"/>
        <w:jc w:val="center"/>
        <w:rPr>
          <w:color w:val="auto"/>
        </w:rPr>
      </w:pPr>
      <w:r>
        <w:rPr>
          <w:color w:val="auto"/>
        </w:rPr>
        <w:t>附件2、单位负责人授权书(注：单位负责人参加协商的可无须提供本函)</w:t>
      </w:r>
    </w:p>
    <w:p w14:paraId="4945274D">
      <w:pPr>
        <w:pStyle w:val="15"/>
        <w:ind w:firstLine="480"/>
        <w:jc w:val="left"/>
        <w:rPr>
          <w:color w:val="auto"/>
        </w:rPr>
      </w:pPr>
      <w:r>
        <w:rPr>
          <w:color w:val="auto"/>
        </w:rPr>
        <w:t>致：</w:t>
      </w:r>
      <w:r>
        <w:rPr>
          <w:color w:val="auto"/>
          <w:u w:val="single"/>
        </w:rPr>
        <w:t>（采购人或采购代理机构）</w:t>
      </w:r>
    </w:p>
    <w:p w14:paraId="503C6ED1">
      <w:pPr>
        <w:pStyle w:val="15"/>
        <w:ind w:firstLine="480"/>
        <w:jc w:val="left"/>
        <w:rPr>
          <w:color w:val="auto"/>
        </w:rPr>
      </w:pPr>
      <w:r>
        <w:rPr>
          <w:color w:val="auto"/>
          <w:u w:val="single"/>
        </w:rPr>
        <w:t>（供应商全称）</w:t>
      </w:r>
      <w:r>
        <w:rPr>
          <w:color w:val="auto"/>
        </w:rPr>
        <w:t>单位负责人</w:t>
      </w:r>
      <w:r>
        <w:rPr>
          <w:color w:val="auto"/>
          <w:u w:val="single"/>
        </w:rPr>
        <w:t>　　　　　</w:t>
      </w:r>
      <w:r>
        <w:rPr>
          <w:color w:val="auto"/>
        </w:rPr>
        <w:t>授权</w:t>
      </w:r>
      <w:r>
        <w:rPr>
          <w:color w:val="auto"/>
          <w:u w:val="single"/>
        </w:rPr>
        <w:t>（供应商代表姓名）</w:t>
      </w:r>
      <w:r>
        <w:rPr>
          <w:color w:val="auto"/>
        </w:rPr>
        <w:t>为本供应商协商代表，代表本供应商参加贵司组织的</w:t>
      </w:r>
      <w:r>
        <w:rPr>
          <w:color w:val="auto"/>
          <w:u w:val="single"/>
        </w:rPr>
        <w:t>　　　　　</w:t>
      </w:r>
      <w:r>
        <w:rPr>
          <w:color w:val="auto"/>
        </w:rPr>
        <w:t>项目</w:t>
      </w:r>
      <w:r>
        <w:rPr>
          <w:color w:val="auto"/>
          <w:u w:val="single"/>
        </w:rPr>
        <w:t>（项目编号：　　　　　）</w:t>
      </w:r>
      <w:r>
        <w:rPr>
          <w:color w:val="auto"/>
        </w:rPr>
        <w:t>协商活动，全权代表本供应商处理协商过程的一切事宜，包括但不限于：报价、签约等。协商代表在协商过程中所签署的一切文件和处理与之有关的一切事务，本供应商均予以认可并对此承担责任。协商代表无转委托权。特此授权。</w:t>
      </w:r>
    </w:p>
    <w:p w14:paraId="7A1A0496">
      <w:pPr>
        <w:pStyle w:val="15"/>
        <w:ind w:firstLine="480"/>
        <w:jc w:val="left"/>
        <w:rPr>
          <w:color w:val="auto"/>
        </w:rPr>
      </w:pPr>
      <w:r>
        <w:rPr>
          <w:color w:val="auto"/>
        </w:rPr>
        <w:t>本授权书自出具之日起生效。</w:t>
      </w:r>
    </w:p>
    <w:p w14:paraId="6CB58AD3">
      <w:pPr>
        <w:pStyle w:val="15"/>
        <w:ind w:firstLine="480"/>
        <w:jc w:val="left"/>
        <w:rPr>
          <w:color w:val="auto"/>
        </w:rPr>
      </w:pPr>
      <w:r>
        <w:rPr>
          <w:color w:val="auto"/>
        </w:rPr>
        <w:t>单位负责人：</w:t>
      </w:r>
      <w:r>
        <w:rPr>
          <w:color w:val="auto"/>
          <w:u w:val="single"/>
        </w:rPr>
        <w:t>　　　　　　　</w:t>
      </w:r>
      <w:r>
        <w:rPr>
          <w:color w:val="auto"/>
        </w:rPr>
        <w:t>性别：</w:t>
      </w:r>
      <w:r>
        <w:rPr>
          <w:color w:val="auto"/>
          <w:u w:val="single"/>
        </w:rPr>
        <w:t>　　　　　　　</w:t>
      </w:r>
      <w:r>
        <w:rPr>
          <w:color w:val="auto"/>
        </w:rPr>
        <w:t>身份证号：</w:t>
      </w:r>
      <w:r>
        <w:rPr>
          <w:color w:val="auto"/>
          <w:u w:val="single"/>
        </w:rPr>
        <w:t>　　　　　　　</w:t>
      </w:r>
    </w:p>
    <w:p w14:paraId="42BF8EFF">
      <w:pPr>
        <w:pStyle w:val="15"/>
        <w:ind w:firstLine="480"/>
        <w:jc w:val="left"/>
        <w:rPr>
          <w:color w:val="auto"/>
        </w:rPr>
      </w:pPr>
      <w:r>
        <w:rPr>
          <w:color w:val="auto"/>
        </w:rPr>
        <w:t>协商代表：</w:t>
      </w:r>
      <w:r>
        <w:rPr>
          <w:color w:val="auto"/>
          <w:u w:val="single"/>
        </w:rPr>
        <w:t>　　　　　　　</w:t>
      </w:r>
      <w:r>
        <w:rPr>
          <w:color w:val="auto"/>
        </w:rPr>
        <w:t>性别：</w:t>
      </w:r>
      <w:r>
        <w:rPr>
          <w:color w:val="auto"/>
          <w:u w:val="single"/>
        </w:rPr>
        <w:t>　　　　　　　</w:t>
      </w:r>
      <w:r>
        <w:rPr>
          <w:color w:val="auto"/>
        </w:rPr>
        <w:t>身份证号：</w:t>
      </w:r>
      <w:r>
        <w:rPr>
          <w:color w:val="auto"/>
          <w:u w:val="single"/>
        </w:rPr>
        <w:t>　　　　　　　</w:t>
      </w:r>
    </w:p>
    <w:p w14:paraId="1AA0A986">
      <w:pPr>
        <w:pStyle w:val="15"/>
        <w:ind w:firstLine="480"/>
        <w:jc w:val="left"/>
        <w:rPr>
          <w:color w:val="auto"/>
        </w:rPr>
      </w:pPr>
      <w:r>
        <w:rPr>
          <w:color w:val="auto"/>
        </w:rPr>
        <w:t>单位：</w:t>
      </w:r>
      <w:r>
        <w:rPr>
          <w:color w:val="auto"/>
          <w:u w:val="single"/>
        </w:rPr>
        <w:t>　　　　　　　</w:t>
      </w:r>
      <w:r>
        <w:rPr>
          <w:color w:val="auto"/>
        </w:rPr>
        <w:t>部门：</w:t>
      </w:r>
      <w:r>
        <w:rPr>
          <w:color w:val="auto"/>
          <w:u w:val="single"/>
        </w:rPr>
        <w:t>　　　　　　　</w:t>
      </w:r>
      <w:r>
        <w:rPr>
          <w:color w:val="auto"/>
        </w:rPr>
        <w:t>职务：</w:t>
      </w:r>
      <w:r>
        <w:rPr>
          <w:color w:val="auto"/>
          <w:u w:val="single"/>
        </w:rPr>
        <w:t>　　　　　　　</w:t>
      </w:r>
    </w:p>
    <w:p w14:paraId="1BE6B58E">
      <w:pPr>
        <w:pStyle w:val="15"/>
        <w:ind w:firstLine="480"/>
        <w:jc w:val="left"/>
        <w:rPr>
          <w:color w:val="auto"/>
        </w:rPr>
      </w:pPr>
      <w:r>
        <w:rPr>
          <w:color w:val="auto"/>
        </w:rPr>
        <w:t>详细通讯地址：</w:t>
      </w:r>
      <w:r>
        <w:rPr>
          <w:color w:val="auto"/>
          <w:u w:val="single"/>
        </w:rPr>
        <w:t>　　　　　　　</w:t>
      </w:r>
      <w:r>
        <w:rPr>
          <w:color w:val="auto"/>
        </w:rPr>
        <w:t>邮政编码：</w:t>
      </w:r>
      <w:r>
        <w:rPr>
          <w:color w:val="auto"/>
          <w:u w:val="single"/>
        </w:rPr>
        <w:t>　　　　　　　</w:t>
      </w:r>
      <w:r>
        <w:rPr>
          <w:color w:val="auto"/>
        </w:rPr>
        <w:t>电话：</w:t>
      </w:r>
      <w:r>
        <w:rPr>
          <w:color w:val="auto"/>
          <w:u w:val="single"/>
        </w:rPr>
        <w:t>　　　　　　　</w:t>
      </w:r>
    </w:p>
    <w:p w14:paraId="0412F081">
      <w:pPr>
        <w:pStyle w:val="15"/>
        <w:ind w:firstLine="480"/>
        <w:jc w:val="left"/>
        <w:rPr>
          <w:color w:val="auto"/>
        </w:rPr>
      </w:pPr>
      <w:r>
        <w:rPr>
          <w:color w:val="auto"/>
        </w:rPr>
        <w:t>附：被授权人身份证正反面复印件</w:t>
      </w:r>
    </w:p>
    <w:p w14:paraId="6274F863">
      <w:pPr>
        <w:pStyle w:val="15"/>
        <w:jc w:val="left"/>
        <w:rPr>
          <w:color w:val="auto"/>
        </w:rPr>
      </w:pPr>
      <w:r>
        <w:rPr>
          <w:color w:val="auto"/>
        </w:rPr>
        <w:br w:type="textWrapping"/>
      </w:r>
    </w:p>
    <w:p w14:paraId="697F0C08">
      <w:pPr>
        <w:pStyle w:val="15"/>
        <w:jc w:val="center"/>
        <w:rPr>
          <w:color w:val="auto"/>
        </w:rPr>
      </w:pPr>
      <w:r>
        <w:rPr>
          <w:color w:val="auto"/>
        </w:rPr>
        <w:t>被授权代表身份证正面复印件</w:t>
      </w:r>
    </w:p>
    <w:p w14:paraId="3EEE051F">
      <w:pPr>
        <w:pStyle w:val="15"/>
        <w:jc w:val="center"/>
        <w:rPr>
          <w:color w:val="auto"/>
        </w:rPr>
      </w:pPr>
      <w:r>
        <w:rPr>
          <w:color w:val="auto"/>
        </w:rPr>
        <w:t>（正面）</w:t>
      </w:r>
      <w:r>
        <w:rPr>
          <w:color w:val="auto"/>
        </w:rPr>
        <w:br w:type="textWrapping"/>
      </w:r>
    </w:p>
    <w:p w14:paraId="54A4C69A">
      <w:pPr>
        <w:pStyle w:val="15"/>
        <w:pBdr>
          <w:top w:val="dashed" w:color="000000" w:sz="4" w:space="0"/>
          <w:left w:val="dashed" w:color="000000" w:sz="4" w:space="0"/>
          <w:bottom w:val="dashed" w:color="000000" w:sz="4" w:space="0"/>
          <w:right w:val="dashed" w:color="000000" w:sz="4" w:space="0"/>
        </w:pBdr>
        <w:jc w:val="center"/>
        <w:rPr>
          <w:color w:val="auto"/>
        </w:rPr>
      </w:pPr>
      <w:r>
        <w:rPr>
          <w:color w:val="auto"/>
        </w:rPr>
        <w:br w:type="textWrapping"/>
      </w:r>
    </w:p>
    <w:p w14:paraId="30F3AA69">
      <w:pPr>
        <w:pStyle w:val="15"/>
        <w:jc w:val="center"/>
        <w:rPr>
          <w:color w:val="auto"/>
        </w:rPr>
      </w:pPr>
      <w:r>
        <w:rPr>
          <w:color w:val="auto"/>
        </w:rPr>
        <w:t>被授权代表身份证反面复印件</w:t>
      </w:r>
    </w:p>
    <w:p w14:paraId="7B1611DF">
      <w:pPr>
        <w:pStyle w:val="15"/>
        <w:jc w:val="center"/>
        <w:rPr>
          <w:color w:val="auto"/>
        </w:rPr>
      </w:pPr>
      <w:r>
        <w:rPr>
          <w:color w:val="auto"/>
        </w:rPr>
        <w:t>（反面）</w:t>
      </w:r>
    </w:p>
    <w:p w14:paraId="60906CEB">
      <w:pPr>
        <w:pStyle w:val="15"/>
        <w:jc w:val="center"/>
        <w:rPr>
          <w:color w:val="auto"/>
        </w:rPr>
      </w:pPr>
    </w:p>
    <w:p w14:paraId="09319654">
      <w:pPr>
        <w:pStyle w:val="15"/>
        <w:jc w:val="center"/>
        <w:rPr>
          <w:color w:val="auto"/>
        </w:rPr>
      </w:pPr>
      <w:r>
        <w:rPr>
          <w:color w:val="auto"/>
        </w:rPr>
        <w:br w:type="textWrapping"/>
      </w:r>
    </w:p>
    <w:p w14:paraId="3727550C">
      <w:pPr>
        <w:pStyle w:val="15"/>
        <w:jc w:val="left"/>
        <w:rPr>
          <w:color w:val="auto"/>
        </w:rPr>
      </w:pPr>
      <w:r>
        <w:rPr>
          <w:color w:val="auto"/>
        </w:rPr>
        <w:t>授权方：</w:t>
      </w:r>
      <w:r>
        <w:rPr>
          <w:color w:val="auto"/>
          <w:u w:val="single"/>
        </w:rPr>
        <w:t>　　　　　　　</w:t>
      </w:r>
    </w:p>
    <w:p w14:paraId="138993A8">
      <w:pPr>
        <w:pStyle w:val="15"/>
        <w:ind w:firstLine="480"/>
        <w:jc w:val="left"/>
        <w:rPr>
          <w:color w:val="auto"/>
        </w:rPr>
      </w:pPr>
      <w:r>
        <w:rPr>
          <w:color w:val="auto"/>
        </w:rPr>
        <w:t>供应商（全称并加盖公章）：</w:t>
      </w:r>
      <w:r>
        <w:rPr>
          <w:color w:val="auto"/>
          <w:u w:val="single"/>
        </w:rPr>
        <w:t>　　　　　　　</w:t>
      </w:r>
    </w:p>
    <w:p w14:paraId="5E3080CD">
      <w:pPr>
        <w:pStyle w:val="15"/>
        <w:ind w:firstLine="480"/>
        <w:jc w:val="left"/>
        <w:rPr>
          <w:color w:val="auto"/>
        </w:rPr>
      </w:pPr>
      <w:r>
        <w:rPr>
          <w:color w:val="auto"/>
        </w:rPr>
        <w:t>单位负责人签名或签章：</w:t>
      </w:r>
      <w:r>
        <w:rPr>
          <w:color w:val="auto"/>
          <w:u w:val="single"/>
        </w:rPr>
        <w:t>　　　　　　　</w:t>
      </w:r>
    </w:p>
    <w:p w14:paraId="62DBB0E2">
      <w:pPr>
        <w:pStyle w:val="15"/>
        <w:ind w:firstLine="480"/>
        <w:jc w:val="left"/>
        <w:rPr>
          <w:color w:val="auto"/>
        </w:rPr>
      </w:pPr>
      <w:r>
        <w:rPr>
          <w:color w:val="auto"/>
        </w:rPr>
        <w:t>日期：　　年　　月　　日</w:t>
      </w:r>
    </w:p>
    <w:p w14:paraId="198841A2">
      <w:pPr>
        <w:pStyle w:val="15"/>
        <w:jc w:val="left"/>
        <w:rPr>
          <w:color w:val="auto"/>
        </w:rPr>
      </w:pPr>
      <w:r>
        <w:rPr>
          <w:color w:val="auto"/>
        </w:rPr>
        <w:t>接受授权方：</w:t>
      </w:r>
      <w:r>
        <w:rPr>
          <w:color w:val="auto"/>
          <w:u w:val="single"/>
        </w:rPr>
        <w:t>　　　　　　　</w:t>
      </w:r>
    </w:p>
    <w:p w14:paraId="1FE1F78F">
      <w:pPr>
        <w:pStyle w:val="15"/>
        <w:ind w:firstLine="480"/>
        <w:jc w:val="right"/>
        <w:rPr>
          <w:color w:val="auto"/>
        </w:rPr>
      </w:pPr>
      <w:r>
        <w:rPr>
          <w:color w:val="auto"/>
        </w:rPr>
        <w:t>供应商代表签名或签章：</w:t>
      </w:r>
      <w:r>
        <w:rPr>
          <w:color w:val="auto"/>
          <w:u w:val="single"/>
        </w:rPr>
        <w:t>　　　　　　　</w:t>
      </w:r>
    </w:p>
    <w:p w14:paraId="1F548C1E">
      <w:pPr>
        <w:pStyle w:val="15"/>
        <w:ind w:firstLine="480"/>
        <w:jc w:val="right"/>
        <w:rPr>
          <w:color w:val="auto"/>
        </w:rPr>
      </w:pPr>
      <w:r>
        <w:rPr>
          <w:color w:val="auto"/>
        </w:rPr>
        <w:t>日期：　　年　　月　　日</w:t>
      </w:r>
    </w:p>
    <w:p w14:paraId="602D6F69">
      <w:pPr>
        <w:pStyle w:val="15"/>
        <w:rPr>
          <w:color w:val="auto"/>
        </w:rPr>
      </w:pPr>
      <w:r>
        <w:rPr>
          <w:color w:val="auto"/>
        </w:rPr>
        <w:br w:type="textWrapping"/>
      </w:r>
      <w:r>
        <w:rPr>
          <w:color w:val="auto"/>
        </w:rPr>
        <w:br w:type="page"/>
      </w:r>
    </w:p>
    <w:p w14:paraId="6D0FF751">
      <w:pPr>
        <w:pStyle w:val="15"/>
        <w:jc w:val="center"/>
        <w:outlineLvl w:val="2"/>
        <w:rPr>
          <w:color w:val="auto"/>
        </w:rPr>
      </w:pPr>
      <w:r>
        <w:rPr>
          <w:b/>
          <w:color w:val="auto"/>
          <w:sz w:val="28"/>
        </w:rPr>
        <w:t>二、供应商基本情况</w:t>
      </w:r>
    </w:p>
    <w:p w14:paraId="26A76419">
      <w:pPr>
        <w:pStyle w:val="15"/>
        <w:ind w:firstLine="480"/>
        <w:jc w:val="left"/>
        <w:rPr>
          <w:color w:val="auto"/>
        </w:rPr>
      </w:pPr>
      <w:r>
        <w:rPr>
          <w:color w:val="auto"/>
        </w:rPr>
        <w:t>注：根据协商文件第一章协商邀请“5.2特定资格条件”要求，允许供应商采用资格承诺制的，可提供符合要求的3-1资格承诺函，视为满足采购文件的资格要求，供应商根据响应文件格式3-1、3-2提供其中一种证明材料，若重复提供导致的不利后果，由供应商自行负责。</w:t>
      </w:r>
    </w:p>
    <w:p w14:paraId="0387FEB3">
      <w:pPr>
        <w:pStyle w:val="15"/>
        <w:ind w:firstLine="480"/>
        <w:jc w:val="center"/>
        <w:rPr>
          <w:color w:val="auto"/>
        </w:rPr>
      </w:pPr>
      <w:r>
        <w:rPr>
          <w:color w:val="auto"/>
        </w:rPr>
        <w:t>附件3-1、供应商资格承诺函</w:t>
      </w:r>
    </w:p>
    <w:p w14:paraId="13E32790">
      <w:pPr>
        <w:pStyle w:val="15"/>
        <w:ind w:firstLine="480"/>
        <w:jc w:val="left"/>
        <w:rPr>
          <w:color w:val="auto"/>
        </w:rPr>
      </w:pPr>
      <w:r>
        <w:rPr>
          <w:color w:val="auto"/>
        </w:rPr>
        <w:t>致：</w:t>
      </w:r>
      <w:r>
        <w:rPr>
          <w:color w:val="auto"/>
          <w:u w:val="single"/>
        </w:rPr>
        <w:t>（采购人或采购代理机构）</w:t>
      </w:r>
    </w:p>
    <w:p w14:paraId="7E7C21A4">
      <w:pPr>
        <w:pStyle w:val="15"/>
        <w:ind w:firstLine="960"/>
        <w:jc w:val="left"/>
        <w:rPr>
          <w:color w:val="auto"/>
        </w:rPr>
      </w:pPr>
      <w:r>
        <w:rPr>
          <w:color w:val="auto"/>
        </w:rPr>
        <w:t>单位名称(自然人姓名):</w:t>
      </w:r>
    </w:p>
    <w:p w14:paraId="73A21752">
      <w:pPr>
        <w:pStyle w:val="15"/>
        <w:ind w:firstLine="960"/>
        <w:jc w:val="left"/>
        <w:rPr>
          <w:color w:val="auto"/>
        </w:rPr>
      </w:pPr>
      <w:r>
        <w:rPr>
          <w:color w:val="auto"/>
        </w:rPr>
        <w:t>统一社会信用代码(自然人身份证号码):</w:t>
      </w:r>
    </w:p>
    <w:p w14:paraId="5A9880C2">
      <w:pPr>
        <w:pStyle w:val="15"/>
        <w:ind w:firstLine="960"/>
        <w:jc w:val="left"/>
        <w:rPr>
          <w:color w:val="auto"/>
        </w:rPr>
      </w:pPr>
      <w:r>
        <w:rPr>
          <w:color w:val="auto"/>
        </w:rPr>
        <w:t>法定代表人(负责人):</w:t>
      </w:r>
    </w:p>
    <w:p w14:paraId="38D3E847">
      <w:pPr>
        <w:pStyle w:val="15"/>
        <w:ind w:firstLine="960"/>
        <w:jc w:val="left"/>
        <w:rPr>
          <w:color w:val="auto"/>
        </w:rPr>
      </w:pPr>
      <w:r>
        <w:rPr>
          <w:color w:val="auto"/>
        </w:rPr>
        <w:t>联系地址和电话:</w:t>
      </w:r>
    </w:p>
    <w:p w14:paraId="250F2C36">
      <w:pPr>
        <w:pStyle w:val="15"/>
        <w:ind w:firstLine="480"/>
        <w:jc w:val="left"/>
        <w:rPr>
          <w:color w:val="auto"/>
        </w:rPr>
      </w:pPr>
      <w:r>
        <w:rPr>
          <w:color w:val="auto"/>
        </w:rPr>
        <w:t>我单位(本人)自愿参加本次政府采购活动，严格遵守《中华人民共和国政府采购法》及相关法律法规，坚守公开、公平公正和诚实信用等原则，依法诚信经营，并郑重承诺:</w:t>
      </w:r>
    </w:p>
    <w:p w14:paraId="384A188A">
      <w:pPr>
        <w:pStyle w:val="15"/>
        <w:ind w:firstLine="480"/>
        <w:jc w:val="left"/>
        <w:rPr>
          <w:color w:val="auto"/>
        </w:rPr>
      </w:pPr>
      <w:r>
        <w:rPr>
          <w:color w:val="auto"/>
        </w:rPr>
        <w:t>一、我单位(本人)具备采购文件要求以及《中华人民共和国政府采购法》第二十二条规定的条件:</w:t>
      </w:r>
    </w:p>
    <w:p w14:paraId="6D153EC5">
      <w:pPr>
        <w:pStyle w:val="15"/>
        <w:ind w:firstLine="960"/>
        <w:jc w:val="left"/>
        <w:rPr>
          <w:color w:val="auto"/>
        </w:rPr>
      </w:pPr>
      <w:r>
        <w:rPr>
          <w:color w:val="auto"/>
        </w:rPr>
        <w:t>1.具有独立承担民事责任的能力;</w:t>
      </w:r>
    </w:p>
    <w:p w14:paraId="42C56085">
      <w:pPr>
        <w:pStyle w:val="15"/>
        <w:ind w:firstLine="960"/>
        <w:jc w:val="left"/>
        <w:rPr>
          <w:color w:val="auto"/>
        </w:rPr>
      </w:pPr>
      <w:r>
        <w:rPr>
          <w:color w:val="auto"/>
        </w:rPr>
        <w:t>2.具有良好的商业信誉和健全的财务会计制度;</w:t>
      </w:r>
    </w:p>
    <w:p w14:paraId="37C98D35">
      <w:pPr>
        <w:pStyle w:val="15"/>
        <w:ind w:firstLine="960"/>
        <w:jc w:val="left"/>
        <w:rPr>
          <w:color w:val="auto"/>
        </w:rPr>
      </w:pPr>
      <w:r>
        <w:rPr>
          <w:color w:val="auto"/>
        </w:rPr>
        <w:t>3.具有履行合同所必需的设备和专业技术能力;</w:t>
      </w:r>
    </w:p>
    <w:p w14:paraId="6803928F">
      <w:pPr>
        <w:pStyle w:val="15"/>
        <w:ind w:firstLine="960"/>
        <w:jc w:val="left"/>
        <w:rPr>
          <w:color w:val="auto"/>
        </w:rPr>
      </w:pPr>
      <w:r>
        <w:rPr>
          <w:color w:val="auto"/>
        </w:rPr>
        <w:t>4.有依法缴纳税收和社会保障资金的良好记录;</w:t>
      </w:r>
    </w:p>
    <w:p w14:paraId="1BEE7673">
      <w:pPr>
        <w:pStyle w:val="15"/>
        <w:ind w:firstLine="960"/>
        <w:jc w:val="left"/>
        <w:rPr>
          <w:color w:val="auto"/>
        </w:rPr>
      </w:pPr>
      <w:r>
        <w:rPr>
          <w:color w:val="auto"/>
        </w:rPr>
        <w:t>5.参加政府采购活动前三年内，在经营活动中没有重大违法记录；</w:t>
      </w:r>
    </w:p>
    <w:p w14:paraId="233F4616">
      <w:pPr>
        <w:pStyle w:val="15"/>
        <w:ind w:firstLine="960"/>
        <w:jc w:val="left"/>
        <w:rPr>
          <w:color w:val="auto"/>
        </w:rPr>
      </w:pPr>
      <w:r>
        <w:rPr>
          <w:color w:val="auto"/>
        </w:rPr>
        <w:t>6.法律、行政法规规定的其他条件。</w:t>
      </w:r>
    </w:p>
    <w:p w14:paraId="423E98FB">
      <w:pPr>
        <w:pStyle w:val="15"/>
        <w:ind w:firstLine="480"/>
        <w:jc w:val="left"/>
        <w:rPr>
          <w:color w:val="auto"/>
        </w:rPr>
      </w:pPr>
      <w:r>
        <w:rPr>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4D45BA7">
      <w:pPr>
        <w:pStyle w:val="15"/>
        <w:ind w:firstLine="480"/>
        <w:jc w:val="left"/>
        <w:rPr>
          <w:color w:val="auto"/>
        </w:rPr>
      </w:pPr>
      <w:r>
        <w:rPr>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94ED650">
      <w:pPr>
        <w:pStyle w:val="15"/>
        <w:ind w:firstLine="480"/>
        <w:jc w:val="right"/>
        <w:rPr>
          <w:color w:val="auto"/>
        </w:rPr>
      </w:pPr>
      <w:r>
        <w:rPr>
          <w:color w:val="auto"/>
        </w:rPr>
        <w:t>供应商：</w:t>
      </w:r>
      <w:r>
        <w:rPr>
          <w:color w:val="auto"/>
          <w:u w:val="single"/>
        </w:rPr>
        <w:t>名称(单位公章):</w:t>
      </w:r>
    </w:p>
    <w:p w14:paraId="35F2BDA4">
      <w:pPr>
        <w:pStyle w:val="15"/>
        <w:ind w:firstLine="480"/>
        <w:jc w:val="right"/>
        <w:rPr>
          <w:color w:val="auto"/>
        </w:rPr>
      </w:pPr>
      <w:r>
        <w:rPr>
          <w:color w:val="auto"/>
        </w:rPr>
        <w:t>日期：</w:t>
      </w:r>
      <w:r>
        <w:rPr>
          <w:color w:val="auto"/>
          <w:u w:val="single"/>
        </w:rPr>
        <w:t>　　年　　月　　日</w:t>
      </w:r>
    </w:p>
    <w:p w14:paraId="3E4A01B9">
      <w:pPr>
        <w:pStyle w:val="15"/>
        <w:ind w:firstLine="480"/>
        <w:jc w:val="left"/>
        <w:rPr>
          <w:color w:val="auto"/>
        </w:rPr>
      </w:pPr>
      <w:r>
        <w:rPr>
          <w:color w:val="auto"/>
        </w:rPr>
        <w:t>注：</w:t>
      </w:r>
    </w:p>
    <w:p w14:paraId="1542BF85">
      <w:pPr>
        <w:pStyle w:val="15"/>
        <w:ind w:firstLine="960"/>
        <w:jc w:val="left"/>
        <w:rPr>
          <w:color w:val="auto"/>
        </w:rPr>
      </w:pPr>
      <w:r>
        <w:rPr>
          <w:color w:val="auto"/>
        </w:rPr>
        <w:t>1.我单位(本人)专指参加政府采购活动的供应商(含自然人)；</w:t>
      </w:r>
    </w:p>
    <w:p w14:paraId="5F9905E9">
      <w:pPr>
        <w:pStyle w:val="15"/>
        <w:ind w:firstLine="960"/>
        <w:jc w:val="left"/>
        <w:rPr>
          <w:color w:val="auto"/>
        </w:rPr>
      </w:pPr>
      <w:r>
        <w:rPr>
          <w:color w:val="auto"/>
        </w:rPr>
        <w:t>2.资格承诺的供应商应在投标(响应)文件中按此模板提供承诺函，否则，视为未按照</w:t>
      </w:r>
      <w:r>
        <w:rPr>
          <w:rFonts w:hint="eastAsia"/>
          <w:color w:val="auto"/>
          <w:lang w:eastAsia="zh-CN"/>
        </w:rPr>
        <w:t>单一来源采购文件</w:t>
      </w:r>
      <w:r>
        <w:rPr>
          <w:color w:val="auto"/>
        </w:rPr>
        <w:t>规定提交</w:t>
      </w:r>
      <w:r>
        <w:rPr>
          <w:rFonts w:hint="eastAsia"/>
          <w:color w:val="auto"/>
          <w:lang w:eastAsia="zh-CN"/>
        </w:rPr>
        <w:t>供应商</w:t>
      </w:r>
      <w:r>
        <w:rPr>
          <w:color w:val="auto"/>
        </w:rPr>
        <w:t>的资格及资信文件，按资格审查不通过处理。</w:t>
      </w:r>
    </w:p>
    <w:p w14:paraId="58B61E62">
      <w:pPr>
        <w:pStyle w:val="15"/>
        <w:jc w:val="center"/>
        <w:rPr>
          <w:color w:val="auto"/>
        </w:rPr>
      </w:pPr>
      <w:r>
        <w:rPr>
          <w:color w:val="auto"/>
        </w:rPr>
        <w:t>附件3-2、供应商基本资质证明材料</w:t>
      </w:r>
    </w:p>
    <w:p w14:paraId="4C76F157">
      <w:pPr>
        <w:pStyle w:val="15"/>
        <w:ind w:firstLine="480"/>
        <w:jc w:val="left"/>
        <w:rPr>
          <w:color w:val="auto"/>
        </w:rPr>
      </w:pPr>
      <w:r>
        <w:rPr>
          <w:color w:val="auto"/>
        </w:rPr>
        <w:t>注：</w:t>
      </w:r>
    </w:p>
    <w:p w14:paraId="42641105">
      <w:pPr>
        <w:pStyle w:val="15"/>
        <w:ind w:firstLine="480"/>
        <w:jc w:val="left"/>
        <w:rPr>
          <w:color w:val="auto"/>
        </w:rPr>
      </w:pPr>
      <w:r>
        <w:rPr>
          <w:color w:val="auto"/>
        </w:rPr>
        <w:t>1、如供应商是企业（包括合伙企业）的，须提供工商部门注册的有效的“企业法人营业执照”或“营业执照”副本复印件；</w:t>
      </w:r>
    </w:p>
    <w:p w14:paraId="4EDD808E">
      <w:pPr>
        <w:pStyle w:val="15"/>
        <w:ind w:firstLine="480"/>
        <w:jc w:val="left"/>
        <w:rPr>
          <w:color w:val="auto"/>
        </w:rPr>
      </w:pPr>
      <w:r>
        <w:rPr>
          <w:color w:val="auto"/>
        </w:rPr>
        <w:t>2、如供应商是事业单位的，须提供有效的“事业单位法人证书”副本复印件；</w:t>
      </w:r>
    </w:p>
    <w:p w14:paraId="7AF096C9">
      <w:pPr>
        <w:pStyle w:val="15"/>
        <w:ind w:firstLine="480"/>
        <w:jc w:val="left"/>
        <w:rPr>
          <w:color w:val="auto"/>
        </w:rPr>
      </w:pPr>
      <w:r>
        <w:rPr>
          <w:color w:val="auto"/>
        </w:rPr>
        <w:t>3、如供应商是非企业专业服务机构的，且涉及国家执行许可证业务的，需提供执业许可证证明文件复印件；</w:t>
      </w:r>
    </w:p>
    <w:p w14:paraId="4D378C00">
      <w:pPr>
        <w:pStyle w:val="15"/>
        <w:ind w:firstLine="480"/>
        <w:jc w:val="left"/>
        <w:rPr>
          <w:color w:val="auto"/>
        </w:rPr>
      </w:pPr>
      <w:r>
        <w:rPr>
          <w:color w:val="auto"/>
        </w:rPr>
        <w:t>4、如供应商是自然人的，须提供有效的自然人身份证正反面复印件；</w:t>
      </w:r>
    </w:p>
    <w:p w14:paraId="13342AFD">
      <w:pPr>
        <w:pStyle w:val="15"/>
        <w:ind w:firstLine="480"/>
        <w:jc w:val="right"/>
        <w:rPr>
          <w:color w:val="auto"/>
        </w:rPr>
      </w:pPr>
      <w:r>
        <w:rPr>
          <w:color w:val="auto"/>
        </w:rPr>
        <w:t>供应商代表签名或签章：</w:t>
      </w:r>
      <w:r>
        <w:rPr>
          <w:color w:val="auto"/>
          <w:u w:val="single"/>
        </w:rPr>
        <w:t>　　　　　　　</w:t>
      </w:r>
    </w:p>
    <w:p w14:paraId="33A9322A">
      <w:pPr>
        <w:pStyle w:val="15"/>
        <w:ind w:firstLine="480"/>
        <w:jc w:val="right"/>
        <w:rPr>
          <w:color w:val="auto"/>
        </w:rPr>
      </w:pPr>
      <w:r>
        <w:rPr>
          <w:color w:val="auto"/>
        </w:rPr>
        <w:t>供应商（全称并加盖公章）：</w:t>
      </w:r>
      <w:r>
        <w:rPr>
          <w:color w:val="auto"/>
          <w:u w:val="single"/>
        </w:rPr>
        <w:t>　　　　　　　</w:t>
      </w:r>
    </w:p>
    <w:p w14:paraId="16F38DC5">
      <w:pPr>
        <w:pStyle w:val="15"/>
        <w:ind w:firstLine="480"/>
        <w:jc w:val="right"/>
        <w:rPr>
          <w:color w:val="auto"/>
        </w:rPr>
      </w:pPr>
      <w:r>
        <w:rPr>
          <w:color w:val="auto"/>
        </w:rPr>
        <w:t>日期：　　年　　月　　日</w:t>
      </w:r>
    </w:p>
    <w:p w14:paraId="163A8E2E">
      <w:pPr>
        <w:pStyle w:val="15"/>
        <w:rPr>
          <w:color w:val="auto"/>
        </w:rPr>
      </w:pPr>
      <w:r>
        <w:rPr>
          <w:color w:val="auto"/>
        </w:rPr>
        <w:br w:type="textWrapping"/>
      </w:r>
      <w:r>
        <w:rPr>
          <w:color w:val="auto"/>
        </w:rPr>
        <w:br w:type="page"/>
      </w:r>
    </w:p>
    <w:p w14:paraId="63EAD74C">
      <w:pPr>
        <w:pStyle w:val="15"/>
        <w:jc w:val="center"/>
        <w:rPr>
          <w:color w:val="auto"/>
        </w:rPr>
      </w:pPr>
      <w:r>
        <w:rPr>
          <w:color w:val="auto"/>
        </w:rPr>
        <w:t>附件</w:t>
      </w:r>
      <w:r>
        <w:rPr>
          <w:rFonts w:hint="eastAsia"/>
          <w:color w:val="auto"/>
          <w:lang w:val="en-US" w:eastAsia="zh-CN"/>
        </w:rPr>
        <w:t>4</w:t>
      </w:r>
      <w:r>
        <w:rPr>
          <w:color w:val="auto"/>
        </w:rPr>
        <w:t>、采购文件要求的供应商其他资料</w:t>
      </w:r>
    </w:p>
    <w:p w14:paraId="5280887E">
      <w:pPr>
        <w:pStyle w:val="15"/>
        <w:ind w:firstLine="480"/>
        <w:jc w:val="left"/>
        <w:rPr>
          <w:color w:val="auto"/>
        </w:rPr>
      </w:pPr>
      <w:r>
        <w:rPr>
          <w:color w:val="auto"/>
        </w:rPr>
        <w:t>注：</w:t>
      </w:r>
    </w:p>
    <w:p w14:paraId="04A65EE5">
      <w:pPr>
        <w:pStyle w:val="15"/>
        <w:ind w:firstLine="480"/>
        <w:jc w:val="left"/>
        <w:rPr>
          <w:color w:val="auto"/>
        </w:rPr>
      </w:pPr>
      <w:r>
        <w:rPr>
          <w:color w:val="auto"/>
        </w:rPr>
        <w:t>1、在专家论证阶段已审核过供应商资格的，在协商阶段协商小组无须重复审查；但供应商自身资格条件出现变化的须在此作出说明，并补充提供相关材料，由协商小组重新进行审查；</w:t>
      </w:r>
    </w:p>
    <w:p w14:paraId="60BFF3CC">
      <w:pPr>
        <w:pStyle w:val="15"/>
        <w:ind w:firstLine="480"/>
        <w:jc w:val="left"/>
        <w:rPr>
          <w:color w:val="auto"/>
        </w:rPr>
      </w:pPr>
      <w:r>
        <w:rPr>
          <w:color w:val="auto"/>
        </w:rPr>
        <w:t>2、采购文件要求的供应商其他资料或供应商认为须提供的自身其它资料。</w:t>
      </w:r>
    </w:p>
    <w:p w14:paraId="4C6DF3B7">
      <w:pPr>
        <w:pStyle w:val="15"/>
        <w:ind w:firstLine="480"/>
        <w:jc w:val="right"/>
        <w:rPr>
          <w:color w:val="auto"/>
        </w:rPr>
      </w:pPr>
      <w:r>
        <w:rPr>
          <w:color w:val="auto"/>
        </w:rPr>
        <w:t>供应商代表签名或签章：</w:t>
      </w:r>
      <w:r>
        <w:rPr>
          <w:color w:val="auto"/>
          <w:u w:val="single"/>
        </w:rPr>
        <w:t>　　　　　　　</w:t>
      </w:r>
    </w:p>
    <w:p w14:paraId="1DE621A9">
      <w:pPr>
        <w:pStyle w:val="15"/>
        <w:ind w:firstLine="480"/>
        <w:jc w:val="right"/>
        <w:rPr>
          <w:color w:val="auto"/>
        </w:rPr>
      </w:pPr>
      <w:r>
        <w:rPr>
          <w:color w:val="auto"/>
        </w:rPr>
        <w:t>供应商（全称并加盖公章）：</w:t>
      </w:r>
      <w:r>
        <w:rPr>
          <w:color w:val="auto"/>
          <w:u w:val="single"/>
        </w:rPr>
        <w:t>　　　　　　　</w:t>
      </w:r>
    </w:p>
    <w:p w14:paraId="53B89E03">
      <w:pPr>
        <w:pStyle w:val="15"/>
        <w:ind w:firstLine="480"/>
        <w:jc w:val="right"/>
        <w:rPr>
          <w:color w:val="auto"/>
        </w:rPr>
      </w:pPr>
      <w:r>
        <w:rPr>
          <w:color w:val="auto"/>
        </w:rPr>
        <w:t>日期：　　年　　月　　日</w:t>
      </w:r>
    </w:p>
    <w:p w14:paraId="5B0C330C">
      <w:pPr>
        <w:pStyle w:val="15"/>
        <w:rPr>
          <w:color w:val="auto"/>
        </w:rPr>
      </w:pPr>
      <w:r>
        <w:rPr>
          <w:color w:val="auto"/>
        </w:rPr>
        <w:br w:type="textWrapping"/>
      </w:r>
      <w:r>
        <w:rPr>
          <w:color w:val="auto"/>
        </w:rPr>
        <w:br w:type="page"/>
      </w:r>
    </w:p>
    <w:p w14:paraId="729C79CA">
      <w:pPr>
        <w:pStyle w:val="15"/>
        <w:jc w:val="center"/>
        <w:outlineLvl w:val="2"/>
        <w:rPr>
          <w:color w:val="auto"/>
        </w:rPr>
      </w:pPr>
      <w:r>
        <w:rPr>
          <w:b/>
          <w:color w:val="auto"/>
          <w:sz w:val="28"/>
        </w:rPr>
        <w:t>三、单一来源报价资料</w:t>
      </w:r>
    </w:p>
    <w:p w14:paraId="3AF600C9">
      <w:pPr>
        <w:pStyle w:val="15"/>
        <w:jc w:val="left"/>
        <w:outlineLvl w:val="0"/>
        <w:rPr>
          <w:color w:val="auto"/>
        </w:rPr>
      </w:pPr>
      <w:r>
        <w:rPr>
          <w:b/>
          <w:color w:val="auto"/>
          <w:sz w:val="48"/>
        </w:rPr>
        <w:t>开标（报价）一览表</w:t>
      </w:r>
    </w:p>
    <w:p w14:paraId="76F34014">
      <w:pPr>
        <w:pStyle w:val="15"/>
        <w:jc w:val="left"/>
        <w:rPr>
          <w:color w:val="auto"/>
        </w:rPr>
      </w:pPr>
      <w:r>
        <w:rPr>
          <w:color w:val="auto"/>
        </w:rPr>
        <w:t>公司名称：</w:t>
      </w:r>
    </w:p>
    <w:p w14:paraId="202F5F3A">
      <w:pPr>
        <w:pStyle w:val="15"/>
        <w:jc w:val="left"/>
        <w:rPr>
          <w:rFonts w:hint="eastAsia" w:eastAsiaTheme="minorEastAsia"/>
          <w:color w:val="auto"/>
          <w:lang w:eastAsia="zh-CN"/>
        </w:rPr>
      </w:pPr>
      <w:r>
        <w:rPr>
          <w:color w:val="auto"/>
        </w:rPr>
        <w:t>包号：</w:t>
      </w:r>
      <w:r>
        <w:rPr>
          <w:rFonts w:hint="eastAsia"/>
          <w:color w:val="auto"/>
          <w:lang w:val="en-US" w:eastAsia="zh-CN"/>
        </w:rPr>
        <w:t xml:space="preserve"> </w:t>
      </w:r>
    </w:p>
    <w:p w14:paraId="319A5524">
      <w:pPr>
        <w:pStyle w:val="15"/>
        <w:jc w:val="left"/>
        <w:rPr>
          <w:rFonts w:hint="eastAsia" w:eastAsiaTheme="minorEastAsia"/>
          <w:color w:val="auto"/>
          <w:lang w:eastAsia="zh-CN"/>
        </w:rPr>
      </w:pPr>
      <w:r>
        <w:rPr>
          <w:color w:val="auto"/>
        </w:rPr>
        <w:t>项目编号：</w:t>
      </w:r>
      <w:r>
        <w:rPr>
          <w:rFonts w:hint="eastAsia"/>
          <w:color w:val="auto"/>
          <w:lang w:eastAsia="zh-CN"/>
        </w:rPr>
        <w:t>2025-FZSD081</w:t>
      </w:r>
    </w:p>
    <w:p w14:paraId="6F8CD4B6">
      <w:pPr>
        <w:pStyle w:val="15"/>
        <w:jc w:val="left"/>
        <w:rPr>
          <w:color w:val="auto"/>
        </w:rPr>
      </w:pPr>
      <w:r>
        <w:rPr>
          <w:color w:val="auto"/>
        </w:rPr>
        <w:t>项目名称：</w:t>
      </w:r>
      <w:r>
        <w:rPr>
          <w:rFonts w:hint="eastAsia"/>
          <w:color w:val="auto"/>
          <w:lang w:eastAsia="zh-CN"/>
        </w:rPr>
        <w:t>泉州师范学院主校区电梯维保服务采购项目</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2"/>
        <w:gridCol w:w="2240"/>
        <w:gridCol w:w="1661"/>
        <w:gridCol w:w="1661"/>
        <w:gridCol w:w="1661"/>
      </w:tblGrid>
      <w:tr w14:paraId="1A259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2" w:type="dxa"/>
          </w:tcPr>
          <w:p w14:paraId="6BD5997E">
            <w:pPr>
              <w:pStyle w:val="15"/>
              <w:jc w:val="left"/>
              <w:rPr>
                <w:color w:val="auto"/>
              </w:rPr>
            </w:pPr>
            <w:r>
              <w:rPr>
                <w:color w:val="auto"/>
              </w:rPr>
              <w:t>序号</w:t>
            </w:r>
          </w:p>
        </w:tc>
        <w:tc>
          <w:tcPr>
            <w:tcW w:w="2240" w:type="dxa"/>
          </w:tcPr>
          <w:p w14:paraId="6A38C73D">
            <w:pPr>
              <w:pStyle w:val="15"/>
              <w:jc w:val="left"/>
              <w:rPr>
                <w:color w:val="auto"/>
              </w:rPr>
            </w:pPr>
            <w:r>
              <w:rPr>
                <w:color w:val="auto"/>
              </w:rPr>
              <w:t>报价内容</w:t>
            </w:r>
          </w:p>
        </w:tc>
        <w:tc>
          <w:tcPr>
            <w:tcW w:w="1661" w:type="dxa"/>
          </w:tcPr>
          <w:p w14:paraId="660AB3DA">
            <w:pPr>
              <w:pStyle w:val="15"/>
              <w:jc w:val="left"/>
              <w:rPr>
                <w:color w:val="auto"/>
              </w:rPr>
            </w:pPr>
            <w:r>
              <w:rPr>
                <w:color w:val="auto"/>
              </w:rPr>
              <w:t>最高限价</w:t>
            </w:r>
          </w:p>
        </w:tc>
        <w:tc>
          <w:tcPr>
            <w:tcW w:w="1661" w:type="dxa"/>
          </w:tcPr>
          <w:p w14:paraId="1DBB45DD">
            <w:pPr>
              <w:pStyle w:val="15"/>
              <w:jc w:val="left"/>
              <w:rPr>
                <w:color w:val="auto"/>
              </w:rPr>
            </w:pPr>
            <w:r>
              <w:rPr>
                <w:color w:val="auto"/>
              </w:rPr>
              <w:t>响应报价</w:t>
            </w:r>
          </w:p>
        </w:tc>
        <w:tc>
          <w:tcPr>
            <w:tcW w:w="1661" w:type="dxa"/>
          </w:tcPr>
          <w:p w14:paraId="33733D0D">
            <w:pPr>
              <w:pStyle w:val="15"/>
              <w:jc w:val="left"/>
              <w:rPr>
                <w:color w:val="auto"/>
              </w:rPr>
            </w:pPr>
            <w:r>
              <w:rPr>
                <w:color w:val="auto"/>
              </w:rPr>
              <w:t>价款形式</w:t>
            </w:r>
          </w:p>
        </w:tc>
      </w:tr>
      <w:tr w14:paraId="62D47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2" w:type="dxa"/>
          </w:tcPr>
          <w:p w14:paraId="3C018147">
            <w:pPr>
              <w:pStyle w:val="15"/>
              <w:jc w:val="left"/>
              <w:rPr>
                <w:color w:val="auto"/>
              </w:rPr>
            </w:pPr>
          </w:p>
        </w:tc>
        <w:tc>
          <w:tcPr>
            <w:tcW w:w="2240" w:type="dxa"/>
          </w:tcPr>
          <w:p w14:paraId="04209193">
            <w:pPr>
              <w:pStyle w:val="15"/>
              <w:jc w:val="left"/>
              <w:rPr>
                <w:rFonts w:hint="eastAsia" w:eastAsiaTheme="minorEastAsia"/>
                <w:color w:val="auto"/>
                <w:lang w:eastAsia="zh-CN"/>
              </w:rPr>
            </w:pPr>
          </w:p>
        </w:tc>
        <w:tc>
          <w:tcPr>
            <w:tcW w:w="1661" w:type="dxa"/>
          </w:tcPr>
          <w:p w14:paraId="2E79648C">
            <w:pPr>
              <w:pStyle w:val="15"/>
              <w:jc w:val="left"/>
              <w:rPr>
                <w:color w:val="auto"/>
              </w:rPr>
            </w:pPr>
          </w:p>
        </w:tc>
        <w:tc>
          <w:tcPr>
            <w:tcW w:w="1661" w:type="dxa"/>
          </w:tcPr>
          <w:p w14:paraId="7BE76DFC">
            <w:pPr>
              <w:pStyle w:val="15"/>
              <w:jc w:val="right"/>
              <w:rPr>
                <w:color w:val="auto"/>
              </w:rPr>
            </w:pPr>
            <w:r>
              <w:rPr>
                <w:color w:val="auto"/>
              </w:rPr>
              <w:t>元</w:t>
            </w:r>
          </w:p>
        </w:tc>
        <w:tc>
          <w:tcPr>
            <w:tcW w:w="1661" w:type="dxa"/>
          </w:tcPr>
          <w:p w14:paraId="5876059D">
            <w:pPr>
              <w:pStyle w:val="15"/>
              <w:jc w:val="left"/>
              <w:rPr>
                <w:color w:val="auto"/>
              </w:rPr>
            </w:pPr>
            <w:r>
              <w:rPr>
                <w:color w:val="auto"/>
              </w:rPr>
              <w:t>总价</w:t>
            </w:r>
          </w:p>
        </w:tc>
      </w:tr>
    </w:tbl>
    <w:p w14:paraId="538D1666">
      <w:pPr>
        <w:pStyle w:val="15"/>
        <w:jc w:val="left"/>
        <w:rPr>
          <w:color w:val="auto"/>
        </w:rPr>
      </w:pPr>
      <w:r>
        <w:rPr>
          <w:color w:val="auto"/>
        </w:rPr>
        <w:t>备注：</w:t>
      </w:r>
    </w:p>
    <w:p w14:paraId="5B37B209">
      <w:pPr>
        <w:pStyle w:val="15"/>
        <w:jc w:val="left"/>
        <w:rPr>
          <w:color w:val="auto"/>
        </w:rPr>
      </w:pPr>
      <w:r>
        <w:rPr>
          <w:color w:val="auto"/>
        </w:rPr>
        <w:t>时间：年月日</w:t>
      </w:r>
    </w:p>
    <w:p w14:paraId="1383A9D0">
      <w:pPr>
        <w:pStyle w:val="15"/>
        <w:jc w:val="left"/>
        <w:rPr>
          <w:rFonts w:hint="eastAsia" w:eastAsiaTheme="minorEastAsia"/>
          <w:color w:val="auto"/>
          <w:lang w:eastAsia="zh-CN"/>
        </w:rPr>
      </w:pPr>
      <w:r>
        <w:rPr>
          <w:color w:val="auto"/>
        </w:rPr>
        <w:t>签章：</w:t>
      </w:r>
    </w:p>
    <w:p w14:paraId="3698289C">
      <w:pPr>
        <w:pStyle w:val="15"/>
        <w:jc w:val="left"/>
        <w:outlineLvl w:val="0"/>
        <w:rPr>
          <w:b/>
          <w:color w:val="auto"/>
          <w:sz w:val="48"/>
        </w:rPr>
      </w:pPr>
    </w:p>
    <w:p w14:paraId="17322BA5">
      <w:pPr>
        <w:pStyle w:val="15"/>
        <w:jc w:val="left"/>
        <w:outlineLvl w:val="0"/>
        <w:rPr>
          <w:b/>
          <w:color w:val="auto"/>
          <w:sz w:val="48"/>
        </w:rPr>
      </w:pPr>
    </w:p>
    <w:p w14:paraId="5B6AEB25">
      <w:pPr>
        <w:pStyle w:val="15"/>
        <w:jc w:val="left"/>
        <w:outlineLvl w:val="0"/>
        <w:rPr>
          <w:color w:val="auto"/>
        </w:rPr>
      </w:pPr>
      <w:r>
        <w:rPr>
          <w:b/>
          <w:color w:val="auto"/>
          <w:sz w:val="48"/>
        </w:rPr>
        <w:t>投标（响应）报价明细表</w:t>
      </w:r>
    </w:p>
    <w:p w14:paraId="746B1629">
      <w:pPr>
        <w:pStyle w:val="15"/>
        <w:jc w:val="left"/>
        <w:rPr>
          <w:color w:val="auto"/>
        </w:rPr>
      </w:pPr>
      <w:r>
        <w:rPr>
          <w:color w:val="auto"/>
        </w:rPr>
        <w:t>公司名称：</w:t>
      </w:r>
    </w:p>
    <w:p w14:paraId="3C968E53">
      <w:pPr>
        <w:pStyle w:val="15"/>
        <w:jc w:val="left"/>
        <w:rPr>
          <w:color w:val="auto"/>
        </w:rPr>
      </w:pPr>
      <w:r>
        <w:rPr>
          <w:color w:val="auto"/>
        </w:rPr>
        <w:t>包号：</w:t>
      </w:r>
    </w:p>
    <w:p w14:paraId="6F096496">
      <w:pPr>
        <w:pStyle w:val="15"/>
        <w:jc w:val="left"/>
        <w:rPr>
          <w:rFonts w:hint="eastAsia" w:eastAsiaTheme="minorEastAsia"/>
          <w:color w:val="auto"/>
          <w:lang w:eastAsia="zh-CN"/>
        </w:rPr>
      </w:pPr>
      <w:r>
        <w:rPr>
          <w:color w:val="auto"/>
        </w:rPr>
        <w:t>项目编号：</w:t>
      </w:r>
      <w:r>
        <w:rPr>
          <w:rFonts w:hint="eastAsia"/>
          <w:color w:val="auto"/>
          <w:lang w:eastAsia="zh-CN"/>
        </w:rPr>
        <w:t>2025-FZSD081</w:t>
      </w:r>
    </w:p>
    <w:p w14:paraId="387F2B72">
      <w:pPr>
        <w:pStyle w:val="15"/>
        <w:jc w:val="left"/>
        <w:rPr>
          <w:rFonts w:hint="eastAsia" w:eastAsiaTheme="minorEastAsia"/>
          <w:color w:val="auto"/>
          <w:lang w:eastAsia="zh-CN"/>
        </w:rPr>
      </w:pPr>
      <w:r>
        <w:rPr>
          <w:color w:val="auto"/>
        </w:rPr>
        <w:t>项目名称：</w:t>
      </w:r>
      <w:r>
        <w:rPr>
          <w:rFonts w:hint="eastAsia"/>
          <w:color w:val="auto"/>
          <w:lang w:eastAsia="zh-CN"/>
        </w:rPr>
        <w:t>泉州师范学院主校区电梯维保服务采购项目</w:t>
      </w:r>
    </w:p>
    <w:tbl>
      <w:tblPr>
        <w:tblStyle w:val="11"/>
        <w:tblW w:w="4948" w:type="pct"/>
        <w:jc w:val="center"/>
        <w:tblLayout w:type="autofit"/>
        <w:tblCellMar>
          <w:top w:w="0" w:type="dxa"/>
          <w:left w:w="108" w:type="dxa"/>
          <w:bottom w:w="0" w:type="dxa"/>
          <w:right w:w="108" w:type="dxa"/>
        </w:tblCellMar>
      </w:tblPr>
      <w:tblGrid>
        <w:gridCol w:w="810"/>
        <w:gridCol w:w="528"/>
        <w:gridCol w:w="856"/>
        <w:gridCol w:w="856"/>
        <w:gridCol w:w="856"/>
        <w:gridCol w:w="614"/>
        <w:gridCol w:w="754"/>
        <w:gridCol w:w="386"/>
        <w:gridCol w:w="590"/>
        <w:gridCol w:w="921"/>
        <w:gridCol w:w="1262"/>
      </w:tblGrid>
      <w:tr w14:paraId="1A418C54">
        <w:tblPrEx>
          <w:tblCellMar>
            <w:top w:w="0" w:type="dxa"/>
            <w:left w:w="108" w:type="dxa"/>
            <w:bottom w:w="0" w:type="dxa"/>
            <w:right w:w="108" w:type="dxa"/>
          </w:tblCellMar>
        </w:tblPrEx>
        <w:trPr>
          <w:trHeight w:val="568"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0EBF">
            <w:pPr>
              <w:widowControl/>
              <w:spacing w:line="220" w:lineRule="exact"/>
              <w:jc w:val="center"/>
              <w:textAlignment w:val="center"/>
              <w:rPr>
                <w:rFonts w:hint="eastAsia" w:ascii="宋体" w:hAnsi="宋体" w:eastAsia="宋体" w:cs="宋体"/>
                <w:color w:val="auto"/>
                <w:sz w:val="16"/>
                <w:szCs w:val="16"/>
                <w:lang w:eastAsia="zh-CN"/>
              </w:rPr>
            </w:pPr>
            <w:r>
              <w:rPr>
                <w:rFonts w:hint="eastAsia" w:ascii="宋体" w:hAnsi="宋体" w:eastAsia="宋体" w:cs="宋体"/>
                <w:color w:val="auto"/>
                <w:kern w:val="0"/>
                <w:sz w:val="16"/>
                <w:szCs w:val="16"/>
                <w:lang w:eastAsia="zh-CN"/>
              </w:rPr>
              <w:t>采购包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B4DA">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品牌</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084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电梯编号</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701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电梯型号</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E78A">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使用地点</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AA89B">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层数</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C8E8">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投入使用</w:t>
            </w:r>
          </w:p>
          <w:p w14:paraId="505C8B50">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日期</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5624">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年检</w:t>
            </w:r>
          </w:p>
          <w:p w14:paraId="67F8E214">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时间</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8232">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拟采购维保方式</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2F15">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单台电梯</w:t>
            </w:r>
          </w:p>
          <w:p w14:paraId="06361EEC">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月维保费</w:t>
            </w:r>
          </w:p>
          <w:p w14:paraId="633F8A42">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（元/月）</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99A90">
            <w:pPr>
              <w:widowControl/>
              <w:spacing w:line="220" w:lineRule="exact"/>
              <w:jc w:val="center"/>
              <w:textAlignment w:val="center"/>
              <w:rPr>
                <w:rFonts w:ascii="宋体" w:hAnsi="宋体" w:eastAsia="宋体" w:cs="宋体"/>
                <w:color w:val="auto"/>
                <w:kern w:val="0"/>
                <w:sz w:val="16"/>
                <w:szCs w:val="16"/>
              </w:rPr>
            </w:pPr>
            <w:r>
              <w:rPr>
                <w:rFonts w:hint="eastAsia" w:ascii="宋体" w:hAnsi="宋体" w:eastAsia="宋体" w:cs="宋体"/>
                <w:color w:val="auto"/>
                <w:kern w:val="0"/>
                <w:sz w:val="16"/>
                <w:szCs w:val="16"/>
              </w:rPr>
              <w:t>2025.7-2027.6</w:t>
            </w:r>
          </w:p>
          <w:p w14:paraId="0B42F582">
            <w:pPr>
              <w:widowControl/>
              <w:spacing w:line="220" w:lineRule="exact"/>
              <w:jc w:val="center"/>
              <w:textAlignment w:val="center"/>
              <w:rPr>
                <w:rFonts w:ascii="宋体" w:hAnsi="宋体" w:eastAsia="宋体" w:cs="宋体"/>
                <w:color w:val="auto"/>
                <w:sz w:val="16"/>
                <w:szCs w:val="16"/>
              </w:rPr>
            </w:pPr>
            <w:r>
              <w:rPr>
                <w:rFonts w:hint="eastAsia" w:ascii="宋体" w:hAnsi="宋体" w:eastAsia="宋体" w:cs="宋体"/>
                <w:color w:val="auto"/>
                <w:kern w:val="0"/>
                <w:sz w:val="16"/>
                <w:szCs w:val="16"/>
              </w:rPr>
              <w:t>维保费用（元/两年）</w:t>
            </w:r>
          </w:p>
        </w:tc>
      </w:tr>
      <w:tr w14:paraId="5B117DC5">
        <w:tblPrEx>
          <w:tblCellMar>
            <w:top w:w="0" w:type="dxa"/>
            <w:left w:w="108" w:type="dxa"/>
            <w:bottom w:w="0" w:type="dxa"/>
            <w:right w:w="108" w:type="dxa"/>
          </w:tblCellMar>
        </w:tblPrEx>
        <w:trPr>
          <w:trHeight w:val="568"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17BA">
            <w:pPr>
              <w:widowControl/>
              <w:spacing w:line="220" w:lineRule="exact"/>
              <w:jc w:val="center"/>
              <w:textAlignment w:val="center"/>
              <w:rPr>
                <w:rFonts w:hint="eastAsia" w:ascii="宋体" w:hAnsi="宋体" w:eastAsia="宋体" w:cs="宋体"/>
                <w:color w:val="auto"/>
                <w:kern w:val="0"/>
                <w:sz w:val="16"/>
                <w:szCs w:val="16"/>
                <w:lang w:eastAsia="zh-CN"/>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7061">
            <w:pPr>
              <w:widowControl/>
              <w:spacing w:line="220" w:lineRule="exact"/>
              <w:jc w:val="center"/>
              <w:textAlignment w:val="center"/>
              <w:rPr>
                <w:rFonts w:hint="eastAsia" w:ascii="宋体" w:hAnsi="宋体" w:eastAsia="宋体" w:cs="宋体"/>
                <w:color w:val="auto"/>
                <w:kern w:val="0"/>
                <w:sz w:val="16"/>
                <w:szCs w:val="16"/>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3F7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3E6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9B3B">
            <w:pPr>
              <w:widowControl/>
              <w:spacing w:line="220" w:lineRule="exact"/>
              <w:jc w:val="center"/>
              <w:textAlignment w:val="center"/>
              <w:rPr>
                <w:rFonts w:hint="eastAsia" w:ascii="宋体" w:hAnsi="宋体" w:eastAsia="宋体" w:cs="宋体"/>
                <w:color w:val="auto"/>
                <w:kern w:val="0"/>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C1632">
            <w:pPr>
              <w:widowControl/>
              <w:spacing w:line="220" w:lineRule="exact"/>
              <w:jc w:val="center"/>
              <w:textAlignment w:val="center"/>
              <w:rPr>
                <w:rFonts w:hint="eastAsia" w:ascii="宋体" w:hAnsi="宋体" w:eastAsia="宋体" w:cs="宋体"/>
                <w:color w:val="auto"/>
                <w:kern w:val="0"/>
                <w:sz w:val="16"/>
                <w:szCs w:val="16"/>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8BB24">
            <w:pPr>
              <w:widowControl/>
              <w:spacing w:line="220" w:lineRule="exact"/>
              <w:jc w:val="center"/>
              <w:textAlignment w:val="center"/>
              <w:rPr>
                <w:rFonts w:hint="eastAsia" w:ascii="宋体" w:hAnsi="宋体" w:eastAsia="宋体" w:cs="宋体"/>
                <w:color w:val="auto"/>
                <w:kern w:val="0"/>
                <w:sz w:val="16"/>
                <w:szCs w:val="16"/>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0EBB">
            <w:pPr>
              <w:widowControl/>
              <w:spacing w:line="220" w:lineRule="exact"/>
              <w:jc w:val="center"/>
              <w:textAlignment w:val="center"/>
              <w:rPr>
                <w:rFonts w:hint="eastAsia" w:ascii="宋体" w:hAnsi="宋体" w:eastAsia="宋体" w:cs="宋体"/>
                <w:color w:val="auto"/>
                <w:kern w:val="0"/>
                <w:sz w:val="16"/>
                <w:szCs w:val="16"/>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80ED">
            <w:pPr>
              <w:widowControl/>
              <w:spacing w:line="220" w:lineRule="exact"/>
              <w:jc w:val="center"/>
              <w:textAlignment w:val="center"/>
              <w:rPr>
                <w:rFonts w:hint="eastAsia" w:ascii="宋体" w:hAnsi="宋体" w:eastAsia="宋体" w:cs="宋体"/>
                <w:color w:val="auto"/>
                <w:kern w:val="0"/>
                <w:sz w:val="16"/>
                <w:szCs w:val="16"/>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10E1">
            <w:pPr>
              <w:widowControl/>
              <w:spacing w:line="220" w:lineRule="exact"/>
              <w:jc w:val="center"/>
              <w:textAlignment w:val="center"/>
              <w:rPr>
                <w:rFonts w:hint="eastAsia" w:ascii="宋体" w:hAnsi="宋体" w:eastAsia="宋体" w:cs="宋体"/>
                <w:color w:val="auto"/>
                <w:kern w:val="0"/>
                <w:sz w:val="16"/>
                <w:szCs w:val="16"/>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E306D">
            <w:pPr>
              <w:widowControl/>
              <w:spacing w:line="220" w:lineRule="exact"/>
              <w:jc w:val="center"/>
              <w:textAlignment w:val="center"/>
              <w:rPr>
                <w:rFonts w:hint="eastAsia" w:ascii="宋体" w:hAnsi="宋体" w:eastAsia="宋体" w:cs="宋体"/>
                <w:color w:val="auto"/>
                <w:kern w:val="0"/>
                <w:sz w:val="16"/>
                <w:szCs w:val="16"/>
              </w:rPr>
            </w:pPr>
          </w:p>
        </w:tc>
      </w:tr>
      <w:tr w14:paraId="0586D19F">
        <w:tblPrEx>
          <w:tblCellMar>
            <w:top w:w="0" w:type="dxa"/>
            <w:left w:w="108" w:type="dxa"/>
            <w:bottom w:w="0" w:type="dxa"/>
            <w:right w:w="108" w:type="dxa"/>
          </w:tblCellMar>
        </w:tblPrEx>
        <w:trPr>
          <w:trHeight w:val="568"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E30E9">
            <w:pPr>
              <w:widowControl/>
              <w:spacing w:line="220" w:lineRule="exact"/>
              <w:jc w:val="center"/>
              <w:textAlignment w:val="center"/>
              <w:rPr>
                <w:rFonts w:hint="eastAsia" w:ascii="宋体" w:hAnsi="宋体" w:eastAsia="宋体" w:cs="宋体"/>
                <w:color w:val="auto"/>
                <w:kern w:val="0"/>
                <w:sz w:val="16"/>
                <w:szCs w:val="16"/>
                <w:lang w:eastAsia="zh-CN"/>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369EC">
            <w:pPr>
              <w:widowControl/>
              <w:spacing w:line="220" w:lineRule="exact"/>
              <w:jc w:val="center"/>
              <w:textAlignment w:val="center"/>
              <w:rPr>
                <w:rFonts w:hint="eastAsia" w:ascii="宋体" w:hAnsi="宋体" w:eastAsia="宋体" w:cs="宋体"/>
                <w:color w:val="auto"/>
                <w:kern w:val="0"/>
                <w:sz w:val="16"/>
                <w:szCs w:val="16"/>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780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FA8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6CE5">
            <w:pPr>
              <w:widowControl/>
              <w:spacing w:line="220" w:lineRule="exact"/>
              <w:jc w:val="center"/>
              <w:textAlignment w:val="center"/>
              <w:rPr>
                <w:rFonts w:hint="eastAsia" w:ascii="宋体" w:hAnsi="宋体" w:eastAsia="宋体" w:cs="宋体"/>
                <w:color w:val="auto"/>
                <w:kern w:val="0"/>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5BD7D">
            <w:pPr>
              <w:widowControl/>
              <w:spacing w:line="220" w:lineRule="exact"/>
              <w:jc w:val="center"/>
              <w:textAlignment w:val="center"/>
              <w:rPr>
                <w:rFonts w:hint="eastAsia" w:ascii="宋体" w:hAnsi="宋体" w:eastAsia="宋体" w:cs="宋体"/>
                <w:color w:val="auto"/>
                <w:kern w:val="0"/>
                <w:sz w:val="16"/>
                <w:szCs w:val="16"/>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9CC8">
            <w:pPr>
              <w:widowControl/>
              <w:spacing w:line="220" w:lineRule="exact"/>
              <w:jc w:val="center"/>
              <w:textAlignment w:val="center"/>
              <w:rPr>
                <w:rFonts w:hint="eastAsia" w:ascii="宋体" w:hAnsi="宋体" w:eastAsia="宋体" w:cs="宋体"/>
                <w:color w:val="auto"/>
                <w:kern w:val="0"/>
                <w:sz w:val="16"/>
                <w:szCs w:val="16"/>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0B32E">
            <w:pPr>
              <w:widowControl/>
              <w:spacing w:line="220" w:lineRule="exact"/>
              <w:jc w:val="center"/>
              <w:textAlignment w:val="center"/>
              <w:rPr>
                <w:rFonts w:hint="eastAsia" w:ascii="宋体" w:hAnsi="宋体" w:eastAsia="宋体" w:cs="宋体"/>
                <w:color w:val="auto"/>
                <w:kern w:val="0"/>
                <w:sz w:val="16"/>
                <w:szCs w:val="16"/>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D1EE1">
            <w:pPr>
              <w:widowControl/>
              <w:spacing w:line="220" w:lineRule="exact"/>
              <w:jc w:val="center"/>
              <w:textAlignment w:val="center"/>
              <w:rPr>
                <w:rFonts w:hint="eastAsia" w:ascii="宋体" w:hAnsi="宋体" w:eastAsia="宋体" w:cs="宋体"/>
                <w:color w:val="auto"/>
                <w:kern w:val="0"/>
                <w:sz w:val="16"/>
                <w:szCs w:val="16"/>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05C41">
            <w:pPr>
              <w:widowControl/>
              <w:spacing w:line="220" w:lineRule="exact"/>
              <w:jc w:val="center"/>
              <w:textAlignment w:val="center"/>
              <w:rPr>
                <w:rFonts w:hint="eastAsia" w:ascii="宋体" w:hAnsi="宋体" w:eastAsia="宋体" w:cs="宋体"/>
                <w:color w:val="auto"/>
                <w:kern w:val="0"/>
                <w:sz w:val="16"/>
                <w:szCs w:val="16"/>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34F7">
            <w:pPr>
              <w:widowControl/>
              <w:spacing w:line="220" w:lineRule="exact"/>
              <w:jc w:val="center"/>
              <w:textAlignment w:val="center"/>
              <w:rPr>
                <w:rFonts w:hint="eastAsia" w:ascii="宋体" w:hAnsi="宋体" w:eastAsia="宋体" w:cs="宋体"/>
                <w:color w:val="auto"/>
                <w:kern w:val="0"/>
                <w:sz w:val="16"/>
                <w:szCs w:val="16"/>
              </w:rPr>
            </w:pPr>
          </w:p>
        </w:tc>
      </w:tr>
      <w:tr w14:paraId="35F1B42F">
        <w:tblPrEx>
          <w:tblCellMar>
            <w:top w:w="0" w:type="dxa"/>
            <w:left w:w="108" w:type="dxa"/>
            <w:bottom w:w="0" w:type="dxa"/>
            <w:right w:w="108" w:type="dxa"/>
          </w:tblCellMar>
        </w:tblPrEx>
        <w:trPr>
          <w:trHeight w:val="568"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39C8">
            <w:pPr>
              <w:widowControl/>
              <w:spacing w:line="220" w:lineRule="exact"/>
              <w:jc w:val="center"/>
              <w:textAlignment w:val="center"/>
              <w:rPr>
                <w:rFonts w:hint="eastAsia" w:ascii="宋体" w:hAnsi="宋体" w:eastAsia="宋体" w:cs="宋体"/>
                <w:color w:val="auto"/>
                <w:kern w:val="0"/>
                <w:sz w:val="16"/>
                <w:szCs w:val="16"/>
                <w:lang w:eastAsia="zh-CN"/>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50A5">
            <w:pPr>
              <w:widowControl/>
              <w:spacing w:line="220" w:lineRule="exact"/>
              <w:jc w:val="center"/>
              <w:textAlignment w:val="center"/>
              <w:rPr>
                <w:rFonts w:hint="eastAsia" w:ascii="宋体" w:hAnsi="宋体" w:eastAsia="宋体" w:cs="宋体"/>
                <w:color w:val="auto"/>
                <w:kern w:val="0"/>
                <w:sz w:val="16"/>
                <w:szCs w:val="16"/>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889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A64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7D54">
            <w:pPr>
              <w:widowControl/>
              <w:spacing w:line="220" w:lineRule="exact"/>
              <w:jc w:val="center"/>
              <w:textAlignment w:val="center"/>
              <w:rPr>
                <w:rFonts w:hint="eastAsia" w:ascii="宋体" w:hAnsi="宋体" w:eastAsia="宋体" w:cs="宋体"/>
                <w:color w:val="auto"/>
                <w:kern w:val="0"/>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1A315">
            <w:pPr>
              <w:widowControl/>
              <w:spacing w:line="220" w:lineRule="exact"/>
              <w:jc w:val="center"/>
              <w:textAlignment w:val="center"/>
              <w:rPr>
                <w:rFonts w:hint="eastAsia" w:ascii="宋体" w:hAnsi="宋体" w:eastAsia="宋体" w:cs="宋体"/>
                <w:color w:val="auto"/>
                <w:kern w:val="0"/>
                <w:sz w:val="16"/>
                <w:szCs w:val="16"/>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C75F4">
            <w:pPr>
              <w:widowControl/>
              <w:spacing w:line="220" w:lineRule="exact"/>
              <w:jc w:val="center"/>
              <w:textAlignment w:val="center"/>
              <w:rPr>
                <w:rFonts w:hint="eastAsia" w:ascii="宋体" w:hAnsi="宋体" w:eastAsia="宋体" w:cs="宋体"/>
                <w:color w:val="auto"/>
                <w:kern w:val="0"/>
                <w:sz w:val="16"/>
                <w:szCs w:val="16"/>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6AFF">
            <w:pPr>
              <w:widowControl/>
              <w:spacing w:line="220" w:lineRule="exact"/>
              <w:jc w:val="center"/>
              <w:textAlignment w:val="center"/>
              <w:rPr>
                <w:rFonts w:hint="eastAsia" w:ascii="宋体" w:hAnsi="宋体" w:eastAsia="宋体" w:cs="宋体"/>
                <w:color w:val="auto"/>
                <w:kern w:val="0"/>
                <w:sz w:val="16"/>
                <w:szCs w:val="16"/>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0D06">
            <w:pPr>
              <w:widowControl/>
              <w:spacing w:line="220" w:lineRule="exact"/>
              <w:jc w:val="center"/>
              <w:textAlignment w:val="center"/>
              <w:rPr>
                <w:rFonts w:hint="eastAsia" w:ascii="宋体" w:hAnsi="宋体" w:eastAsia="宋体" w:cs="宋体"/>
                <w:color w:val="auto"/>
                <w:kern w:val="0"/>
                <w:sz w:val="16"/>
                <w:szCs w:val="16"/>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9689">
            <w:pPr>
              <w:widowControl/>
              <w:spacing w:line="220" w:lineRule="exact"/>
              <w:jc w:val="center"/>
              <w:textAlignment w:val="center"/>
              <w:rPr>
                <w:rFonts w:hint="eastAsia" w:ascii="宋体" w:hAnsi="宋体" w:eastAsia="宋体" w:cs="宋体"/>
                <w:color w:val="auto"/>
                <w:kern w:val="0"/>
                <w:sz w:val="16"/>
                <w:szCs w:val="16"/>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B77C">
            <w:pPr>
              <w:widowControl/>
              <w:spacing w:line="220" w:lineRule="exact"/>
              <w:jc w:val="center"/>
              <w:textAlignment w:val="center"/>
              <w:rPr>
                <w:rFonts w:hint="eastAsia" w:ascii="宋体" w:hAnsi="宋体" w:eastAsia="宋体" w:cs="宋体"/>
                <w:color w:val="auto"/>
                <w:kern w:val="0"/>
                <w:sz w:val="16"/>
                <w:szCs w:val="16"/>
              </w:rPr>
            </w:pPr>
          </w:p>
        </w:tc>
      </w:tr>
      <w:tr w14:paraId="498E6D07">
        <w:tblPrEx>
          <w:tblCellMar>
            <w:top w:w="0" w:type="dxa"/>
            <w:left w:w="108" w:type="dxa"/>
            <w:bottom w:w="0" w:type="dxa"/>
            <w:right w:w="108" w:type="dxa"/>
          </w:tblCellMar>
        </w:tblPrEx>
        <w:trPr>
          <w:trHeight w:val="568"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E051">
            <w:pPr>
              <w:widowControl/>
              <w:spacing w:line="220" w:lineRule="exact"/>
              <w:jc w:val="center"/>
              <w:textAlignment w:val="center"/>
              <w:rPr>
                <w:rFonts w:hint="eastAsia" w:ascii="宋体" w:hAnsi="宋体" w:eastAsia="宋体" w:cs="宋体"/>
                <w:color w:val="auto"/>
                <w:kern w:val="0"/>
                <w:sz w:val="16"/>
                <w:szCs w:val="16"/>
                <w:lang w:eastAsia="zh-CN"/>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830B9">
            <w:pPr>
              <w:widowControl/>
              <w:spacing w:line="220" w:lineRule="exact"/>
              <w:jc w:val="center"/>
              <w:textAlignment w:val="center"/>
              <w:rPr>
                <w:rFonts w:hint="eastAsia" w:ascii="宋体" w:hAnsi="宋体" w:eastAsia="宋体" w:cs="宋体"/>
                <w:color w:val="auto"/>
                <w:kern w:val="0"/>
                <w:sz w:val="16"/>
                <w:szCs w:val="16"/>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182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5E9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C830">
            <w:pPr>
              <w:widowControl/>
              <w:spacing w:line="220" w:lineRule="exact"/>
              <w:jc w:val="center"/>
              <w:textAlignment w:val="center"/>
              <w:rPr>
                <w:rFonts w:hint="eastAsia" w:ascii="宋体" w:hAnsi="宋体" w:eastAsia="宋体" w:cs="宋体"/>
                <w:color w:val="auto"/>
                <w:kern w:val="0"/>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E6BE3">
            <w:pPr>
              <w:widowControl/>
              <w:spacing w:line="220" w:lineRule="exact"/>
              <w:jc w:val="center"/>
              <w:textAlignment w:val="center"/>
              <w:rPr>
                <w:rFonts w:hint="eastAsia" w:ascii="宋体" w:hAnsi="宋体" w:eastAsia="宋体" w:cs="宋体"/>
                <w:color w:val="auto"/>
                <w:kern w:val="0"/>
                <w:sz w:val="16"/>
                <w:szCs w:val="16"/>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B503">
            <w:pPr>
              <w:widowControl/>
              <w:spacing w:line="220" w:lineRule="exact"/>
              <w:jc w:val="center"/>
              <w:textAlignment w:val="center"/>
              <w:rPr>
                <w:rFonts w:hint="eastAsia" w:ascii="宋体" w:hAnsi="宋体" w:eastAsia="宋体" w:cs="宋体"/>
                <w:color w:val="auto"/>
                <w:kern w:val="0"/>
                <w:sz w:val="16"/>
                <w:szCs w:val="16"/>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DCE9">
            <w:pPr>
              <w:widowControl/>
              <w:spacing w:line="220" w:lineRule="exact"/>
              <w:jc w:val="center"/>
              <w:textAlignment w:val="center"/>
              <w:rPr>
                <w:rFonts w:hint="eastAsia" w:ascii="宋体" w:hAnsi="宋体" w:eastAsia="宋体" w:cs="宋体"/>
                <w:color w:val="auto"/>
                <w:kern w:val="0"/>
                <w:sz w:val="16"/>
                <w:szCs w:val="16"/>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8A8B">
            <w:pPr>
              <w:widowControl/>
              <w:spacing w:line="220" w:lineRule="exact"/>
              <w:jc w:val="center"/>
              <w:textAlignment w:val="center"/>
              <w:rPr>
                <w:rFonts w:hint="eastAsia" w:ascii="宋体" w:hAnsi="宋体" w:eastAsia="宋体" w:cs="宋体"/>
                <w:color w:val="auto"/>
                <w:kern w:val="0"/>
                <w:sz w:val="16"/>
                <w:szCs w:val="16"/>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E803">
            <w:pPr>
              <w:widowControl/>
              <w:spacing w:line="220" w:lineRule="exact"/>
              <w:jc w:val="center"/>
              <w:textAlignment w:val="center"/>
              <w:rPr>
                <w:rFonts w:hint="eastAsia" w:ascii="宋体" w:hAnsi="宋体" w:eastAsia="宋体" w:cs="宋体"/>
                <w:color w:val="auto"/>
                <w:kern w:val="0"/>
                <w:sz w:val="16"/>
                <w:szCs w:val="16"/>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81AA9">
            <w:pPr>
              <w:widowControl/>
              <w:spacing w:line="220" w:lineRule="exact"/>
              <w:jc w:val="center"/>
              <w:textAlignment w:val="center"/>
              <w:rPr>
                <w:rFonts w:hint="eastAsia" w:ascii="宋体" w:hAnsi="宋体" w:eastAsia="宋体" w:cs="宋体"/>
                <w:color w:val="auto"/>
                <w:kern w:val="0"/>
                <w:sz w:val="16"/>
                <w:szCs w:val="16"/>
              </w:rPr>
            </w:pPr>
          </w:p>
        </w:tc>
      </w:tr>
      <w:tr w14:paraId="62C6667A">
        <w:tblPrEx>
          <w:tblCellMar>
            <w:top w:w="0" w:type="dxa"/>
            <w:left w:w="108" w:type="dxa"/>
            <w:bottom w:w="0" w:type="dxa"/>
            <w:right w:w="108" w:type="dxa"/>
          </w:tblCellMar>
        </w:tblPrEx>
        <w:trPr>
          <w:trHeight w:val="568"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0B37">
            <w:pPr>
              <w:widowControl/>
              <w:spacing w:line="220" w:lineRule="exact"/>
              <w:jc w:val="center"/>
              <w:textAlignment w:val="center"/>
              <w:rPr>
                <w:rFonts w:hint="eastAsia" w:ascii="宋体" w:hAnsi="宋体" w:eastAsia="宋体" w:cs="宋体"/>
                <w:color w:val="auto"/>
                <w:kern w:val="0"/>
                <w:sz w:val="16"/>
                <w:szCs w:val="16"/>
                <w:lang w:eastAsia="zh-CN"/>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D24A">
            <w:pPr>
              <w:widowControl/>
              <w:spacing w:line="220" w:lineRule="exact"/>
              <w:jc w:val="center"/>
              <w:textAlignment w:val="center"/>
              <w:rPr>
                <w:rFonts w:hint="eastAsia" w:ascii="宋体" w:hAnsi="宋体" w:eastAsia="宋体" w:cs="宋体"/>
                <w:color w:val="auto"/>
                <w:kern w:val="0"/>
                <w:sz w:val="16"/>
                <w:szCs w:val="16"/>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C46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058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6"/>
                <w:szCs w:val="16"/>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1D3A">
            <w:pPr>
              <w:widowControl/>
              <w:spacing w:line="220" w:lineRule="exact"/>
              <w:jc w:val="center"/>
              <w:textAlignment w:val="center"/>
              <w:rPr>
                <w:rFonts w:hint="eastAsia" w:ascii="宋体" w:hAnsi="宋体" w:eastAsia="宋体" w:cs="宋体"/>
                <w:color w:val="auto"/>
                <w:kern w:val="0"/>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A5BCB">
            <w:pPr>
              <w:widowControl/>
              <w:spacing w:line="220" w:lineRule="exact"/>
              <w:jc w:val="center"/>
              <w:textAlignment w:val="center"/>
              <w:rPr>
                <w:rFonts w:hint="eastAsia" w:ascii="宋体" w:hAnsi="宋体" w:eastAsia="宋体" w:cs="宋体"/>
                <w:color w:val="auto"/>
                <w:kern w:val="0"/>
                <w:sz w:val="16"/>
                <w:szCs w:val="16"/>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4D0A">
            <w:pPr>
              <w:widowControl/>
              <w:spacing w:line="220" w:lineRule="exact"/>
              <w:jc w:val="center"/>
              <w:textAlignment w:val="center"/>
              <w:rPr>
                <w:rFonts w:hint="eastAsia" w:ascii="宋体" w:hAnsi="宋体" w:eastAsia="宋体" w:cs="宋体"/>
                <w:color w:val="auto"/>
                <w:kern w:val="0"/>
                <w:sz w:val="16"/>
                <w:szCs w:val="16"/>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8FB9">
            <w:pPr>
              <w:widowControl/>
              <w:spacing w:line="220" w:lineRule="exact"/>
              <w:jc w:val="center"/>
              <w:textAlignment w:val="center"/>
              <w:rPr>
                <w:rFonts w:hint="eastAsia" w:ascii="宋体" w:hAnsi="宋体" w:eastAsia="宋体" w:cs="宋体"/>
                <w:color w:val="auto"/>
                <w:kern w:val="0"/>
                <w:sz w:val="16"/>
                <w:szCs w:val="16"/>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0EB3">
            <w:pPr>
              <w:widowControl/>
              <w:spacing w:line="220" w:lineRule="exact"/>
              <w:jc w:val="center"/>
              <w:textAlignment w:val="center"/>
              <w:rPr>
                <w:rFonts w:hint="eastAsia" w:ascii="宋体" w:hAnsi="宋体" w:eastAsia="宋体" w:cs="宋体"/>
                <w:color w:val="auto"/>
                <w:kern w:val="0"/>
                <w:sz w:val="16"/>
                <w:szCs w:val="16"/>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4EE8">
            <w:pPr>
              <w:widowControl/>
              <w:spacing w:line="220" w:lineRule="exact"/>
              <w:jc w:val="center"/>
              <w:textAlignment w:val="center"/>
              <w:rPr>
                <w:rFonts w:hint="eastAsia" w:ascii="宋体" w:hAnsi="宋体" w:eastAsia="宋体" w:cs="宋体"/>
                <w:color w:val="auto"/>
                <w:kern w:val="0"/>
                <w:sz w:val="16"/>
                <w:szCs w:val="16"/>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02C87">
            <w:pPr>
              <w:widowControl/>
              <w:spacing w:line="220" w:lineRule="exact"/>
              <w:jc w:val="center"/>
              <w:textAlignment w:val="center"/>
              <w:rPr>
                <w:rFonts w:hint="eastAsia" w:ascii="宋体" w:hAnsi="宋体" w:eastAsia="宋体" w:cs="宋体"/>
                <w:color w:val="auto"/>
                <w:kern w:val="0"/>
                <w:sz w:val="16"/>
                <w:szCs w:val="16"/>
              </w:rPr>
            </w:pPr>
          </w:p>
        </w:tc>
      </w:tr>
      <w:tr w14:paraId="5FB64CEF">
        <w:tblPrEx>
          <w:tblCellMar>
            <w:top w:w="0" w:type="dxa"/>
            <w:left w:w="108" w:type="dxa"/>
            <w:bottom w:w="0" w:type="dxa"/>
            <w:right w:w="108" w:type="dxa"/>
          </w:tblCellMar>
        </w:tblPrEx>
        <w:trPr>
          <w:trHeight w:val="568" w:hRule="atLeast"/>
          <w:jc w:val="center"/>
        </w:trPr>
        <w:tc>
          <w:tcPr>
            <w:tcW w:w="425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95260F">
            <w:pPr>
              <w:widowControl/>
              <w:spacing w:line="220" w:lineRule="exact"/>
              <w:jc w:val="center"/>
              <w:textAlignment w:val="center"/>
              <w:rPr>
                <w:rFonts w:hint="eastAsia" w:ascii="宋体" w:hAnsi="宋体" w:eastAsia="宋体" w:cs="宋体"/>
                <w:color w:val="auto"/>
                <w:kern w:val="0"/>
                <w:sz w:val="16"/>
                <w:szCs w:val="16"/>
                <w:lang w:eastAsia="zh-CN"/>
              </w:rPr>
            </w:pPr>
            <w:r>
              <w:rPr>
                <w:rFonts w:hint="eastAsia" w:ascii="宋体" w:hAnsi="宋体" w:eastAsia="宋体" w:cs="宋体"/>
                <w:color w:val="auto"/>
                <w:kern w:val="0"/>
                <w:sz w:val="16"/>
                <w:szCs w:val="16"/>
                <w:lang w:eastAsia="zh-CN"/>
              </w:rPr>
              <w:t>合计</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27CA0">
            <w:pPr>
              <w:widowControl/>
              <w:spacing w:line="220" w:lineRule="exact"/>
              <w:jc w:val="center"/>
              <w:textAlignment w:val="center"/>
              <w:rPr>
                <w:rFonts w:hint="eastAsia" w:ascii="宋体" w:hAnsi="宋体" w:eastAsia="宋体" w:cs="宋体"/>
                <w:color w:val="auto"/>
                <w:kern w:val="0"/>
                <w:sz w:val="16"/>
                <w:szCs w:val="16"/>
              </w:rPr>
            </w:pPr>
          </w:p>
        </w:tc>
      </w:tr>
    </w:tbl>
    <w:p w14:paraId="60AE40C6">
      <w:pPr>
        <w:pStyle w:val="15"/>
        <w:jc w:val="left"/>
        <w:rPr>
          <w:color w:val="auto"/>
        </w:rPr>
      </w:pPr>
      <w:r>
        <w:rPr>
          <w:color w:val="auto"/>
        </w:rPr>
        <w:t>合计：</w:t>
      </w:r>
    </w:p>
    <w:p w14:paraId="3C180B5A">
      <w:pPr>
        <w:pStyle w:val="15"/>
        <w:jc w:val="left"/>
        <w:rPr>
          <w:color w:val="auto"/>
        </w:rPr>
      </w:pPr>
      <w:r>
        <w:rPr>
          <w:color w:val="auto"/>
        </w:rPr>
        <w:t>备注：</w:t>
      </w:r>
    </w:p>
    <w:p w14:paraId="0168F995">
      <w:pPr>
        <w:pStyle w:val="15"/>
        <w:jc w:val="left"/>
        <w:rPr>
          <w:color w:val="auto"/>
        </w:rPr>
      </w:pPr>
      <w:r>
        <w:rPr>
          <w:color w:val="auto"/>
        </w:rPr>
        <w:t>时间：    年   月   日</w:t>
      </w:r>
    </w:p>
    <w:p w14:paraId="6F791ED8">
      <w:pPr>
        <w:pStyle w:val="15"/>
        <w:jc w:val="left"/>
        <w:rPr>
          <w:rFonts w:hint="eastAsia" w:eastAsiaTheme="minorEastAsia"/>
          <w:color w:val="auto"/>
          <w:lang w:eastAsia="zh-CN"/>
        </w:rPr>
      </w:pPr>
      <w:r>
        <w:rPr>
          <w:color w:val="auto"/>
        </w:rPr>
        <w:t>签章：</w:t>
      </w:r>
    </w:p>
    <w:p w14:paraId="279E4288">
      <w:pPr>
        <w:pStyle w:val="15"/>
        <w:rPr>
          <w:color w:val="auto"/>
        </w:rPr>
      </w:pPr>
      <w:r>
        <w:rPr>
          <w:color w:val="auto"/>
        </w:rPr>
        <w:br w:type="textWrapping"/>
      </w:r>
      <w:r>
        <w:rPr>
          <w:color w:val="auto"/>
        </w:rPr>
        <w:br w:type="page"/>
      </w:r>
    </w:p>
    <w:p w14:paraId="358CCFC3">
      <w:pPr>
        <w:pStyle w:val="15"/>
        <w:jc w:val="center"/>
        <w:rPr>
          <w:color w:val="auto"/>
        </w:rPr>
      </w:pPr>
      <w:r>
        <w:rPr>
          <w:color w:val="auto"/>
        </w:rPr>
        <w:t>附件</w:t>
      </w:r>
      <w:r>
        <w:rPr>
          <w:rFonts w:hint="eastAsia"/>
          <w:color w:val="auto"/>
          <w:lang w:val="en-US" w:eastAsia="zh-CN"/>
        </w:rPr>
        <w:t>6</w:t>
      </w:r>
      <w:r>
        <w:rPr>
          <w:color w:val="auto"/>
        </w:rPr>
        <w:t>、采购标的成本说明(格式自定)</w:t>
      </w:r>
    </w:p>
    <w:p w14:paraId="486C1302">
      <w:pPr>
        <w:pStyle w:val="15"/>
        <w:rPr>
          <w:color w:val="auto"/>
        </w:rPr>
      </w:pPr>
      <w:r>
        <w:rPr>
          <w:color w:val="auto"/>
        </w:rPr>
        <w:br w:type="textWrapping"/>
      </w:r>
      <w:r>
        <w:rPr>
          <w:color w:val="auto"/>
        </w:rPr>
        <w:br w:type="page"/>
      </w:r>
    </w:p>
    <w:p w14:paraId="1F18D0E1">
      <w:pPr>
        <w:pStyle w:val="15"/>
        <w:jc w:val="center"/>
        <w:rPr>
          <w:color w:val="auto"/>
        </w:rPr>
      </w:pPr>
      <w:r>
        <w:rPr>
          <w:color w:val="auto"/>
        </w:rPr>
        <w:t>附件</w:t>
      </w:r>
      <w:r>
        <w:rPr>
          <w:rFonts w:hint="eastAsia"/>
          <w:color w:val="auto"/>
          <w:lang w:val="en-US" w:eastAsia="zh-CN"/>
        </w:rPr>
        <w:t>7</w:t>
      </w:r>
      <w:r>
        <w:rPr>
          <w:color w:val="auto"/>
        </w:rPr>
        <w:t>、同类项目合同价格说明(格式自定)</w:t>
      </w:r>
    </w:p>
    <w:p w14:paraId="022B459E">
      <w:pPr>
        <w:pStyle w:val="15"/>
        <w:rPr>
          <w:color w:val="auto"/>
        </w:rPr>
      </w:pPr>
      <w:r>
        <w:rPr>
          <w:color w:val="auto"/>
        </w:rPr>
        <w:br w:type="textWrapping"/>
      </w:r>
      <w:r>
        <w:rPr>
          <w:color w:val="auto"/>
        </w:rPr>
        <w:br w:type="page"/>
      </w:r>
    </w:p>
    <w:p w14:paraId="5FE50C4B">
      <w:pPr>
        <w:pStyle w:val="15"/>
        <w:jc w:val="center"/>
        <w:rPr>
          <w:color w:val="auto"/>
        </w:rPr>
      </w:pPr>
      <w:r>
        <w:rPr>
          <w:color w:val="auto"/>
        </w:rPr>
        <w:t>附件</w:t>
      </w:r>
      <w:r>
        <w:rPr>
          <w:rFonts w:hint="eastAsia"/>
          <w:color w:val="auto"/>
          <w:lang w:val="en-US" w:eastAsia="zh-CN"/>
        </w:rPr>
        <w:t>8</w:t>
      </w:r>
      <w:r>
        <w:rPr>
          <w:color w:val="auto"/>
        </w:rPr>
        <w:t>、供应商相关专利、专有技术情况说明(格式自定)</w:t>
      </w:r>
    </w:p>
    <w:p w14:paraId="1599A949">
      <w:pPr>
        <w:pStyle w:val="15"/>
        <w:rPr>
          <w:color w:val="auto"/>
        </w:rPr>
      </w:pPr>
      <w:r>
        <w:rPr>
          <w:color w:val="auto"/>
        </w:rPr>
        <w:br w:type="textWrapping"/>
      </w:r>
      <w:r>
        <w:rPr>
          <w:color w:val="auto"/>
        </w:rPr>
        <w:br w:type="page"/>
      </w:r>
    </w:p>
    <w:p w14:paraId="1B969DDF">
      <w:pPr>
        <w:pStyle w:val="15"/>
        <w:jc w:val="center"/>
        <w:outlineLvl w:val="2"/>
        <w:rPr>
          <w:color w:val="auto"/>
        </w:rPr>
      </w:pPr>
      <w:r>
        <w:rPr>
          <w:b/>
          <w:color w:val="auto"/>
          <w:sz w:val="28"/>
        </w:rPr>
        <w:t>四、技术商务条款响应情况</w:t>
      </w:r>
    </w:p>
    <w:p w14:paraId="08B16944">
      <w:pPr>
        <w:pStyle w:val="15"/>
        <w:jc w:val="center"/>
        <w:rPr>
          <w:color w:val="auto"/>
        </w:rPr>
      </w:pPr>
      <w:r>
        <w:rPr>
          <w:color w:val="auto"/>
        </w:rPr>
        <w:t>附件</w:t>
      </w:r>
      <w:r>
        <w:rPr>
          <w:rFonts w:hint="eastAsia"/>
          <w:color w:val="auto"/>
          <w:lang w:val="en-US" w:eastAsia="zh-CN"/>
        </w:rPr>
        <w:t>9</w:t>
      </w:r>
      <w:r>
        <w:rPr>
          <w:color w:val="auto"/>
        </w:rPr>
        <w:t>、标的说明或技术方案或服务方案</w:t>
      </w:r>
    </w:p>
    <w:p w14:paraId="49E523C5">
      <w:pPr>
        <w:pStyle w:val="15"/>
        <w:jc w:val="left"/>
        <w:rPr>
          <w:color w:val="auto"/>
        </w:rPr>
      </w:pPr>
      <w:r>
        <w:rPr>
          <w:color w:val="auto"/>
        </w:rPr>
        <w:t>附件</w:t>
      </w:r>
      <w:r>
        <w:rPr>
          <w:rFonts w:hint="eastAsia"/>
          <w:color w:val="auto"/>
          <w:lang w:val="en-US" w:eastAsia="zh-CN"/>
        </w:rPr>
        <w:t>9</w:t>
      </w:r>
      <w:r>
        <w:rPr>
          <w:color w:val="auto"/>
        </w:rPr>
        <w:t>.1、标的说明一览表格式如下：</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5DB7F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9A5D8AD">
            <w:pPr>
              <w:pStyle w:val="15"/>
              <w:jc w:val="left"/>
              <w:rPr>
                <w:color w:val="auto"/>
              </w:rPr>
            </w:pPr>
            <w:r>
              <w:rPr>
                <w:color w:val="auto"/>
              </w:rPr>
              <w:t>采购包</w:t>
            </w:r>
          </w:p>
        </w:tc>
        <w:tc>
          <w:tcPr>
            <w:tcW w:w="1384" w:type="dxa"/>
          </w:tcPr>
          <w:p w14:paraId="144BC26D">
            <w:pPr>
              <w:rPr>
                <w:color w:val="auto"/>
              </w:rPr>
            </w:pPr>
          </w:p>
        </w:tc>
        <w:tc>
          <w:tcPr>
            <w:tcW w:w="1384" w:type="dxa"/>
          </w:tcPr>
          <w:p w14:paraId="1A7CB2B6">
            <w:pPr>
              <w:pStyle w:val="15"/>
              <w:jc w:val="left"/>
              <w:rPr>
                <w:color w:val="auto"/>
              </w:rPr>
            </w:pPr>
            <w:r>
              <w:rPr>
                <w:color w:val="auto"/>
              </w:rPr>
              <w:t>标的名称</w:t>
            </w:r>
          </w:p>
        </w:tc>
        <w:tc>
          <w:tcPr>
            <w:tcW w:w="1384" w:type="dxa"/>
          </w:tcPr>
          <w:p w14:paraId="0DEBC098">
            <w:pPr>
              <w:rPr>
                <w:color w:val="auto"/>
              </w:rPr>
            </w:pPr>
          </w:p>
        </w:tc>
        <w:tc>
          <w:tcPr>
            <w:tcW w:w="1384" w:type="dxa"/>
          </w:tcPr>
          <w:p w14:paraId="2D34EBBF">
            <w:pPr>
              <w:pStyle w:val="15"/>
              <w:jc w:val="left"/>
              <w:rPr>
                <w:color w:val="auto"/>
              </w:rPr>
            </w:pPr>
            <w:r>
              <w:rPr>
                <w:color w:val="auto"/>
              </w:rPr>
              <w:t>数量</w:t>
            </w:r>
          </w:p>
        </w:tc>
        <w:tc>
          <w:tcPr>
            <w:tcW w:w="1384" w:type="dxa"/>
          </w:tcPr>
          <w:p w14:paraId="69EA1100">
            <w:pPr>
              <w:rPr>
                <w:color w:val="auto"/>
              </w:rPr>
            </w:pPr>
          </w:p>
        </w:tc>
      </w:tr>
      <w:tr w14:paraId="032FD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7BCE8AD">
            <w:pPr>
              <w:pStyle w:val="15"/>
              <w:jc w:val="left"/>
              <w:rPr>
                <w:color w:val="auto"/>
              </w:rPr>
            </w:pPr>
            <w:r>
              <w:rPr>
                <w:color w:val="auto"/>
              </w:rPr>
              <w:t>原产地及制造商/服务商名称</w:t>
            </w:r>
          </w:p>
        </w:tc>
        <w:tc>
          <w:tcPr>
            <w:tcW w:w="1384" w:type="dxa"/>
          </w:tcPr>
          <w:p w14:paraId="33628CDA">
            <w:pPr>
              <w:rPr>
                <w:color w:val="auto"/>
              </w:rPr>
            </w:pPr>
          </w:p>
        </w:tc>
        <w:tc>
          <w:tcPr>
            <w:tcW w:w="1384" w:type="dxa"/>
          </w:tcPr>
          <w:p w14:paraId="503F3B76">
            <w:pPr>
              <w:pStyle w:val="15"/>
              <w:jc w:val="left"/>
              <w:rPr>
                <w:color w:val="auto"/>
              </w:rPr>
            </w:pPr>
            <w:r>
              <w:rPr>
                <w:color w:val="auto"/>
              </w:rPr>
              <w:t>型号规格</w:t>
            </w:r>
          </w:p>
        </w:tc>
        <w:tc>
          <w:tcPr>
            <w:tcW w:w="1384" w:type="dxa"/>
          </w:tcPr>
          <w:p w14:paraId="79601253">
            <w:pPr>
              <w:rPr>
                <w:color w:val="auto"/>
              </w:rPr>
            </w:pPr>
          </w:p>
        </w:tc>
        <w:tc>
          <w:tcPr>
            <w:tcW w:w="1384" w:type="dxa"/>
          </w:tcPr>
          <w:p w14:paraId="6DDA41A5">
            <w:pPr>
              <w:pStyle w:val="15"/>
              <w:jc w:val="left"/>
              <w:rPr>
                <w:color w:val="auto"/>
              </w:rPr>
            </w:pPr>
            <w:r>
              <w:rPr>
                <w:color w:val="auto"/>
              </w:rPr>
              <w:t>品牌</w:t>
            </w:r>
          </w:p>
        </w:tc>
        <w:tc>
          <w:tcPr>
            <w:tcW w:w="1384" w:type="dxa"/>
          </w:tcPr>
          <w:p w14:paraId="27006F0A">
            <w:pPr>
              <w:rPr>
                <w:color w:val="auto"/>
              </w:rPr>
            </w:pPr>
          </w:p>
        </w:tc>
      </w:tr>
      <w:tr w14:paraId="32556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1686E1A">
            <w:pPr>
              <w:pStyle w:val="15"/>
              <w:jc w:val="left"/>
              <w:rPr>
                <w:color w:val="auto"/>
              </w:rPr>
            </w:pPr>
            <w:r>
              <w:rPr>
                <w:color w:val="auto"/>
              </w:rPr>
              <w:t>详细性能说明</w:t>
            </w:r>
          </w:p>
        </w:tc>
        <w:tc>
          <w:tcPr>
            <w:tcW w:w="6920" w:type="dxa"/>
            <w:gridSpan w:val="5"/>
          </w:tcPr>
          <w:p w14:paraId="43B5E517">
            <w:pPr>
              <w:rPr>
                <w:color w:val="auto"/>
              </w:rPr>
            </w:pPr>
          </w:p>
        </w:tc>
      </w:tr>
      <w:tr w14:paraId="31A96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CA351B9">
            <w:pPr>
              <w:pStyle w:val="15"/>
              <w:jc w:val="left"/>
              <w:rPr>
                <w:color w:val="auto"/>
              </w:rPr>
            </w:pPr>
            <w:r>
              <w:rPr>
                <w:color w:val="auto"/>
              </w:rPr>
              <w:t>配置/组成清单说明（若有）</w:t>
            </w:r>
          </w:p>
        </w:tc>
        <w:tc>
          <w:tcPr>
            <w:tcW w:w="6920" w:type="dxa"/>
            <w:gridSpan w:val="5"/>
          </w:tcPr>
          <w:p w14:paraId="17958878">
            <w:pPr>
              <w:rPr>
                <w:color w:val="auto"/>
              </w:rPr>
            </w:pPr>
          </w:p>
        </w:tc>
      </w:tr>
    </w:tbl>
    <w:p w14:paraId="38084000">
      <w:pPr>
        <w:pStyle w:val="15"/>
        <w:rPr>
          <w:color w:val="auto"/>
        </w:rPr>
      </w:pPr>
      <w:r>
        <w:rPr>
          <w:color w:val="auto"/>
        </w:rPr>
        <w:br w:type="textWrapping"/>
      </w:r>
      <w:r>
        <w:rPr>
          <w:color w:val="auto"/>
        </w:rPr>
        <w:br w:type="page"/>
      </w:r>
    </w:p>
    <w:p w14:paraId="6C01B520">
      <w:pPr>
        <w:pStyle w:val="15"/>
        <w:jc w:val="left"/>
        <w:rPr>
          <w:color w:val="auto"/>
        </w:rPr>
      </w:pPr>
      <w:r>
        <w:rPr>
          <w:color w:val="auto"/>
        </w:rPr>
        <w:t>附件</w:t>
      </w:r>
      <w:r>
        <w:rPr>
          <w:rFonts w:hint="eastAsia"/>
          <w:color w:val="auto"/>
          <w:lang w:val="en-US" w:eastAsia="zh-CN"/>
        </w:rPr>
        <w:t>9</w:t>
      </w:r>
      <w:r>
        <w:rPr>
          <w:color w:val="auto"/>
        </w:rPr>
        <w:t>.2、技术方案或服务方案。（根据项目需求自拟格式）</w:t>
      </w:r>
    </w:p>
    <w:p w14:paraId="69653EE0">
      <w:pPr>
        <w:pStyle w:val="15"/>
        <w:jc w:val="left"/>
        <w:rPr>
          <w:color w:val="auto"/>
        </w:rPr>
      </w:pPr>
      <w:r>
        <w:rPr>
          <w:color w:val="auto"/>
        </w:rPr>
        <w:t>备注：采购方根据项目采购需求要求供应商提供相关的方案或其他相关材料。</w:t>
      </w:r>
    </w:p>
    <w:p w14:paraId="57C4E1FF">
      <w:pPr>
        <w:pStyle w:val="15"/>
        <w:ind w:firstLine="480"/>
        <w:jc w:val="right"/>
        <w:rPr>
          <w:color w:val="auto"/>
        </w:rPr>
      </w:pPr>
      <w:r>
        <w:rPr>
          <w:color w:val="auto"/>
        </w:rPr>
        <w:t>供应商代表签名或签章：</w:t>
      </w:r>
      <w:r>
        <w:rPr>
          <w:color w:val="auto"/>
          <w:u w:val="single"/>
        </w:rPr>
        <w:t>　　　　　　　</w:t>
      </w:r>
    </w:p>
    <w:p w14:paraId="3CE486E9">
      <w:pPr>
        <w:pStyle w:val="15"/>
        <w:ind w:firstLine="480"/>
        <w:jc w:val="right"/>
        <w:rPr>
          <w:color w:val="auto"/>
        </w:rPr>
      </w:pPr>
      <w:r>
        <w:rPr>
          <w:color w:val="auto"/>
        </w:rPr>
        <w:t>供应商（全称并加盖公章）：</w:t>
      </w:r>
      <w:r>
        <w:rPr>
          <w:color w:val="auto"/>
          <w:u w:val="single"/>
        </w:rPr>
        <w:t>　　　　　　　</w:t>
      </w:r>
    </w:p>
    <w:p w14:paraId="65BEF653">
      <w:pPr>
        <w:pStyle w:val="15"/>
        <w:ind w:firstLine="480"/>
        <w:jc w:val="right"/>
        <w:rPr>
          <w:color w:val="auto"/>
        </w:rPr>
      </w:pPr>
      <w:r>
        <w:rPr>
          <w:color w:val="auto"/>
        </w:rPr>
        <w:t>日期：　　年　　月　　日</w:t>
      </w:r>
    </w:p>
    <w:p w14:paraId="752419B4">
      <w:pPr>
        <w:pStyle w:val="15"/>
        <w:rPr>
          <w:color w:val="auto"/>
        </w:rPr>
      </w:pPr>
      <w:r>
        <w:rPr>
          <w:color w:val="auto"/>
        </w:rPr>
        <w:br w:type="textWrapping"/>
      </w:r>
      <w:r>
        <w:rPr>
          <w:color w:val="auto"/>
        </w:rPr>
        <w:br w:type="page"/>
      </w:r>
    </w:p>
    <w:p w14:paraId="1E7B4E31">
      <w:pPr>
        <w:pStyle w:val="15"/>
        <w:jc w:val="center"/>
        <w:rPr>
          <w:color w:val="auto"/>
        </w:rPr>
      </w:pPr>
      <w:r>
        <w:rPr>
          <w:color w:val="auto"/>
        </w:rPr>
        <w:t>附件</w:t>
      </w:r>
      <w:r>
        <w:rPr>
          <w:rFonts w:hint="eastAsia"/>
          <w:color w:val="auto"/>
          <w:lang w:val="en-US" w:eastAsia="zh-CN"/>
        </w:rPr>
        <w:t>10</w:t>
      </w:r>
      <w:r>
        <w:rPr>
          <w:color w:val="auto"/>
        </w:rPr>
        <w:t>、协商内容及要求响应表</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2B9AA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71FE14E">
            <w:pPr>
              <w:pStyle w:val="15"/>
              <w:jc w:val="left"/>
              <w:rPr>
                <w:color w:val="auto"/>
              </w:rPr>
            </w:pPr>
            <w:r>
              <w:rPr>
                <w:color w:val="auto"/>
              </w:rPr>
              <w:t>采购包/品目号</w:t>
            </w:r>
          </w:p>
        </w:tc>
        <w:tc>
          <w:tcPr>
            <w:tcW w:w="1384" w:type="dxa"/>
          </w:tcPr>
          <w:p w14:paraId="279529FE">
            <w:pPr>
              <w:pStyle w:val="15"/>
              <w:jc w:val="left"/>
              <w:rPr>
                <w:color w:val="auto"/>
              </w:rPr>
            </w:pPr>
            <w:r>
              <w:rPr>
                <w:color w:val="auto"/>
              </w:rPr>
              <w:t>品目名称</w:t>
            </w:r>
          </w:p>
        </w:tc>
        <w:tc>
          <w:tcPr>
            <w:tcW w:w="1384" w:type="dxa"/>
          </w:tcPr>
          <w:p w14:paraId="4529B6EA">
            <w:pPr>
              <w:pStyle w:val="15"/>
              <w:jc w:val="left"/>
              <w:rPr>
                <w:color w:val="auto"/>
              </w:rPr>
            </w:pPr>
            <w:r>
              <w:rPr>
                <w:color w:val="auto"/>
              </w:rPr>
              <w:t>采购文件协商内容及要求</w:t>
            </w:r>
          </w:p>
        </w:tc>
        <w:tc>
          <w:tcPr>
            <w:tcW w:w="1384" w:type="dxa"/>
          </w:tcPr>
          <w:p w14:paraId="1F0ABF48">
            <w:pPr>
              <w:pStyle w:val="15"/>
              <w:jc w:val="left"/>
              <w:rPr>
                <w:color w:val="auto"/>
              </w:rPr>
            </w:pPr>
            <w:r>
              <w:rPr>
                <w:color w:val="auto"/>
              </w:rPr>
              <w:t>响应情况</w:t>
            </w:r>
          </w:p>
        </w:tc>
        <w:tc>
          <w:tcPr>
            <w:tcW w:w="1384" w:type="dxa"/>
          </w:tcPr>
          <w:p w14:paraId="1341185F">
            <w:pPr>
              <w:pStyle w:val="15"/>
              <w:jc w:val="left"/>
              <w:rPr>
                <w:color w:val="auto"/>
              </w:rPr>
            </w:pPr>
            <w:r>
              <w:rPr>
                <w:color w:val="auto"/>
              </w:rPr>
              <w:t>偏离说明</w:t>
            </w:r>
          </w:p>
        </w:tc>
        <w:tc>
          <w:tcPr>
            <w:tcW w:w="1384" w:type="dxa"/>
          </w:tcPr>
          <w:p w14:paraId="7F935B43">
            <w:pPr>
              <w:pStyle w:val="15"/>
              <w:jc w:val="left"/>
              <w:rPr>
                <w:color w:val="auto"/>
              </w:rPr>
            </w:pPr>
            <w:r>
              <w:rPr>
                <w:color w:val="auto"/>
              </w:rPr>
              <w:t>证明材料所在页码（若有）</w:t>
            </w:r>
          </w:p>
        </w:tc>
      </w:tr>
      <w:tr w14:paraId="6718D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A664339">
            <w:pPr>
              <w:rPr>
                <w:color w:val="auto"/>
              </w:rPr>
            </w:pPr>
          </w:p>
        </w:tc>
        <w:tc>
          <w:tcPr>
            <w:tcW w:w="1384" w:type="dxa"/>
          </w:tcPr>
          <w:p w14:paraId="47A7AF43">
            <w:pPr>
              <w:rPr>
                <w:color w:val="auto"/>
              </w:rPr>
            </w:pPr>
          </w:p>
        </w:tc>
        <w:tc>
          <w:tcPr>
            <w:tcW w:w="1384" w:type="dxa"/>
          </w:tcPr>
          <w:p w14:paraId="79A99892">
            <w:pPr>
              <w:rPr>
                <w:color w:val="auto"/>
              </w:rPr>
            </w:pPr>
          </w:p>
        </w:tc>
        <w:tc>
          <w:tcPr>
            <w:tcW w:w="1384" w:type="dxa"/>
          </w:tcPr>
          <w:p w14:paraId="4389A42B">
            <w:pPr>
              <w:rPr>
                <w:color w:val="auto"/>
              </w:rPr>
            </w:pPr>
          </w:p>
        </w:tc>
        <w:tc>
          <w:tcPr>
            <w:tcW w:w="1384" w:type="dxa"/>
          </w:tcPr>
          <w:p w14:paraId="7280D35D">
            <w:pPr>
              <w:rPr>
                <w:color w:val="auto"/>
              </w:rPr>
            </w:pPr>
          </w:p>
        </w:tc>
        <w:tc>
          <w:tcPr>
            <w:tcW w:w="1384" w:type="dxa"/>
          </w:tcPr>
          <w:p w14:paraId="4E991B4F">
            <w:pPr>
              <w:rPr>
                <w:color w:val="auto"/>
              </w:rPr>
            </w:pPr>
          </w:p>
        </w:tc>
      </w:tr>
      <w:tr w14:paraId="07F3F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D4017D8">
            <w:pPr>
              <w:rPr>
                <w:color w:val="auto"/>
              </w:rPr>
            </w:pPr>
          </w:p>
        </w:tc>
        <w:tc>
          <w:tcPr>
            <w:tcW w:w="1384" w:type="dxa"/>
          </w:tcPr>
          <w:p w14:paraId="1D58027D">
            <w:pPr>
              <w:rPr>
                <w:color w:val="auto"/>
              </w:rPr>
            </w:pPr>
          </w:p>
        </w:tc>
        <w:tc>
          <w:tcPr>
            <w:tcW w:w="1384" w:type="dxa"/>
          </w:tcPr>
          <w:p w14:paraId="0D8DAAC7">
            <w:pPr>
              <w:rPr>
                <w:color w:val="auto"/>
              </w:rPr>
            </w:pPr>
          </w:p>
        </w:tc>
        <w:tc>
          <w:tcPr>
            <w:tcW w:w="1384" w:type="dxa"/>
          </w:tcPr>
          <w:p w14:paraId="5799C81F">
            <w:pPr>
              <w:rPr>
                <w:color w:val="auto"/>
              </w:rPr>
            </w:pPr>
          </w:p>
        </w:tc>
        <w:tc>
          <w:tcPr>
            <w:tcW w:w="1384" w:type="dxa"/>
          </w:tcPr>
          <w:p w14:paraId="16F8CBAD">
            <w:pPr>
              <w:rPr>
                <w:color w:val="auto"/>
              </w:rPr>
            </w:pPr>
          </w:p>
        </w:tc>
        <w:tc>
          <w:tcPr>
            <w:tcW w:w="1384" w:type="dxa"/>
          </w:tcPr>
          <w:p w14:paraId="509EB66E">
            <w:pPr>
              <w:rPr>
                <w:color w:val="auto"/>
              </w:rPr>
            </w:pPr>
          </w:p>
        </w:tc>
      </w:tr>
      <w:tr w14:paraId="03434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AE4CCBD">
            <w:pPr>
              <w:rPr>
                <w:color w:val="auto"/>
              </w:rPr>
            </w:pPr>
          </w:p>
        </w:tc>
        <w:tc>
          <w:tcPr>
            <w:tcW w:w="1384" w:type="dxa"/>
          </w:tcPr>
          <w:p w14:paraId="5B8EF78F">
            <w:pPr>
              <w:rPr>
                <w:color w:val="auto"/>
              </w:rPr>
            </w:pPr>
          </w:p>
        </w:tc>
        <w:tc>
          <w:tcPr>
            <w:tcW w:w="1384" w:type="dxa"/>
          </w:tcPr>
          <w:p w14:paraId="6311E8DA">
            <w:pPr>
              <w:rPr>
                <w:color w:val="auto"/>
              </w:rPr>
            </w:pPr>
          </w:p>
        </w:tc>
        <w:tc>
          <w:tcPr>
            <w:tcW w:w="1384" w:type="dxa"/>
          </w:tcPr>
          <w:p w14:paraId="58F07AA2">
            <w:pPr>
              <w:rPr>
                <w:color w:val="auto"/>
              </w:rPr>
            </w:pPr>
          </w:p>
        </w:tc>
        <w:tc>
          <w:tcPr>
            <w:tcW w:w="1384" w:type="dxa"/>
          </w:tcPr>
          <w:p w14:paraId="7BD4DAEC">
            <w:pPr>
              <w:rPr>
                <w:color w:val="auto"/>
              </w:rPr>
            </w:pPr>
          </w:p>
        </w:tc>
        <w:tc>
          <w:tcPr>
            <w:tcW w:w="1384" w:type="dxa"/>
          </w:tcPr>
          <w:p w14:paraId="0C7BA883">
            <w:pPr>
              <w:rPr>
                <w:color w:val="auto"/>
              </w:rPr>
            </w:pPr>
          </w:p>
        </w:tc>
      </w:tr>
    </w:tbl>
    <w:p w14:paraId="521B9FB3">
      <w:pPr>
        <w:pStyle w:val="15"/>
        <w:ind w:firstLine="480"/>
        <w:jc w:val="left"/>
        <w:rPr>
          <w:color w:val="auto"/>
        </w:rPr>
      </w:pPr>
      <w:r>
        <w:rPr>
          <w:color w:val="auto"/>
        </w:rPr>
        <w:t>注：供应商提交的响应文件中与采购文件第四章“协商内容及要求”的要求有不同时，应逐条列在偏离表中，否则将认为供应商接受采购文件的要求。</w:t>
      </w:r>
    </w:p>
    <w:p w14:paraId="55E1533C">
      <w:pPr>
        <w:pStyle w:val="15"/>
        <w:ind w:firstLine="480"/>
        <w:jc w:val="right"/>
        <w:rPr>
          <w:color w:val="auto"/>
        </w:rPr>
      </w:pPr>
      <w:r>
        <w:rPr>
          <w:color w:val="auto"/>
        </w:rPr>
        <w:t>供应商代表签名或签章：</w:t>
      </w:r>
      <w:r>
        <w:rPr>
          <w:color w:val="auto"/>
          <w:u w:val="single"/>
        </w:rPr>
        <w:t>　　　　　　　</w:t>
      </w:r>
    </w:p>
    <w:p w14:paraId="7CF6BFB4">
      <w:pPr>
        <w:pStyle w:val="15"/>
        <w:ind w:firstLine="480"/>
        <w:jc w:val="right"/>
        <w:rPr>
          <w:color w:val="auto"/>
        </w:rPr>
      </w:pPr>
      <w:r>
        <w:rPr>
          <w:color w:val="auto"/>
        </w:rPr>
        <w:t>供应商（全称并加盖公章）：</w:t>
      </w:r>
      <w:r>
        <w:rPr>
          <w:color w:val="auto"/>
          <w:u w:val="single"/>
        </w:rPr>
        <w:t>　　　　　　　</w:t>
      </w:r>
    </w:p>
    <w:p w14:paraId="1F488922">
      <w:pPr>
        <w:pStyle w:val="15"/>
        <w:ind w:firstLine="480"/>
        <w:jc w:val="right"/>
        <w:rPr>
          <w:color w:val="auto"/>
        </w:rPr>
      </w:pPr>
      <w:r>
        <w:rPr>
          <w:color w:val="auto"/>
        </w:rPr>
        <w:t>日期：　　年　　月　　日</w:t>
      </w:r>
    </w:p>
    <w:p w14:paraId="2BD2E64B">
      <w:pPr>
        <w:pStyle w:val="15"/>
        <w:rPr>
          <w:color w:val="auto"/>
        </w:rPr>
      </w:pPr>
      <w:r>
        <w:rPr>
          <w:color w:val="auto"/>
        </w:rPr>
        <w:br w:type="textWrapping"/>
      </w:r>
      <w:r>
        <w:rPr>
          <w:color w:val="auto"/>
        </w:rPr>
        <w:br w:type="page"/>
      </w:r>
    </w:p>
    <w:p w14:paraId="7529B171">
      <w:pPr>
        <w:pStyle w:val="15"/>
        <w:jc w:val="center"/>
        <w:rPr>
          <w:color w:val="auto"/>
        </w:rPr>
      </w:pPr>
      <w:r>
        <w:rPr>
          <w:color w:val="auto"/>
        </w:rPr>
        <w:t>附件</w:t>
      </w:r>
      <w:r>
        <w:rPr>
          <w:rFonts w:hint="eastAsia"/>
          <w:color w:val="auto"/>
          <w:lang w:val="en-US" w:eastAsia="zh-CN"/>
        </w:rPr>
        <w:t>11</w:t>
      </w:r>
      <w:r>
        <w:rPr>
          <w:color w:val="auto"/>
        </w:rPr>
        <w:t>、供应商认为需要提供的其他资料</w:t>
      </w:r>
    </w:p>
    <w:p w14:paraId="51707593">
      <w:pPr>
        <w:pStyle w:val="15"/>
        <w:ind w:firstLine="480"/>
        <w:jc w:val="left"/>
        <w:rPr>
          <w:color w:val="auto"/>
        </w:rPr>
      </w:pPr>
      <w:r>
        <w:rPr>
          <w:rFonts w:hint="eastAsia"/>
          <w:color w:val="auto"/>
          <w:lang w:val="en-US" w:eastAsia="zh-CN"/>
        </w:rPr>
        <w:t>11</w:t>
      </w:r>
      <w:r>
        <w:rPr>
          <w:color w:val="auto"/>
        </w:rPr>
        <w:t>.1、供应商认为应当提交的其他资料</w:t>
      </w:r>
    </w:p>
    <w:p w14:paraId="4E5B1831">
      <w:pPr>
        <w:pStyle w:val="15"/>
        <w:ind w:firstLine="480"/>
        <w:jc w:val="left"/>
        <w:rPr>
          <w:color w:val="auto"/>
        </w:rPr>
      </w:pPr>
      <w:r>
        <w:rPr>
          <w:color w:val="auto"/>
        </w:rPr>
        <w:t>财务状况报告</w:t>
      </w:r>
    </w:p>
    <w:p w14:paraId="611CC4CF">
      <w:pPr>
        <w:pStyle w:val="15"/>
        <w:ind w:firstLine="480"/>
        <w:jc w:val="left"/>
        <w:rPr>
          <w:color w:val="auto"/>
        </w:rPr>
      </w:pPr>
      <w:r>
        <w:rPr>
          <w:color w:val="auto"/>
        </w:rPr>
        <w:t>依法缴纳税收证明材料</w:t>
      </w:r>
    </w:p>
    <w:p w14:paraId="7AFFEC20">
      <w:pPr>
        <w:pStyle w:val="15"/>
        <w:ind w:firstLine="480"/>
        <w:jc w:val="left"/>
        <w:rPr>
          <w:color w:val="auto"/>
        </w:rPr>
      </w:pPr>
      <w:r>
        <w:rPr>
          <w:color w:val="auto"/>
        </w:rPr>
        <w:t>依法缴纳社会保障资金证明材料</w:t>
      </w:r>
    </w:p>
    <w:p w14:paraId="12CDEDB0">
      <w:pPr>
        <w:pStyle w:val="15"/>
        <w:ind w:firstLine="480"/>
        <w:jc w:val="left"/>
        <w:rPr>
          <w:color w:val="auto"/>
        </w:rPr>
      </w:pPr>
      <w:r>
        <w:rPr>
          <w:color w:val="auto"/>
        </w:rPr>
        <w:t>具备履行合同所必需设备和专业技术能力证明材料</w:t>
      </w:r>
    </w:p>
    <w:p w14:paraId="237482A9">
      <w:pPr>
        <w:pStyle w:val="15"/>
        <w:ind w:firstLine="480"/>
        <w:jc w:val="left"/>
        <w:rPr>
          <w:color w:val="auto"/>
        </w:rPr>
      </w:pPr>
      <w:r>
        <w:rPr>
          <w:color w:val="auto"/>
        </w:rPr>
        <w:t>参加采购活动前三年内在经营活动中没有重大违法记录书面声明</w:t>
      </w:r>
    </w:p>
    <w:p w14:paraId="18A64B74">
      <w:pPr>
        <w:pStyle w:val="15"/>
        <w:ind w:firstLine="480"/>
        <w:jc w:val="left"/>
        <w:rPr>
          <w:color w:val="auto"/>
        </w:rPr>
      </w:pPr>
      <w:r>
        <w:rPr>
          <w:color w:val="auto"/>
        </w:rPr>
        <w:t>中小企业声明函</w:t>
      </w:r>
    </w:p>
    <w:p w14:paraId="72908831">
      <w:pPr>
        <w:pStyle w:val="15"/>
        <w:ind w:firstLine="480"/>
        <w:jc w:val="left"/>
        <w:rPr>
          <w:color w:val="auto"/>
        </w:rPr>
      </w:pPr>
      <w:r>
        <w:rPr>
          <w:color w:val="auto"/>
        </w:rPr>
        <w:t>残疾人福利性单位声明函</w:t>
      </w:r>
    </w:p>
    <w:p w14:paraId="7D3C60F6">
      <w:pPr>
        <w:pStyle w:val="15"/>
        <w:ind w:firstLine="480"/>
        <w:jc w:val="left"/>
        <w:rPr>
          <w:color w:val="auto"/>
        </w:rPr>
      </w:pPr>
      <w:r>
        <w:rPr>
          <w:color w:val="auto"/>
        </w:rPr>
        <w:t>监狱企业证明材料</w:t>
      </w:r>
    </w:p>
    <w:p w14:paraId="1DE7B9B7">
      <w:pPr>
        <w:pStyle w:val="15"/>
        <w:ind w:firstLine="480"/>
        <w:jc w:val="right"/>
        <w:rPr>
          <w:color w:val="auto"/>
        </w:rPr>
      </w:pPr>
      <w:r>
        <w:rPr>
          <w:color w:val="auto"/>
        </w:rPr>
        <w:t>供应商代表签名或签章：</w:t>
      </w:r>
      <w:r>
        <w:rPr>
          <w:color w:val="auto"/>
          <w:u w:val="single"/>
        </w:rPr>
        <w:t>　　　　　　　</w:t>
      </w:r>
    </w:p>
    <w:p w14:paraId="3ACB84F8">
      <w:pPr>
        <w:pStyle w:val="15"/>
        <w:ind w:firstLine="480"/>
        <w:jc w:val="right"/>
        <w:rPr>
          <w:color w:val="auto"/>
        </w:rPr>
      </w:pPr>
      <w:r>
        <w:rPr>
          <w:color w:val="auto"/>
        </w:rPr>
        <w:t>供应商（全称并加盖公章）：</w:t>
      </w:r>
      <w:r>
        <w:rPr>
          <w:color w:val="auto"/>
          <w:u w:val="single"/>
        </w:rPr>
        <w:t>　　　　　　　</w:t>
      </w:r>
    </w:p>
    <w:p w14:paraId="78659A62">
      <w:pPr>
        <w:pStyle w:val="15"/>
        <w:ind w:firstLine="480"/>
        <w:jc w:val="right"/>
        <w:rPr>
          <w:color w:val="auto"/>
        </w:rPr>
      </w:pPr>
      <w:r>
        <w:rPr>
          <w:color w:val="auto"/>
        </w:rPr>
        <w:t>日期：　　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Yuen PRC SemiBold">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88209">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86134">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386134">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7CFA1">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67CFA1">
                    <w:pPr>
                      <w:pStyle w:val="8"/>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pStyle w:val="16"/>
      <w:suff w:val="nothing"/>
      <w:lvlText w:val="附　录　%1"/>
      <w:lvlJc w:val="left"/>
      <w:pPr>
        <w:ind w:left="3402"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441793"/>
    <w:rsid w:val="00583020"/>
    <w:rsid w:val="007007DA"/>
    <w:rsid w:val="00847DE1"/>
    <w:rsid w:val="00A97848"/>
    <w:rsid w:val="00AB35C0"/>
    <w:rsid w:val="00AE30B0"/>
    <w:rsid w:val="00E32D5A"/>
    <w:rsid w:val="01080A12"/>
    <w:rsid w:val="014557C2"/>
    <w:rsid w:val="01536131"/>
    <w:rsid w:val="015754F6"/>
    <w:rsid w:val="017936BE"/>
    <w:rsid w:val="017B2F92"/>
    <w:rsid w:val="017B5688"/>
    <w:rsid w:val="01973B44"/>
    <w:rsid w:val="01BD35AB"/>
    <w:rsid w:val="021A27AB"/>
    <w:rsid w:val="02532161"/>
    <w:rsid w:val="02691984"/>
    <w:rsid w:val="02731368"/>
    <w:rsid w:val="027C7A91"/>
    <w:rsid w:val="027D0F8C"/>
    <w:rsid w:val="02C46BBB"/>
    <w:rsid w:val="030D0562"/>
    <w:rsid w:val="031C773B"/>
    <w:rsid w:val="032A1114"/>
    <w:rsid w:val="036A59B4"/>
    <w:rsid w:val="037D0A77"/>
    <w:rsid w:val="037E6D6A"/>
    <w:rsid w:val="037F791B"/>
    <w:rsid w:val="03830824"/>
    <w:rsid w:val="03A72764"/>
    <w:rsid w:val="03DD1CE2"/>
    <w:rsid w:val="040E094C"/>
    <w:rsid w:val="043D09D3"/>
    <w:rsid w:val="043D6C25"/>
    <w:rsid w:val="045A6FA9"/>
    <w:rsid w:val="04762137"/>
    <w:rsid w:val="04854128"/>
    <w:rsid w:val="049A4077"/>
    <w:rsid w:val="049F343C"/>
    <w:rsid w:val="04D330E5"/>
    <w:rsid w:val="05656433"/>
    <w:rsid w:val="056F2E0E"/>
    <w:rsid w:val="05924D4E"/>
    <w:rsid w:val="05CB200E"/>
    <w:rsid w:val="05DB4947"/>
    <w:rsid w:val="060A6344"/>
    <w:rsid w:val="064E336B"/>
    <w:rsid w:val="0680104B"/>
    <w:rsid w:val="068E50FC"/>
    <w:rsid w:val="06B55198"/>
    <w:rsid w:val="06C158EB"/>
    <w:rsid w:val="06DC0977"/>
    <w:rsid w:val="06EB2968"/>
    <w:rsid w:val="071719AF"/>
    <w:rsid w:val="074D44A4"/>
    <w:rsid w:val="07727F9D"/>
    <w:rsid w:val="07833AF3"/>
    <w:rsid w:val="078F7CD1"/>
    <w:rsid w:val="07AD5E6F"/>
    <w:rsid w:val="07F92E63"/>
    <w:rsid w:val="081A6AA7"/>
    <w:rsid w:val="08296CA4"/>
    <w:rsid w:val="08644325"/>
    <w:rsid w:val="08674270"/>
    <w:rsid w:val="08D8516E"/>
    <w:rsid w:val="093920B1"/>
    <w:rsid w:val="095509D9"/>
    <w:rsid w:val="09591C06"/>
    <w:rsid w:val="096F5AD2"/>
    <w:rsid w:val="098B3F8E"/>
    <w:rsid w:val="09A908B8"/>
    <w:rsid w:val="09B96D4E"/>
    <w:rsid w:val="09CE4371"/>
    <w:rsid w:val="09F117B2"/>
    <w:rsid w:val="09F204B1"/>
    <w:rsid w:val="0A14667A"/>
    <w:rsid w:val="0A40121D"/>
    <w:rsid w:val="0A522CFE"/>
    <w:rsid w:val="0A7B04A7"/>
    <w:rsid w:val="0A886720"/>
    <w:rsid w:val="0A9926DB"/>
    <w:rsid w:val="0A9D6904"/>
    <w:rsid w:val="0AA41DD1"/>
    <w:rsid w:val="0ABB6AF5"/>
    <w:rsid w:val="0AC43BFC"/>
    <w:rsid w:val="0B050B81"/>
    <w:rsid w:val="0B0B35D9"/>
    <w:rsid w:val="0B135E27"/>
    <w:rsid w:val="0B521208"/>
    <w:rsid w:val="0B6902FF"/>
    <w:rsid w:val="0B957346"/>
    <w:rsid w:val="0BF16C73"/>
    <w:rsid w:val="0BF40511"/>
    <w:rsid w:val="0BF57DE5"/>
    <w:rsid w:val="0C403756"/>
    <w:rsid w:val="0C8573BB"/>
    <w:rsid w:val="0CE2480D"/>
    <w:rsid w:val="0D18022F"/>
    <w:rsid w:val="0D88416D"/>
    <w:rsid w:val="0E124C7E"/>
    <w:rsid w:val="0E2449B2"/>
    <w:rsid w:val="0E8813E4"/>
    <w:rsid w:val="0EDB1514"/>
    <w:rsid w:val="0EE50468"/>
    <w:rsid w:val="0EF3685E"/>
    <w:rsid w:val="0F6459AD"/>
    <w:rsid w:val="0F930041"/>
    <w:rsid w:val="0FC226D4"/>
    <w:rsid w:val="0FE60171"/>
    <w:rsid w:val="100A0C7F"/>
    <w:rsid w:val="10120F66"/>
    <w:rsid w:val="102F7D69"/>
    <w:rsid w:val="10394744"/>
    <w:rsid w:val="108005C5"/>
    <w:rsid w:val="10BF10E1"/>
    <w:rsid w:val="10E02E12"/>
    <w:rsid w:val="110411F6"/>
    <w:rsid w:val="11401B02"/>
    <w:rsid w:val="118539B9"/>
    <w:rsid w:val="11963E18"/>
    <w:rsid w:val="119D6F55"/>
    <w:rsid w:val="11B76268"/>
    <w:rsid w:val="11E903EC"/>
    <w:rsid w:val="124473D0"/>
    <w:rsid w:val="12573F56"/>
    <w:rsid w:val="125D0492"/>
    <w:rsid w:val="12747CB6"/>
    <w:rsid w:val="12891287"/>
    <w:rsid w:val="12C16C73"/>
    <w:rsid w:val="12C329EB"/>
    <w:rsid w:val="136E2957"/>
    <w:rsid w:val="136E6DFB"/>
    <w:rsid w:val="139B5716"/>
    <w:rsid w:val="140432BB"/>
    <w:rsid w:val="141C0605"/>
    <w:rsid w:val="142676D5"/>
    <w:rsid w:val="142E658A"/>
    <w:rsid w:val="14382F65"/>
    <w:rsid w:val="14515DD5"/>
    <w:rsid w:val="148937C0"/>
    <w:rsid w:val="14983A03"/>
    <w:rsid w:val="14A8633C"/>
    <w:rsid w:val="14E804E7"/>
    <w:rsid w:val="151E03AD"/>
    <w:rsid w:val="1528122B"/>
    <w:rsid w:val="15595889"/>
    <w:rsid w:val="158C17BA"/>
    <w:rsid w:val="15D46CBD"/>
    <w:rsid w:val="15DF2F2F"/>
    <w:rsid w:val="15EA1E93"/>
    <w:rsid w:val="15F07F9B"/>
    <w:rsid w:val="161358DF"/>
    <w:rsid w:val="16472EF2"/>
    <w:rsid w:val="16CD5BE6"/>
    <w:rsid w:val="17345C65"/>
    <w:rsid w:val="177F50ED"/>
    <w:rsid w:val="179E3A27"/>
    <w:rsid w:val="181141F9"/>
    <w:rsid w:val="181B5077"/>
    <w:rsid w:val="183C74C7"/>
    <w:rsid w:val="18866995"/>
    <w:rsid w:val="18AC5CCF"/>
    <w:rsid w:val="18EA6F23"/>
    <w:rsid w:val="193E101D"/>
    <w:rsid w:val="195972AD"/>
    <w:rsid w:val="19801636"/>
    <w:rsid w:val="19AD1CFF"/>
    <w:rsid w:val="19B7492C"/>
    <w:rsid w:val="19EC2827"/>
    <w:rsid w:val="19FF69FF"/>
    <w:rsid w:val="1A67753D"/>
    <w:rsid w:val="1B5E59A7"/>
    <w:rsid w:val="1B9273FE"/>
    <w:rsid w:val="1BA01B1B"/>
    <w:rsid w:val="1BDD4B1E"/>
    <w:rsid w:val="1BE0460E"/>
    <w:rsid w:val="1BEE6D2B"/>
    <w:rsid w:val="1C2D7127"/>
    <w:rsid w:val="1C4C3A51"/>
    <w:rsid w:val="1CC950A2"/>
    <w:rsid w:val="1CD90C57"/>
    <w:rsid w:val="1D2B0D99"/>
    <w:rsid w:val="1D566719"/>
    <w:rsid w:val="1DD71A40"/>
    <w:rsid w:val="1E430E84"/>
    <w:rsid w:val="1E5B441F"/>
    <w:rsid w:val="1E650DFA"/>
    <w:rsid w:val="1EA77665"/>
    <w:rsid w:val="1EB4768C"/>
    <w:rsid w:val="1EEB57A3"/>
    <w:rsid w:val="1F0C571A"/>
    <w:rsid w:val="1F286623"/>
    <w:rsid w:val="1F292B5A"/>
    <w:rsid w:val="1F4153C3"/>
    <w:rsid w:val="1F4629DA"/>
    <w:rsid w:val="1F51312D"/>
    <w:rsid w:val="205D447F"/>
    <w:rsid w:val="206D3F96"/>
    <w:rsid w:val="20E93416"/>
    <w:rsid w:val="20F87D04"/>
    <w:rsid w:val="21442F49"/>
    <w:rsid w:val="216B6728"/>
    <w:rsid w:val="217A696B"/>
    <w:rsid w:val="21875B51"/>
    <w:rsid w:val="21B16104"/>
    <w:rsid w:val="21D13677"/>
    <w:rsid w:val="229677D4"/>
    <w:rsid w:val="22BB406C"/>
    <w:rsid w:val="22E04EF3"/>
    <w:rsid w:val="22EF3388"/>
    <w:rsid w:val="2302130E"/>
    <w:rsid w:val="23076924"/>
    <w:rsid w:val="235D45AA"/>
    <w:rsid w:val="23657001"/>
    <w:rsid w:val="236B3BC2"/>
    <w:rsid w:val="2381353A"/>
    <w:rsid w:val="23B95E70"/>
    <w:rsid w:val="24213A15"/>
    <w:rsid w:val="242B039E"/>
    <w:rsid w:val="24B77ED6"/>
    <w:rsid w:val="253B4630"/>
    <w:rsid w:val="254B6F9C"/>
    <w:rsid w:val="25A77F4A"/>
    <w:rsid w:val="25A91F14"/>
    <w:rsid w:val="25DE1BBE"/>
    <w:rsid w:val="25EC39DF"/>
    <w:rsid w:val="2604539D"/>
    <w:rsid w:val="264D6D44"/>
    <w:rsid w:val="269E3982"/>
    <w:rsid w:val="26AF5308"/>
    <w:rsid w:val="26BF01D9"/>
    <w:rsid w:val="26CD1C32"/>
    <w:rsid w:val="2701019D"/>
    <w:rsid w:val="27DB3EDB"/>
    <w:rsid w:val="27E17743"/>
    <w:rsid w:val="27EE1E60"/>
    <w:rsid w:val="27F8683B"/>
    <w:rsid w:val="285A5748"/>
    <w:rsid w:val="28745174"/>
    <w:rsid w:val="288A1B89"/>
    <w:rsid w:val="28A30E9D"/>
    <w:rsid w:val="291B6C85"/>
    <w:rsid w:val="29581C87"/>
    <w:rsid w:val="297840D8"/>
    <w:rsid w:val="29982084"/>
    <w:rsid w:val="29AC5B2F"/>
    <w:rsid w:val="29BA649E"/>
    <w:rsid w:val="29E76B67"/>
    <w:rsid w:val="2A663F30"/>
    <w:rsid w:val="2AB90312"/>
    <w:rsid w:val="2AC75CEF"/>
    <w:rsid w:val="2AE412F9"/>
    <w:rsid w:val="2AFD3BC3"/>
    <w:rsid w:val="2B243DEB"/>
    <w:rsid w:val="2B2B6F28"/>
    <w:rsid w:val="2B33475A"/>
    <w:rsid w:val="2B473D61"/>
    <w:rsid w:val="2BE041B6"/>
    <w:rsid w:val="2C477D91"/>
    <w:rsid w:val="2C583D4C"/>
    <w:rsid w:val="2C7768C8"/>
    <w:rsid w:val="2C9F3729"/>
    <w:rsid w:val="2D161E43"/>
    <w:rsid w:val="2D206C61"/>
    <w:rsid w:val="2D300BAA"/>
    <w:rsid w:val="2D67693D"/>
    <w:rsid w:val="2D6D3827"/>
    <w:rsid w:val="2D71156A"/>
    <w:rsid w:val="2D7626DC"/>
    <w:rsid w:val="2D880661"/>
    <w:rsid w:val="2D947006"/>
    <w:rsid w:val="2DB15E0A"/>
    <w:rsid w:val="2E112405"/>
    <w:rsid w:val="2E232138"/>
    <w:rsid w:val="2E2D48D8"/>
    <w:rsid w:val="2E8E614B"/>
    <w:rsid w:val="2EA339A5"/>
    <w:rsid w:val="2EC05B23"/>
    <w:rsid w:val="2EC27BA3"/>
    <w:rsid w:val="2EDE49DD"/>
    <w:rsid w:val="2EDF215F"/>
    <w:rsid w:val="2EE713B8"/>
    <w:rsid w:val="2EF35FAE"/>
    <w:rsid w:val="2F527179"/>
    <w:rsid w:val="2F860BD0"/>
    <w:rsid w:val="2FCE2CA3"/>
    <w:rsid w:val="2FD656B4"/>
    <w:rsid w:val="30077F63"/>
    <w:rsid w:val="300E30A0"/>
    <w:rsid w:val="3038011D"/>
    <w:rsid w:val="304C3BC8"/>
    <w:rsid w:val="305B02AF"/>
    <w:rsid w:val="30A6152A"/>
    <w:rsid w:val="30C3032E"/>
    <w:rsid w:val="30CB71E3"/>
    <w:rsid w:val="316C0277"/>
    <w:rsid w:val="31701B38"/>
    <w:rsid w:val="317433D6"/>
    <w:rsid w:val="317B29B7"/>
    <w:rsid w:val="31994BEB"/>
    <w:rsid w:val="319E48F7"/>
    <w:rsid w:val="31DE4CF4"/>
    <w:rsid w:val="321B1AA4"/>
    <w:rsid w:val="32342B66"/>
    <w:rsid w:val="32606490"/>
    <w:rsid w:val="326334F7"/>
    <w:rsid w:val="32672F3B"/>
    <w:rsid w:val="329D695D"/>
    <w:rsid w:val="330E33B7"/>
    <w:rsid w:val="333C43C8"/>
    <w:rsid w:val="336F1030"/>
    <w:rsid w:val="337D0287"/>
    <w:rsid w:val="338F44F8"/>
    <w:rsid w:val="33947D60"/>
    <w:rsid w:val="33AB6E58"/>
    <w:rsid w:val="33B94190"/>
    <w:rsid w:val="33CA3782"/>
    <w:rsid w:val="341C7D6A"/>
    <w:rsid w:val="3449578E"/>
    <w:rsid w:val="344F3C87"/>
    <w:rsid w:val="34A35D81"/>
    <w:rsid w:val="34F12F90"/>
    <w:rsid w:val="35101668"/>
    <w:rsid w:val="35A3428A"/>
    <w:rsid w:val="35B244CD"/>
    <w:rsid w:val="35D54660"/>
    <w:rsid w:val="35DF103A"/>
    <w:rsid w:val="36617CA1"/>
    <w:rsid w:val="36B3674F"/>
    <w:rsid w:val="36CA7A2A"/>
    <w:rsid w:val="37092813"/>
    <w:rsid w:val="382611A3"/>
    <w:rsid w:val="384F0C8B"/>
    <w:rsid w:val="386A72E1"/>
    <w:rsid w:val="387D5266"/>
    <w:rsid w:val="38E77747"/>
    <w:rsid w:val="38F44DFD"/>
    <w:rsid w:val="391536F1"/>
    <w:rsid w:val="391D25A6"/>
    <w:rsid w:val="39227BBC"/>
    <w:rsid w:val="3925145A"/>
    <w:rsid w:val="39253208"/>
    <w:rsid w:val="39C56B44"/>
    <w:rsid w:val="39E527ED"/>
    <w:rsid w:val="39E7493A"/>
    <w:rsid w:val="3A1E0383"/>
    <w:rsid w:val="3A667F7C"/>
    <w:rsid w:val="3A6A3D2E"/>
    <w:rsid w:val="3A7379ED"/>
    <w:rsid w:val="3AA80595"/>
    <w:rsid w:val="3AC1102C"/>
    <w:rsid w:val="3B1F5A0B"/>
    <w:rsid w:val="3B2714BA"/>
    <w:rsid w:val="3B365BA1"/>
    <w:rsid w:val="3B8B1A48"/>
    <w:rsid w:val="3BE17B92"/>
    <w:rsid w:val="3BFE66BE"/>
    <w:rsid w:val="3CA134EE"/>
    <w:rsid w:val="3CD94A35"/>
    <w:rsid w:val="3CEF4259"/>
    <w:rsid w:val="3D606F05"/>
    <w:rsid w:val="3D6407A3"/>
    <w:rsid w:val="3D662D14"/>
    <w:rsid w:val="3DA43295"/>
    <w:rsid w:val="3DAF5796"/>
    <w:rsid w:val="3DD84CED"/>
    <w:rsid w:val="3DDA2813"/>
    <w:rsid w:val="3DE9514C"/>
    <w:rsid w:val="3DEB2C72"/>
    <w:rsid w:val="3DED69EA"/>
    <w:rsid w:val="3DEE7764"/>
    <w:rsid w:val="3E0D0E3B"/>
    <w:rsid w:val="3E7A3FF6"/>
    <w:rsid w:val="3E8409D1"/>
    <w:rsid w:val="3EDC4040"/>
    <w:rsid w:val="3EE53B65"/>
    <w:rsid w:val="3F0B2EA0"/>
    <w:rsid w:val="3F1D32FF"/>
    <w:rsid w:val="3F310B59"/>
    <w:rsid w:val="3F5E56C6"/>
    <w:rsid w:val="3FA840FB"/>
    <w:rsid w:val="40073668"/>
    <w:rsid w:val="40267F92"/>
    <w:rsid w:val="40387CC5"/>
    <w:rsid w:val="405C39B3"/>
    <w:rsid w:val="40A03A8D"/>
    <w:rsid w:val="40A435AC"/>
    <w:rsid w:val="40CE4185"/>
    <w:rsid w:val="40E52187"/>
    <w:rsid w:val="40F10F06"/>
    <w:rsid w:val="412F10C8"/>
    <w:rsid w:val="414F2580"/>
    <w:rsid w:val="415D5C35"/>
    <w:rsid w:val="41801923"/>
    <w:rsid w:val="41AE6491"/>
    <w:rsid w:val="41B25855"/>
    <w:rsid w:val="41E53E7C"/>
    <w:rsid w:val="422A188F"/>
    <w:rsid w:val="425D7EB7"/>
    <w:rsid w:val="426C3C56"/>
    <w:rsid w:val="427A45C5"/>
    <w:rsid w:val="42D57A4D"/>
    <w:rsid w:val="435C52A0"/>
    <w:rsid w:val="437B05F4"/>
    <w:rsid w:val="439D67BD"/>
    <w:rsid w:val="43AC4500"/>
    <w:rsid w:val="43B811B7"/>
    <w:rsid w:val="43C33D49"/>
    <w:rsid w:val="43C57AC2"/>
    <w:rsid w:val="43CD4BC8"/>
    <w:rsid w:val="44095C00"/>
    <w:rsid w:val="44BE2E8F"/>
    <w:rsid w:val="44E3448A"/>
    <w:rsid w:val="4513485D"/>
    <w:rsid w:val="454B2248"/>
    <w:rsid w:val="45723C79"/>
    <w:rsid w:val="46195EA3"/>
    <w:rsid w:val="46503FBA"/>
    <w:rsid w:val="46657839"/>
    <w:rsid w:val="46674E60"/>
    <w:rsid w:val="46B04A59"/>
    <w:rsid w:val="46F030A7"/>
    <w:rsid w:val="471E5E67"/>
    <w:rsid w:val="47481269"/>
    <w:rsid w:val="481E1E96"/>
    <w:rsid w:val="4823270A"/>
    <w:rsid w:val="49535B70"/>
    <w:rsid w:val="49B4660E"/>
    <w:rsid w:val="49B51BAE"/>
    <w:rsid w:val="49CD147E"/>
    <w:rsid w:val="49F8402B"/>
    <w:rsid w:val="4A080708"/>
    <w:rsid w:val="4A1452FF"/>
    <w:rsid w:val="4A2C089A"/>
    <w:rsid w:val="4AB443EC"/>
    <w:rsid w:val="4B58746D"/>
    <w:rsid w:val="4B5C51AF"/>
    <w:rsid w:val="4B85737C"/>
    <w:rsid w:val="4BD87EE6"/>
    <w:rsid w:val="4C2A705C"/>
    <w:rsid w:val="4C365A00"/>
    <w:rsid w:val="4C450788"/>
    <w:rsid w:val="4C79769B"/>
    <w:rsid w:val="4C804ECE"/>
    <w:rsid w:val="4D84279B"/>
    <w:rsid w:val="4D92310A"/>
    <w:rsid w:val="4DA93FB0"/>
    <w:rsid w:val="4DB03590"/>
    <w:rsid w:val="4DD21759"/>
    <w:rsid w:val="4DE90850"/>
    <w:rsid w:val="4DF27705"/>
    <w:rsid w:val="4E0B6A19"/>
    <w:rsid w:val="4E233D62"/>
    <w:rsid w:val="4E3C6BD2"/>
    <w:rsid w:val="4E546612"/>
    <w:rsid w:val="4EA34EA3"/>
    <w:rsid w:val="4EE01C53"/>
    <w:rsid w:val="4F455F5A"/>
    <w:rsid w:val="4FAE533B"/>
    <w:rsid w:val="50027558"/>
    <w:rsid w:val="501871CB"/>
    <w:rsid w:val="50506965"/>
    <w:rsid w:val="507E1724"/>
    <w:rsid w:val="508807F5"/>
    <w:rsid w:val="509C305B"/>
    <w:rsid w:val="50C609B0"/>
    <w:rsid w:val="513444D8"/>
    <w:rsid w:val="5167665C"/>
    <w:rsid w:val="5176689F"/>
    <w:rsid w:val="5180327A"/>
    <w:rsid w:val="51F577C4"/>
    <w:rsid w:val="520619D1"/>
    <w:rsid w:val="52107E9A"/>
    <w:rsid w:val="52466271"/>
    <w:rsid w:val="524B7D2C"/>
    <w:rsid w:val="52642B9B"/>
    <w:rsid w:val="526A6404"/>
    <w:rsid w:val="52BC4786"/>
    <w:rsid w:val="52F537F4"/>
    <w:rsid w:val="531E71EE"/>
    <w:rsid w:val="533E33EC"/>
    <w:rsid w:val="53457DF7"/>
    <w:rsid w:val="53874D93"/>
    <w:rsid w:val="53B52B8D"/>
    <w:rsid w:val="53C47D96"/>
    <w:rsid w:val="53C51418"/>
    <w:rsid w:val="53CB30B0"/>
    <w:rsid w:val="53FF2B7C"/>
    <w:rsid w:val="541505F1"/>
    <w:rsid w:val="543D5452"/>
    <w:rsid w:val="545729B8"/>
    <w:rsid w:val="545D5AF4"/>
    <w:rsid w:val="546A23F8"/>
    <w:rsid w:val="5483555B"/>
    <w:rsid w:val="54A86D6F"/>
    <w:rsid w:val="54ED6E78"/>
    <w:rsid w:val="55287EB0"/>
    <w:rsid w:val="552B174F"/>
    <w:rsid w:val="557E5D22"/>
    <w:rsid w:val="55B27493"/>
    <w:rsid w:val="55EE2EA8"/>
    <w:rsid w:val="56537B84"/>
    <w:rsid w:val="56633896"/>
    <w:rsid w:val="566B4EFE"/>
    <w:rsid w:val="56763C45"/>
    <w:rsid w:val="56786C15"/>
    <w:rsid w:val="568B4B9B"/>
    <w:rsid w:val="572A684B"/>
    <w:rsid w:val="572D5C52"/>
    <w:rsid w:val="57650F48"/>
    <w:rsid w:val="57E65D76"/>
    <w:rsid w:val="5805272B"/>
    <w:rsid w:val="5822508B"/>
    <w:rsid w:val="582726A1"/>
    <w:rsid w:val="585A2A77"/>
    <w:rsid w:val="58B73A25"/>
    <w:rsid w:val="58C425E6"/>
    <w:rsid w:val="58D00F8B"/>
    <w:rsid w:val="58D72319"/>
    <w:rsid w:val="594F6DF5"/>
    <w:rsid w:val="595A2602"/>
    <w:rsid w:val="59722042"/>
    <w:rsid w:val="59965D30"/>
    <w:rsid w:val="599B6EA3"/>
    <w:rsid w:val="59E56370"/>
    <w:rsid w:val="5A234BDF"/>
    <w:rsid w:val="5A2E72E3"/>
    <w:rsid w:val="5A9D6C4B"/>
    <w:rsid w:val="5AAF5B5F"/>
    <w:rsid w:val="5AE84932"/>
    <w:rsid w:val="5AF076C2"/>
    <w:rsid w:val="5B0373F5"/>
    <w:rsid w:val="5B1F3B03"/>
    <w:rsid w:val="5B2353A2"/>
    <w:rsid w:val="5B377E28"/>
    <w:rsid w:val="5B4D241F"/>
    <w:rsid w:val="5B694D7F"/>
    <w:rsid w:val="5B871DD5"/>
    <w:rsid w:val="5B914A01"/>
    <w:rsid w:val="5B9B13DC"/>
    <w:rsid w:val="5BA109BC"/>
    <w:rsid w:val="5BC07095"/>
    <w:rsid w:val="5C2313D1"/>
    <w:rsid w:val="5C5679F9"/>
    <w:rsid w:val="5C5D2B35"/>
    <w:rsid w:val="5C6A7000"/>
    <w:rsid w:val="5C7B2FBB"/>
    <w:rsid w:val="5C814A76"/>
    <w:rsid w:val="5CA000D9"/>
    <w:rsid w:val="5CAB1AF3"/>
    <w:rsid w:val="5CC6347E"/>
    <w:rsid w:val="5CD526CC"/>
    <w:rsid w:val="5CE2303B"/>
    <w:rsid w:val="5CF82A0E"/>
    <w:rsid w:val="5D1C654D"/>
    <w:rsid w:val="5D535CE6"/>
    <w:rsid w:val="5D7A552B"/>
    <w:rsid w:val="5D8B722E"/>
    <w:rsid w:val="5DD010E5"/>
    <w:rsid w:val="5DF63241"/>
    <w:rsid w:val="5E167440"/>
    <w:rsid w:val="5E1937BC"/>
    <w:rsid w:val="5E2C6C63"/>
    <w:rsid w:val="5E31427A"/>
    <w:rsid w:val="5E5D6E1D"/>
    <w:rsid w:val="5EC40C4A"/>
    <w:rsid w:val="5ECF75EF"/>
    <w:rsid w:val="5EEC01A1"/>
    <w:rsid w:val="5EF01A3F"/>
    <w:rsid w:val="5EFD5F0A"/>
    <w:rsid w:val="5F296CFF"/>
    <w:rsid w:val="5F412CC2"/>
    <w:rsid w:val="5F903222"/>
    <w:rsid w:val="5F9E593F"/>
    <w:rsid w:val="601856F1"/>
    <w:rsid w:val="60575AEE"/>
    <w:rsid w:val="60A46F85"/>
    <w:rsid w:val="60AA20C1"/>
    <w:rsid w:val="614222FA"/>
    <w:rsid w:val="61944750"/>
    <w:rsid w:val="61A60ADB"/>
    <w:rsid w:val="61CB22EF"/>
    <w:rsid w:val="61E3588B"/>
    <w:rsid w:val="6209356E"/>
    <w:rsid w:val="620F6680"/>
    <w:rsid w:val="623E6F65"/>
    <w:rsid w:val="625B18C5"/>
    <w:rsid w:val="628030DA"/>
    <w:rsid w:val="628C136C"/>
    <w:rsid w:val="629848C7"/>
    <w:rsid w:val="630E4B89"/>
    <w:rsid w:val="63312626"/>
    <w:rsid w:val="639B37C7"/>
    <w:rsid w:val="63A70B3A"/>
    <w:rsid w:val="63CB4828"/>
    <w:rsid w:val="64122457"/>
    <w:rsid w:val="6470717E"/>
    <w:rsid w:val="64B976A5"/>
    <w:rsid w:val="64E706E8"/>
    <w:rsid w:val="653A7EB8"/>
    <w:rsid w:val="659F7D1B"/>
    <w:rsid w:val="65A610A9"/>
    <w:rsid w:val="662B2100"/>
    <w:rsid w:val="66331DAC"/>
    <w:rsid w:val="66415418"/>
    <w:rsid w:val="66682803"/>
    <w:rsid w:val="66AC79F5"/>
    <w:rsid w:val="66DB4D83"/>
    <w:rsid w:val="6736645D"/>
    <w:rsid w:val="677156E7"/>
    <w:rsid w:val="67952139"/>
    <w:rsid w:val="67A1421E"/>
    <w:rsid w:val="68014CBD"/>
    <w:rsid w:val="680227E3"/>
    <w:rsid w:val="68330BEE"/>
    <w:rsid w:val="6864524C"/>
    <w:rsid w:val="68662D72"/>
    <w:rsid w:val="68757459"/>
    <w:rsid w:val="688F051A"/>
    <w:rsid w:val="68E5638C"/>
    <w:rsid w:val="68FC7232"/>
    <w:rsid w:val="690031C6"/>
    <w:rsid w:val="690600B1"/>
    <w:rsid w:val="690C1B6B"/>
    <w:rsid w:val="695A0B28"/>
    <w:rsid w:val="696A6892"/>
    <w:rsid w:val="696C43B8"/>
    <w:rsid w:val="6985191D"/>
    <w:rsid w:val="699D6C67"/>
    <w:rsid w:val="69B55D5F"/>
    <w:rsid w:val="69BD2E65"/>
    <w:rsid w:val="69C92FC6"/>
    <w:rsid w:val="69DF4B8A"/>
    <w:rsid w:val="69E76134"/>
    <w:rsid w:val="6A445335"/>
    <w:rsid w:val="6A4B221F"/>
    <w:rsid w:val="6A935974"/>
    <w:rsid w:val="6AA95198"/>
    <w:rsid w:val="6AE14931"/>
    <w:rsid w:val="6AE461D0"/>
    <w:rsid w:val="6AEA1A38"/>
    <w:rsid w:val="6B3233DF"/>
    <w:rsid w:val="6B347990"/>
    <w:rsid w:val="6B87197D"/>
    <w:rsid w:val="6B902C0A"/>
    <w:rsid w:val="6B97756C"/>
    <w:rsid w:val="6BF6265F"/>
    <w:rsid w:val="6BF95CAB"/>
    <w:rsid w:val="6C5F0204"/>
    <w:rsid w:val="6C663340"/>
    <w:rsid w:val="6C7F4402"/>
    <w:rsid w:val="6D5C2C40"/>
    <w:rsid w:val="6D8A305E"/>
    <w:rsid w:val="6D8F47AC"/>
    <w:rsid w:val="6DEE5CE3"/>
    <w:rsid w:val="6DF332FA"/>
    <w:rsid w:val="6E02353D"/>
    <w:rsid w:val="6E1119D2"/>
    <w:rsid w:val="6E2A65EF"/>
    <w:rsid w:val="6E331948"/>
    <w:rsid w:val="6E6B0BF8"/>
    <w:rsid w:val="6E906D9A"/>
    <w:rsid w:val="6EA12D56"/>
    <w:rsid w:val="6EB26D11"/>
    <w:rsid w:val="6ED64AF3"/>
    <w:rsid w:val="6EDC5B3C"/>
    <w:rsid w:val="6EE113A4"/>
    <w:rsid w:val="6EE90259"/>
    <w:rsid w:val="6F444811"/>
    <w:rsid w:val="6F653D83"/>
    <w:rsid w:val="6FFE5F86"/>
    <w:rsid w:val="7053381D"/>
    <w:rsid w:val="70814BED"/>
    <w:rsid w:val="708B31C3"/>
    <w:rsid w:val="70956D9D"/>
    <w:rsid w:val="70FC4273"/>
    <w:rsid w:val="71232904"/>
    <w:rsid w:val="71235CA4"/>
    <w:rsid w:val="718129CA"/>
    <w:rsid w:val="722C0B88"/>
    <w:rsid w:val="731719B6"/>
    <w:rsid w:val="733221CE"/>
    <w:rsid w:val="738844E4"/>
    <w:rsid w:val="73D019E7"/>
    <w:rsid w:val="73E536E4"/>
    <w:rsid w:val="740F15CA"/>
    <w:rsid w:val="74166D71"/>
    <w:rsid w:val="744F6DB0"/>
    <w:rsid w:val="7479207F"/>
    <w:rsid w:val="74793E2D"/>
    <w:rsid w:val="74C4779E"/>
    <w:rsid w:val="74C90910"/>
    <w:rsid w:val="74F00593"/>
    <w:rsid w:val="74F83FD8"/>
    <w:rsid w:val="75491A51"/>
    <w:rsid w:val="75660855"/>
    <w:rsid w:val="757A60AE"/>
    <w:rsid w:val="76397D18"/>
    <w:rsid w:val="768C2C50"/>
    <w:rsid w:val="76E47C83"/>
    <w:rsid w:val="774C5829"/>
    <w:rsid w:val="77A613DD"/>
    <w:rsid w:val="77F79321"/>
    <w:rsid w:val="781B3612"/>
    <w:rsid w:val="7847671C"/>
    <w:rsid w:val="784F6FA6"/>
    <w:rsid w:val="79442C5B"/>
    <w:rsid w:val="79DF4732"/>
    <w:rsid w:val="7A081EDB"/>
    <w:rsid w:val="7A1F0FD2"/>
    <w:rsid w:val="7AA5597C"/>
    <w:rsid w:val="7AAA2B8B"/>
    <w:rsid w:val="7AB57A3E"/>
    <w:rsid w:val="7ABB519F"/>
    <w:rsid w:val="7AF64429"/>
    <w:rsid w:val="7B1B31D7"/>
    <w:rsid w:val="7B25086A"/>
    <w:rsid w:val="7B3D6D3E"/>
    <w:rsid w:val="7B4C4049"/>
    <w:rsid w:val="7B594439"/>
    <w:rsid w:val="7B66357A"/>
    <w:rsid w:val="7B851309"/>
    <w:rsid w:val="7BAB5214"/>
    <w:rsid w:val="7BF70459"/>
    <w:rsid w:val="7C466CEA"/>
    <w:rsid w:val="7C66738C"/>
    <w:rsid w:val="7C9E08D4"/>
    <w:rsid w:val="7CE85FF3"/>
    <w:rsid w:val="7D1666BD"/>
    <w:rsid w:val="7D6438CC"/>
    <w:rsid w:val="7D8D26CA"/>
    <w:rsid w:val="7DFF1847"/>
    <w:rsid w:val="7E2412AD"/>
    <w:rsid w:val="7E2E3EDA"/>
    <w:rsid w:val="7E4E1E86"/>
    <w:rsid w:val="7E655B4E"/>
    <w:rsid w:val="7E841D81"/>
    <w:rsid w:val="7EB4618D"/>
    <w:rsid w:val="7ECA59B1"/>
    <w:rsid w:val="7F050496"/>
    <w:rsid w:val="7F182BC0"/>
    <w:rsid w:val="7F1E5CFC"/>
    <w:rsid w:val="7F4917AA"/>
    <w:rsid w:val="7F4F4108"/>
    <w:rsid w:val="7F637BB3"/>
    <w:rsid w:val="7F743B6E"/>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4"/>
    <w:qFormat/>
    <w:uiPriority w:val="99"/>
    <w:pPr>
      <w:spacing w:beforeAutospacing="1" w:afterAutospacing="1"/>
      <w:jc w:val="left"/>
      <w:outlineLvl w:val="2"/>
    </w:pPr>
    <w:rPr>
      <w:b/>
      <w:kern w:val="0"/>
      <w:sz w:val="32"/>
      <w:szCs w:val="20"/>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Normal Indent"/>
    <w:basedOn w:val="1"/>
    <w:next w:val="5"/>
    <w:qFormat/>
    <w:uiPriority w:val="0"/>
    <w:pPr>
      <w:ind w:firstLine="420"/>
    </w:pPr>
    <w:rPr>
      <w:sz w:val="20"/>
    </w:rPr>
  </w:style>
  <w:style w:type="paragraph" w:styleId="5">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annotation text"/>
    <w:basedOn w:val="1"/>
    <w:qFormat/>
    <w:uiPriority w:val="0"/>
    <w:pPr>
      <w:jc w:val="left"/>
    </w:pPr>
  </w:style>
  <w:style w:type="paragraph" w:styleId="7">
    <w:name w:val="Body Text"/>
    <w:basedOn w:val="1"/>
    <w:next w:val="1"/>
    <w:qFormat/>
    <w:uiPriority w:val="0"/>
    <w:pPr>
      <w:spacing w:after="120" w:line="360" w:lineRule="auto"/>
    </w:pPr>
    <w:rPr>
      <w:rFonts w:eastAsia="仿宋_GB2312"/>
      <w:kern w:val="0"/>
      <w:sz w:val="24"/>
      <w:lang w:val="zh-CN"/>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99"/>
    <w:pPr>
      <w:spacing w:beforeAutospacing="1" w:afterAutospacing="1"/>
      <w:jc w:val="left"/>
    </w:pPr>
    <w:rPr>
      <w:kern w:val="0"/>
      <w:sz w:val="24"/>
    </w:rPr>
  </w:style>
  <w:style w:type="paragraph" w:styleId="10">
    <w:name w:val="Body Text First Indent"/>
    <w:basedOn w:val="7"/>
    <w:unhideWhenUsed/>
    <w:qFormat/>
    <w:uiPriority w:val="0"/>
    <w:pPr>
      <w:ind w:firstLine="420" w:firstLineChars="100"/>
    </w:pPr>
  </w:style>
  <w:style w:type="character" w:styleId="13">
    <w:name w:val="Strong"/>
    <w:basedOn w:val="12"/>
    <w:qFormat/>
    <w:uiPriority w:val="99"/>
    <w:rPr>
      <w:rFonts w:cs="Times New Roman"/>
      <w:b/>
    </w:rPr>
  </w:style>
  <w:style w:type="paragraph" w:customStyle="1" w:styleId="14">
    <w:name w:val="样式 标题 3 + (中文) 黑体 小四 非加粗 段前: 7.8 磅 段后: 0 磅 行距: 固定值 20 磅"/>
    <w:basedOn w:val="3"/>
    <w:qFormat/>
    <w:uiPriority w:val="0"/>
    <w:pPr>
      <w:tabs>
        <w:tab w:val="left" w:pos="432"/>
        <w:tab w:val="left" w:pos="1002"/>
      </w:tabs>
      <w:adjustRightInd/>
      <w:spacing w:before="0" w:after="0" w:line="400" w:lineRule="exact"/>
      <w:textAlignment w:val="auto"/>
    </w:pPr>
    <w:rPr>
      <w:rFonts w:eastAsia="黑体" w:cs="宋体"/>
      <w:b w:val="0"/>
      <w:kern w:val="2"/>
      <w:sz w:val="24"/>
      <w:szCs w:val="20"/>
      <w:lang w:bidi="ar-SA"/>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paragraph" w:customStyle="1" w:styleId="16">
    <w:name w:val="附录标识"/>
    <w:next w:val="1"/>
    <w:qFormat/>
    <w:uiPriority w:val="0"/>
    <w:pPr>
      <w:keepNext/>
      <w:widowControl/>
      <w:numPr>
        <w:ilvl w:val="0"/>
        <w:numId w:val="1"/>
      </w:numPr>
      <w:shd w:val="clear" w:color="auto" w:fill="FFFFFF"/>
      <w:tabs>
        <w:tab w:val="left" w:pos="6405"/>
      </w:tabs>
      <w:spacing w:before="640" w:after="280"/>
      <w:jc w:val="center"/>
      <w:outlineLvl w:val="0"/>
    </w:pPr>
    <w:rPr>
      <w:rFonts w:ascii="黑体" w:hAnsi="Times New Roman" w:eastAsia="黑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2172</Words>
  <Characters>2576</Characters>
  <Lines>0</Lines>
  <Paragraphs>0</Paragraphs>
  <TotalTime>0</TotalTime>
  <ScaleCrop>false</ScaleCrop>
  <LinksUpToDate>false</LinksUpToDate>
  <CharactersWithSpaces>2600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GHOST</cp:lastModifiedBy>
  <dcterms:modified xsi:type="dcterms:W3CDTF">2025-04-27T03:21:54Z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1DF11BE3B0614F7593793AC4C15C213C_12</vt:lpwstr>
  </property>
  <property fmtid="{D5CDD505-2E9C-101B-9397-08002B2CF9AE}" pid="4" name="KSOTemplateDocerSaveRecord">
    <vt:lpwstr>eyJoZGlkIjoiYTA4YWQxMjIyYjAyMTA5MzNiZjRhZjRjM2UxMjhhNGIiLCJ1c2VySWQiOiIyMzk4ODMxNDcifQ==</vt:lpwstr>
  </property>
</Properties>
</file>