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黑体"/>
          <w:color w:val="000000"/>
          <w:kern w:val="0"/>
          <w:sz w:val="32"/>
          <w:szCs w:val="32"/>
        </w:rPr>
      </w:pPr>
      <w:r>
        <w:rPr>
          <w:rFonts w:hint="eastAsia" w:ascii="黑体" w:hAnsi="黑体" w:eastAsia="黑体" w:cs="黑体"/>
          <w:color w:val="000000"/>
          <w:kern w:val="0"/>
          <w:sz w:val="32"/>
          <w:szCs w:val="32"/>
        </w:rPr>
        <w:t>附件1</w:t>
      </w:r>
    </w:p>
    <w:p>
      <w:pPr>
        <w:widowControl/>
        <w:spacing w:line="560" w:lineRule="exact"/>
        <w:rPr>
          <w:rFonts w:ascii="仿宋_GB2312" w:hAnsi="仿宋_GB2312" w:eastAsia="仿宋_GB2312" w:cs="仿宋_GB2312"/>
          <w:color w:val="000000"/>
          <w:kern w:val="0"/>
          <w:sz w:val="32"/>
          <w:szCs w:val="32"/>
        </w:rPr>
      </w:pPr>
    </w:p>
    <w:p>
      <w:pPr>
        <w:spacing w:line="56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36"/>
          <w:szCs w:val="36"/>
        </w:rPr>
        <w:t>泉州师范学院资产领域专项整治行动工作任务分解表</w:t>
      </w:r>
    </w:p>
    <w:tbl>
      <w:tblPr>
        <w:tblStyle w:val="4"/>
        <w:tblpPr w:leftFromText="180" w:rightFromText="180" w:vertAnchor="text" w:horzAnchor="page" w:tblpX="1517" w:tblpY="554"/>
        <w:tblOverlap w:val="never"/>
        <w:tblW w:w="9279" w:type="dxa"/>
        <w:tblInd w:w="0" w:type="dxa"/>
        <w:tblLayout w:type="autofit"/>
        <w:tblCellMar>
          <w:top w:w="0" w:type="dxa"/>
          <w:left w:w="108" w:type="dxa"/>
          <w:bottom w:w="0" w:type="dxa"/>
          <w:right w:w="108" w:type="dxa"/>
        </w:tblCellMar>
      </w:tblPr>
      <w:tblGrid>
        <w:gridCol w:w="1455"/>
        <w:gridCol w:w="4908"/>
        <w:gridCol w:w="1604"/>
        <w:gridCol w:w="1312"/>
      </w:tblGrid>
      <w:tr>
        <w:tblPrEx>
          <w:tblCellMar>
            <w:top w:w="0" w:type="dxa"/>
            <w:left w:w="108" w:type="dxa"/>
            <w:bottom w:w="0" w:type="dxa"/>
            <w:right w:w="108" w:type="dxa"/>
          </w:tblCellMar>
        </w:tblPrEx>
        <w:trPr>
          <w:trHeight w:val="5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问题类型</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具体问题</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4"/>
                <w:szCs w:val="24"/>
              </w:rPr>
            </w:pPr>
            <w:r>
              <w:rPr>
                <w:rFonts w:hint="eastAsia" w:ascii="黑体" w:hAnsi="宋体" w:eastAsia="黑体" w:cs="黑体"/>
                <w:color w:val="000000"/>
                <w:kern w:val="0"/>
                <w:sz w:val="24"/>
                <w:szCs w:val="24"/>
              </w:rPr>
              <w:t>责任部门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黑体" w:hAnsi="宋体" w:eastAsia="黑体" w:cs="黑体"/>
                <w:color w:val="000000"/>
                <w:kern w:val="0"/>
                <w:sz w:val="24"/>
                <w:szCs w:val="24"/>
              </w:rPr>
            </w:pPr>
            <w:r>
              <w:rPr>
                <w:rFonts w:hint="eastAsia" w:ascii="黑体" w:hAnsi="宋体" w:eastAsia="黑体" w:cs="黑体"/>
                <w:color w:val="000000"/>
                <w:kern w:val="0"/>
                <w:sz w:val="24"/>
                <w:szCs w:val="24"/>
              </w:rPr>
              <w:t>配合部门</w:t>
            </w:r>
          </w:p>
        </w:tc>
      </w:tr>
      <w:tr>
        <w:tblPrEx>
          <w:tblCellMar>
            <w:top w:w="0" w:type="dxa"/>
            <w:left w:w="108" w:type="dxa"/>
            <w:bottom w:w="0" w:type="dxa"/>
            <w:right w:w="108" w:type="dxa"/>
          </w:tblCellMar>
        </w:tblPrEx>
        <w:trPr>
          <w:trHeight w:val="438"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一、闲置或对外出租与租入并存</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（一）资产闲置仍租入同类资产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422"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（二）资产出租仍租入同类资产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624" w:hRule="atLeast"/>
        </w:trPr>
        <w:tc>
          <w:tcPr>
            <w:tcW w:w="1455"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二、违规购置、处置资产</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（一）未按规定编报新增资产配置预算、履行新增资产配置程序或超出批复内容配置资产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经费主管部门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624" w:hRule="atLeast"/>
        </w:trPr>
        <w:tc>
          <w:tcPr>
            <w:tcW w:w="145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（二）申报新增资产配置提供虚假资产存量信息、使用情况等材料</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经费主管部门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526" w:hRule="atLeast"/>
        </w:trPr>
        <w:tc>
          <w:tcPr>
            <w:tcW w:w="145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（三）未经批准超标准配置资产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经费主管部门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526" w:hRule="atLeast"/>
        </w:trPr>
        <w:tc>
          <w:tcPr>
            <w:tcW w:w="145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（四）资产闲置仍新购同类资产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经费主管部门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514" w:hRule="atLeast"/>
        </w:trPr>
        <w:tc>
          <w:tcPr>
            <w:tcW w:w="145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（五）超过规定权限处置国有资产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490" w:hRule="atLeast"/>
        </w:trPr>
        <w:tc>
          <w:tcPr>
            <w:tcW w:w="145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（六）采用弄虚作假等方式低价处置国有资产</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504" w:hRule="atLeast"/>
        </w:trPr>
        <w:tc>
          <w:tcPr>
            <w:tcW w:w="14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（七）未经批准非公开处置资产，暗箱操作等</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各二级单位</w:t>
            </w:r>
          </w:p>
        </w:tc>
      </w:tr>
      <w:tr>
        <w:tblPrEx>
          <w:tblCellMar>
            <w:top w:w="0" w:type="dxa"/>
            <w:left w:w="108" w:type="dxa"/>
            <w:bottom w:w="0" w:type="dxa"/>
            <w:right w:w="108" w:type="dxa"/>
          </w:tblCellMar>
        </w:tblPrEx>
        <w:trPr>
          <w:trHeight w:val="458" w:hRule="atLeast"/>
        </w:trPr>
        <w:tc>
          <w:tcPr>
            <w:tcW w:w="1455" w:type="dxa"/>
            <w:vMerge w:val="restart"/>
            <w:tcBorders>
              <w:top w:val="single" w:color="000000" w:sz="4" w:space="0"/>
              <w:left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三、未履行审批程序出租资产、对外投资及处置资产</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（一）出租行为未按规定履行审批程序</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资产经营公司</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r>
      <w:tr>
        <w:tblPrEx>
          <w:tblCellMar>
            <w:top w:w="0" w:type="dxa"/>
            <w:left w:w="108" w:type="dxa"/>
            <w:bottom w:w="0" w:type="dxa"/>
            <w:right w:w="108" w:type="dxa"/>
          </w:tblCellMar>
        </w:tblPrEx>
        <w:trPr>
          <w:trHeight w:val="506"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（二）对外投资未按规定履行审批程序</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资产处</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财务处</w:t>
            </w:r>
          </w:p>
        </w:tc>
      </w:tr>
      <w:tr>
        <w:tblPrEx>
          <w:tblCellMar>
            <w:top w:w="0" w:type="dxa"/>
            <w:left w:w="108" w:type="dxa"/>
            <w:bottom w:w="0" w:type="dxa"/>
            <w:right w:w="108" w:type="dxa"/>
          </w:tblCellMar>
        </w:tblPrEx>
        <w:trPr>
          <w:trHeight w:val="482"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（三）资产处置未按规定履行审批程序</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财务处</w:t>
            </w:r>
          </w:p>
        </w:tc>
      </w:tr>
      <w:tr>
        <w:tblPrEx>
          <w:tblCellMar>
            <w:top w:w="0" w:type="dxa"/>
            <w:left w:w="108" w:type="dxa"/>
            <w:bottom w:w="0" w:type="dxa"/>
            <w:right w:w="108" w:type="dxa"/>
          </w:tblCellMar>
        </w:tblPrEx>
        <w:trPr>
          <w:trHeight w:val="506"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（四）资产出租未按规定公开招租</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资产经营公司</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r>
      <w:tr>
        <w:tblPrEx>
          <w:tblCellMar>
            <w:top w:w="0" w:type="dxa"/>
            <w:left w:w="108" w:type="dxa"/>
            <w:bottom w:w="0" w:type="dxa"/>
            <w:right w:w="108" w:type="dxa"/>
          </w:tblCellMar>
        </w:tblPrEx>
        <w:trPr>
          <w:trHeight w:val="482"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（五）出租价格背离市场公允价格</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资产经营公司</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458"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（六）超过租期后未经批准继续出租</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资产经营公司</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470"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（七）未经批准利用财政资金对外投资</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资产处</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财务处</w:t>
            </w:r>
          </w:p>
        </w:tc>
      </w:tr>
      <w:tr>
        <w:tblPrEx>
          <w:tblCellMar>
            <w:top w:w="0" w:type="dxa"/>
            <w:left w:w="108" w:type="dxa"/>
            <w:bottom w:w="0" w:type="dxa"/>
            <w:right w:w="108" w:type="dxa"/>
          </w:tblCellMar>
        </w:tblPrEx>
        <w:trPr>
          <w:trHeight w:val="768"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（八）违规投资期货、股票，购买企业债券、各类投资基金和其他形式的金融衍生品等</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财务处</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资产处</w:t>
            </w:r>
          </w:p>
        </w:tc>
      </w:tr>
      <w:tr>
        <w:tblPrEx>
          <w:tblCellMar>
            <w:top w:w="0" w:type="dxa"/>
            <w:left w:w="108" w:type="dxa"/>
            <w:bottom w:w="0" w:type="dxa"/>
            <w:right w:w="108" w:type="dxa"/>
          </w:tblCellMar>
        </w:tblPrEx>
        <w:trPr>
          <w:trHeight w:val="796" w:hRule="atLeast"/>
        </w:trPr>
        <w:tc>
          <w:tcPr>
            <w:tcW w:w="1455" w:type="dxa"/>
            <w:vMerge w:val="continue"/>
            <w:tcBorders>
              <w:left w:val="single" w:color="000000" w:sz="4" w:space="0"/>
              <w:right w:val="single" w:color="000000" w:sz="4" w:space="0"/>
            </w:tcBorders>
            <w:shd w:val="clear" w:color="auto" w:fill="auto"/>
            <w:vAlign w:val="center"/>
          </w:tcPr>
          <w:p>
            <w:pPr>
              <w:jc w:val="left"/>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（九）在国外贷款债务尚未清偿前利用该贷款形成的资产对外投资</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val="en-US" w:eastAsia="zh-CN"/>
              </w:rPr>
              <w:t>资产处</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财务处</w:t>
            </w:r>
          </w:p>
        </w:tc>
      </w:tr>
      <w:tr>
        <w:tblPrEx>
          <w:tblCellMar>
            <w:top w:w="0" w:type="dxa"/>
            <w:left w:w="108" w:type="dxa"/>
            <w:bottom w:w="0" w:type="dxa"/>
            <w:right w:w="108" w:type="dxa"/>
          </w:tblCellMar>
        </w:tblPrEx>
        <w:trPr>
          <w:trHeight w:val="754" w:hRule="atLeast"/>
        </w:trPr>
        <w:tc>
          <w:tcPr>
            <w:tcW w:w="1455" w:type="dxa"/>
            <w:vMerge w:val="continue"/>
            <w:tcBorders>
              <w:left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（十）利用非货币性资产对外投资，未按规定履行资产评估程序</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744" w:hRule="atLeast"/>
        </w:trPr>
        <w:tc>
          <w:tcPr>
            <w:tcW w:w="14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（十一）资产处置未按规定进行资产评估</w:t>
            </w:r>
          </w:p>
        </w:tc>
        <w:tc>
          <w:tcPr>
            <w:tcW w:w="1604"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财务处</w:t>
            </w:r>
          </w:p>
        </w:tc>
      </w:tr>
      <w:tr>
        <w:tblPrEx>
          <w:tblCellMar>
            <w:top w:w="0" w:type="dxa"/>
            <w:left w:w="108" w:type="dxa"/>
            <w:bottom w:w="0" w:type="dxa"/>
            <w:right w:w="108" w:type="dxa"/>
          </w:tblCellMar>
        </w:tblPrEx>
        <w:trPr>
          <w:trHeight w:val="60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四、资产处置收入未按规定上缴或上缴不及时</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（一）资产收入未按规定及时上缴</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财务处</w:t>
            </w:r>
          </w:p>
        </w:tc>
      </w:tr>
      <w:tr>
        <w:tblPrEx>
          <w:tblCellMar>
            <w:top w:w="0" w:type="dxa"/>
            <w:left w:w="108" w:type="dxa"/>
            <w:bottom w:w="0" w:type="dxa"/>
            <w:right w:w="108" w:type="dxa"/>
          </w:tblCellMar>
        </w:tblPrEx>
        <w:trPr>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（二）多收、少收、不收资产收入</w:t>
            </w:r>
          </w:p>
        </w:tc>
        <w:tc>
          <w:tcPr>
            <w:tcW w:w="160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（三）截留、占用、挪用、坐支资产收入</w:t>
            </w:r>
          </w:p>
        </w:tc>
        <w:tc>
          <w:tcPr>
            <w:tcW w:w="160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（四）侵占、私分、隐匿资产收入</w:t>
            </w: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600"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五、资产账实不符、未按规定登记入账</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（一）存量资产账实不符</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财务处</w:t>
            </w:r>
          </w:p>
          <w:p>
            <w:pPr>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后勤处</w:t>
            </w:r>
          </w:p>
          <w:p>
            <w:pPr>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基建处</w:t>
            </w:r>
          </w:p>
          <w:p>
            <w:pPr>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实设处</w:t>
            </w:r>
          </w:p>
          <w:p>
            <w:pPr>
              <w:jc w:val="center"/>
              <w:textAlignment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宿管中心</w:t>
            </w:r>
            <w:bookmarkStart w:id="0" w:name="_GoBack"/>
            <w:bookmarkEnd w:id="0"/>
          </w:p>
        </w:tc>
      </w:tr>
      <w:tr>
        <w:tblPrEx>
          <w:tblCellMar>
            <w:top w:w="0" w:type="dxa"/>
            <w:left w:w="108" w:type="dxa"/>
            <w:bottom w:w="0" w:type="dxa"/>
            <w:right w:w="108" w:type="dxa"/>
          </w:tblCellMar>
        </w:tblPrEx>
        <w:trPr>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（二）新增资产未按规定登记入账</w:t>
            </w:r>
          </w:p>
        </w:tc>
        <w:tc>
          <w:tcPr>
            <w:tcW w:w="1604" w:type="dxa"/>
            <w:vMerge w:val="continue"/>
            <w:tcBorders>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（三）公共基础设施等行政事业性国有资产未按规定登记入账或登记在固定资产等其他科目</w:t>
            </w: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792" w:hRule="atLeast"/>
        </w:trPr>
        <w:tc>
          <w:tcPr>
            <w:tcW w:w="14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六、已使用在建工程未及时转为固定资产或公共基础设施等</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（一）已使用在建工程未及时转为固定资产</w:t>
            </w:r>
          </w:p>
        </w:tc>
        <w:tc>
          <w:tcPr>
            <w:tcW w:w="1604" w:type="dxa"/>
            <w:vMerge w:val="restart"/>
            <w:tcBorders>
              <w:top w:val="single" w:color="000000" w:sz="4" w:space="0"/>
              <w:left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基建处</w:t>
            </w:r>
          </w:p>
        </w:tc>
        <w:tc>
          <w:tcPr>
            <w:tcW w:w="1312"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财务处</w:t>
            </w:r>
          </w:p>
          <w:p>
            <w:pPr>
              <w:jc w:val="center"/>
              <w:textAlignment w:val="center"/>
              <w:rPr>
                <w:rFonts w:ascii="仿宋" w:hAnsi="仿宋" w:eastAsia="仿宋" w:cs="仿宋"/>
                <w:color w:val="000000"/>
                <w:kern w:val="0"/>
                <w:sz w:val="21"/>
                <w:szCs w:val="21"/>
              </w:rPr>
            </w:pPr>
            <w:r>
              <w:rPr>
                <w:rFonts w:hint="eastAsia" w:ascii="仿宋_GB2312" w:hAnsi="仿宋_GB2312" w:eastAsia="仿宋_GB2312" w:cs="仿宋_GB2312"/>
                <w:sz w:val="21"/>
                <w:szCs w:val="21"/>
              </w:rPr>
              <w:t>资产处</w:t>
            </w:r>
          </w:p>
        </w:tc>
      </w:tr>
      <w:tr>
        <w:tblPrEx>
          <w:tblCellMar>
            <w:top w:w="0" w:type="dxa"/>
            <w:left w:w="108" w:type="dxa"/>
            <w:bottom w:w="0" w:type="dxa"/>
            <w:right w:w="108" w:type="dxa"/>
          </w:tblCellMar>
        </w:tblPrEx>
        <w:trPr>
          <w:trHeight w:val="600" w:hRule="atLeast"/>
        </w:trPr>
        <w:tc>
          <w:tcPr>
            <w:tcW w:w="14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sz w:val="21"/>
                <w:szCs w:val="21"/>
              </w:rPr>
            </w:pP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（二）已使用在建工程未及时转为公共基础设施等</w:t>
            </w:r>
          </w:p>
        </w:tc>
        <w:tc>
          <w:tcPr>
            <w:tcW w:w="1604" w:type="dxa"/>
            <w:vMerge w:val="continue"/>
            <w:tcBorders>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c>
          <w:tcPr>
            <w:tcW w:w="1312"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p>
        </w:tc>
      </w:tr>
      <w:tr>
        <w:tblPrEx>
          <w:tblCellMar>
            <w:top w:w="0" w:type="dxa"/>
            <w:left w:w="108" w:type="dxa"/>
            <w:bottom w:w="0" w:type="dxa"/>
            <w:right w:w="108" w:type="dxa"/>
          </w:tblCellMar>
        </w:tblPrEx>
        <w:trPr>
          <w:trHeight w:val="6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七、其他问题</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仿宋" w:hAnsi="仿宋" w:eastAsia="仿宋" w:cs="仿宋"/>
                <w:color w:val="000000"/>
                <w:sz w:val="21"/>
                <w:szCs w:val="21"/>
              </w:rPr>
            </w:pPr>
            <w:r>
              <w:rPr>
                <w:rFonts w:hint="eastAsia" w:ascii="仿宋" w:hAnsi="仿宋" w:eastAsia="仿宋" w:cs="仿宋"/>
                <w:color w:val="000000"/>
                <w:kern w:val="0"/>
                <w:sz w:val="21"/>
                <w:szCs w:val="21"/>
              </w:rPr>
              <w:t>应报未报行政事业性国有资产年报、月报</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资产处</w:t>
            </w:r>
          </w:p>
        </w:tc>
        <w:tc>
          <w:tcPr>
            <w:tcW w:w="131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仿宋" w:hAnsi="仿宋" w:eastAsia="仿宋" w:cs="仿宋"/>
                <w:color w:val="000000"/>
                <w:kern w:val="0"/>
                <w:sz w:val="21"/>
                <w:szCs w:val="21"/>
              </w:rPr>
            </w:pPr>
            <w:r>
              <w:rPr>
                <w:rFonts w:hint="eastAsia" w:ascii="仿宋" w:hAnsi="仿宋" w:eastAsia="仿宋" w:cs="仿宋"/>
                <w:color w:val="000000"/>
                <w:kern w:val="0"/>
                <w:sz w:val="21"/>
                <w:szCs w:val="21"/>
              </w:rPr>
              <w:t>财务处</w:t>
            </w:r>
          </w:p>
        </w:tc>
      </w:tr>
    </w:tbl>
    <w:p>
      <w:pPr>
        <w:spacing w:line="560" w:lineRule="exact"/>
        <w:rPr>
          <w:rFonts w:ascii="仿宋_GB2312" w:hAnsi="仿宋_GB2312" w:eastAsia="仿宋_GB2312" w:cs="仿宋_GB2312"/>
          <w:color w:val="000000"/>
          <w:sz w:val="32"/>
          <w:szCs w:val="32"/>
        </w:rPr>
      </w:pPr>
    </w:p>
    <w:p/>
    <w:sectPr>
      <w:pgSz w:w="11906" w:h="16838"/>
      <w:pgMar w:top="1417" w:right="124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D42243-0BF4-4DF3-84A7-4D2298293C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19718F-45A1-4C1B-92B0-009C8EF5B6AE}"/>
  </w:font>
  <w:font w:name="仿宋_GB2312">
    <w:panose1 w:val="02010609030101010101"/>
    <w:charset w:val="86"/>
    <w:family w:val="modern"/>
    <w:pitch w:val="default"/>
    <w:sig w:usb0="00000001" w:usb1="080E0000" w:usb2="00000000" w:usb3="00000000" w:csb0="00040000" w:csb1="00000000"/>
    <w:embedRegular r:id="rId3" w:fontKey="{70E889F4-754D-4329-8079-7DD7D3B48091}"/>
  </w:font>
  <w:font w:name="方正小标宋简体">
    <w:panose1 w:val="02000000000000000000"/>
    <w:charset w:val="86"/>
    <w:family w:val="auto"/>
    <w:pitch w:val="default"/>
    <w:sig w:usb0="00000001" w:usb1="080E0000" w:usb2="00000000" w:usb3="00000000" w:csb0="00040000" w:csb1="00000000"/>
    <w:embedRegular r:id="rId4" w:fontKey="{E8168D58-81AE-4257-A9FC-934D024FCC24}"/>
  </w:font>
  <w:font w:name="仿宋">
    <w:panose1 w:val="02010609060101010101"/>
    <w:charset w:val="86"/>
    <w:family w:val="auto"/>
    <w:pitch w:val="default"/>
    <w:sig w:usb0="800002BF" w:usb1="38CF7CFA" w:usb2="00000016" w:usb3="00000000" w:csb0="00040001" w:csb1="00000000"/>
    <w:embedRegular r:id="rId5" w:fontKey="{36A428E5-9999-48DA-A146-5A9F9027E55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E5470"/>
    <w:rsid w:val="002C46AF"/>
    <w:rsid w:val="006139F3"/>
    <w:rsid w:val="00B134C3"/>
    <w:rsid w:val="01F8525A"/>
    <w:rsid w:val="31277351"/>
    <w:rsid w:val="465A1C5C"/>
    <w:rsid w:val="4F1E5470"/>
    <w:rsid w:val="676520B9"/>
    <w:rsid w:val="7F476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2</Pages>
  <Words>942</Words>
  <Characters>942</Characters>
  <Lines>7</Lines>
  <Paragraphs>2</Paragraphs>
  <TotalTime>9</TotalTime>
  <ScaleCrop>false</ScaleCrop>
  <LinksUpToDate>false</LinksUpToDate>
  <CharactersWithSpaces>942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2022-04-15T07:28:00Z</dcterms:created>
  <dc:creator>段训威</dc:creator>
  <cp:lastModifiedBy>威哥</cp:lastModifiedBy>
  <dcterms:modified xsi:type="dcterms:W3CDTF">2022-04-22T09:37:11Z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4434D87C2AFA4846A1C7BBE81B606F4A</vt:lpwstr>
  </property>
</Properties>
</file>