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</w:pPr>
      <w:bookmarkStart w:id="0" w:name="_Hlk7020102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/>
        </w:rPr>
        <w:t>2021年泉州市市级优秀传统文化传承发展专项资金项目申报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  <w:t>推荐名单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eastAsia="zh-CN"/>
        </w:rPr>
        <w:t>公示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20" w:lineRule="exact"/>
        <w:ind w:left="0" w:right="0" w:firstLine="629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根据《中共泉州市委宣传部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泉州市财政局关于做好2021年泉州市市级优秀传统文化传承发展专项资金项目申报工作的通知》（泉委宣联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5号）文件精神，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个人申请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相关职能部门评审、校领导同意，</w:t>
      </w:r>
      <w:r>
        <w:rPr>
          <w:rFonts w:hint="eastAsia" w:ascii="仿宋_GB2312" w:hAnsi="仿宋" w:eastAsia="仿宋_GB2312" w:cs="仿宋"/>
          <w:sz w:val="32"/>
          <w:szCs w:val="32"/>
        </w:rPr>
        <w:t>拟推荐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以下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6个项目参评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现予公示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公示时间：2021年4月30日起，公示期为五个工作日。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公示期间，欢迎广大教职员工向党委宣传部、校纪委（监察专员办）纪检监察室反映情况，发表看法和意见。</w:t>
      </w:r>
    </w:p>
    <w:tbl>
      <w:tblPr>
        <w:tblStyle w:val="6"/>
        <w:tblpPr w:leftFromText="180" w:rightFromText="180" w:vertAnchor="text" w:horzAnchor="page" w:tblpX="1882" w:tblpY="344"/>
        <w:tblOverlap w:val="never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585"/>
        <w:gridCol w:w="1485"/>
        <w:gridCol w:w="1125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编辑出版项目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《郑成功文献史料汇编》及文献数据库建设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文学与传播学院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刘文波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编辑出版项目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《敕桃弦管——走进南音》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研究生处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陈敏红</w:t>
            </w:r>
          </w:p>
        </w:tc>
        <w:tc>
          <w:tcPr>
            <w:tcW w:w="55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文艺创作项目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画说海丝——泉州绘本艺术创作活动暨绘本作品展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美术与设计学院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蔡永辉</w:t>
            </w:r>
          </w:p>
        </w:tc>
        <w:tc>
          <w:tcPr>
            <w:tcW w:w="55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创新性项目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创建优秀传统文化传承发展创新教育基地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组织部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锋</w:t>
            </w:r>
          </w:p>
        </w:tc>
        <w:tc>
          <w:tcPr>
            <w:tcW w:w="55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文艺创作项目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《文物里的红色记忆》——泉州革命文物系列微纪录片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文学与传播学院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张文心</w:t>
            </w:r>
          </w:p>
        </w:tc>
        <w:tc>
          <w:tcPr>
            <w:tcW w:w="55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活动项目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面向青少年的海丝泉州古港文化虚拟体验与推广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数学与计算机科学学院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吴伊萍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公示电话：党委宣传部  22919517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校纪委(监察专员办)纪检监察室  22919635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    校党委宣传部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bookmarkEnd w:id="0"/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632AF"/>
    <w:rsid w:val="0BA60456"/>
    <w:rsid w:val="17AA3F53"/>
    <w:rsid w:val="299768AA"/>
    <w:rsid w:val="33E50BC1"/>
    <w:rsid w:val="478F4F6A"/>
    <w:rsid w:val="48F632AF"/>
    <w:rsid w:val="490A1FDA"/>
    <w:rsid w:val="515646D9"/>
    <w:rsid w:val="74EA5833"/>
    <w:rsid w:val="76522579"/>
    <w:rsid w:val="76612139"/>
    <w:rsid w:val="7BD54181"/>
    <w:rsid w:val="7C7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  <w:style w:type="character" w:customStyle="1" w:styleId="9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2021-04-29T10:51:00Z</dcterms:created>
  <dc:creator>塍焯嘛嘛</dc:creator>
  <cp:lastModifiedBy>塍焯嘛嘛</cp:lastModifiedBy>
  <cp:lastPrinted>2021-04-30T10:38:18Z</cp:lastPrinted>
  <dcterms:modified xsi:type="dcterms:W3CDTF">2021-04-30T10:50:25Z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