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A7991"/>
    <w:p w14:paraId="648BA88F"/>
    <w:p w14:paraId="5ACC5AC9"/>
    <w:p w14:paraId="592BBB3E"/>
    <w:p w14:paraId="07AAF7EA"/>
    <w:p w14:paraId="2F0F56A5"/>
    <w:p w14:paraId="7F91D97E">
      <w:r>
        <mc:AlternateContent>
          <mc:Choice Requires="wps">
            <w:drawing>
              <wp:anchor distT="0" distB="0" distL="114300" distR="114300" simplePos="0" relativeHeight="251660288" behindDoc="0" locked="0" layoutInCell="1" allowOverlap="1">
                <wp:simplePos x="0" y="0"/>
                <wp:positionH relativeFrom="page">
                  <wp:posOffset>875030</wp:posOffset>
                </wp:positionH>
                <wp:positionV relativeFrom="page">
                  <wp:posOffset>2592070</wp:posOffset>
                </wp:positionV>
                <wp:extent cx="6058535" cy="932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8535" cy="932180"/>
                        </a:xfrm>
                        <a:prstGeom prst="rect">
                          <a:avLst/>
                        </a:prstGeom>
                        <a:noFill/>
                        <a:ln>
                          <a:noFill/>
                        </a:ln>
                        <a:effectLst/>
                      </wps:spPr>
                      <wps:txbx>
                        <w:txbxContent>
                          <w:p w14:paraId="5F86B38F">
                            <w:pPr>
                              <w:pStyle w:val="5"/>
                              <w:spacing w:before="0" w:beforeAutospacing="0" w:after="0" w:afterAutospacing="0"/>
                              <w:jc w:val="center"/>
                              <w:rPr>
                                <w:rFonts w:ascii="方正小标宋简体" w:eastAsia="方正小标宋简体"/>
                                <w:spacing w:val="120"/>
                                <w:sz w:val="84"/>
                                <w:szCs w:val="84"/>
                              </w:rPr>
                            </w:pPr>
                            <w:r>
                              <w:rPr>
                                <w:rFonts w:hint="eastAsia" w:ascii="方正小标宋简体" w:eastAsia="方正小标宋简体"/>
                                <w:color w:val="FF0000"/>
                                <w:spacing w:val="120"/>
                                <w:sz w:val="84"/>
                                <w:szCs w:val="84"/>
                              </w:rPr>
                              <w:t>泉州师范学院文件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9pt;margin-top:204.1pt;height:73.4pt;width:477.05pt;mso-position-horizontal-relative:page;mso-position-vertical-relative:page;z-index:251660288;mso-width-relative:page;mso-height-relative:page;" filled="f" stroked="f" coordsize="21600,21600" o:gfxdata="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RjSj/2AAAAAwBAAAPAAAAAAAAAAEAIAAAACIAAABkcnMvZG93&#10;bnJldi54bWxQSwECFAAUAAAACACHTuJAY/8tqDkCAABrBAAADgAAAAAAAAABACAAAAAnAQAAZHJz&#10;L2Uyb0RvYy54bWxQSwUGAAAAAAYABgBZAQAA0gUAAAAA&#10;">
                <v:fill on="f" focussize="0,0"/>
                <v:stroke on="f"/>
                <v:imagedata o:title=""/>
                <o:lock v:ext="edit" aspectratio="f"/>
                <v:textbox>
                  <w:txbxContent>
                    <w:p w14:paraId="5F86B38F">
                      <w:pPr>
                        <w:pStyle w:val="5"/>
                        <w:spacing w:before="0" w:beforeAutospacing="0" w:after="0" w:afterAutospacing="0"/>
                        <w:jc w:val="center"/>
                        <w:rPr>
                          <w:rFonts w:ascii="方正小标宋简体" w:eastAsia="方正小标宋简体"/>
                          <w:spacing w:val="120"/>
                          <w:sz w:val="84"/>
                          <w:szCs w:val="84"/>
                        </w:rPr>
                      </w:pPr>
                      <w:r>
                        <w:rPr>
                          <w:rFonts w:hint="eastAsia" w:ascii="方正小标宋简体" w:eastAsia="方正小标宋简体"/>
                          <w:color w:val="FF0000"/>
                          <w:spacing w:val="120"/>
                          <w:sz w:val="84"/>
                          <w:szCs w:val="84"/>
                        </w:rPr>
                        <w:t>泉州师范学院文件</w:t>
                      </w:r>
                    </w:p>
                  </w:txbxContent>
                </v:textbox>
              </v:shape>
            </w:pict>
          </mc:Fallback>
        </mc:AlternateContent>
      </w:r>
    </w:p>
    <w:p w14:paraId="7F294629">
      <w:pPr>
        <w:overflowPunct w:val="0"/>
        <w:autoSpaceDE w:val="0"/>
        <w:autoSpaceDN w:val="0"/>
        <w:spacing w:line="360" w:lineRule="auto"/>
        <w:ind w:left="320" w:leftChars="100" w:right="320" w:rightChars="100"/>
        <w:jc w:val="center"/>
        <w:rPr>
          <w:rFonts w:ascii="仿宋_GB2312" w:hAnsi="仿宋_GB2312" w:cs="仿宋_GB2312"/>
        </w:rPr>
      </w:pPr>
      <w:bookmarkStart w:id="0" w:name="文号"/>
      <w:r>
        <w:rPr>
          <w:rFonts w:hint="eastAsia" w:ascii="仿宋_GB2312" w:hAnsi="仿宋_GB2312" w:cs="仿宋_GB2312"/>
        </w:rPr>
        <w:t>泉师实设〔</w:t>
      </w:r>
      <w:r>
        <w:rPr>
          <w:rFonts w:ascii="仿宋_GB2312" w:hAnsi="仿宋_GB2312" w:cs="仿宋_GB2312"/>
        </w:rPr>
        <w:t>20</w:t>
      </w:r>
      <w:r>
        <w:rPr>
          <w:rFonts w:hint="eastAsia" w:ascii="仿宋_GB2312" w:hAnsi="仿宋_GB2312" w:cs="仿宋_GB2312"/>
          <w:lang w:val="en-US" w:eastAsia="zh-CN"/>
        </w:rPr>
        <w:t>24</w:t>
      </w:r>
      <w:r>
        <w:rPr>
          <w:rFonts w:ascii="仿宋_GB2312" w:hAnsi="仿宋_GB2312" w:cs="仿宋_GB2312"/>
        </w:rPr>
        <w:t>〕</w:t>
      </w:r>
      <w:r>
        <w:rPr>
          <w:rFonts w:hint="eastAsia" w:ascii="仿宋_GB2312" w:hAnsi="仿宋_GB2312" w:cs="仿宋_GB2312"/>
          <w:lang w:val="en-US" w:eastAsia="zh-CN"/>
        </w:rPr>
        <w:t>3</w:t>
      </w:r>
      <w:r>
        <w:rPr>
          <w:rFonts w:ascii="仿宋_GB2312" w:hAnsi="仿宋_GB2312" w:cs="仿宋_GB2312"/>
        </w:rPr>
        <w:t>号</w:t>
      </w:r>
      <w:bookmarkEnd w:id="0"/>
    </w:p>
    <w:p w14:paraId="28BCEFC2">
      <w:pPr>
        <w:overflowPunct w:val="0"/>
        <w:autoSpaceDE w:val="0"/>
        <w:autoSpaceDN w:val="0"/>
        <w:spacing w:line="560" w:lineRule="exact"/>
        <w:ind w:left="320" w:leftChars="100" w:right="320" w:rightChars="100"/>
        <w:jc w:val="center"/>
        <w:rPr>
          <w:rFonts w:ascii="楷体_GB2312" w:hAnsi="楷体_GB2312" w:eastAsia="楷体_GB2312"/>
          <w:sz w:val="34"/>
        </w:rPr>
      </w:pPr>
      <w:r>
        <mc:AlternateContent>
          <mc:Choice Requires="wps">
            <w:drawing>
              <wp:anchor distT="0" distB="0" distL="114300" distR="114300" simplePos="0" relativeHeight="251659264" behindDoc="0" locked="0" layoutInCell="1" allowOverlap="1">
                <wp:simplePos x="0" y="0"/>
                <wp:positionH relativeFrom="page">
                  <wp:posOffset>1009650</wp:posOffset>
                </wp:positionH>
                <wp:positionV relativeFrom="page">
                  <wp:posOffset>4610735</wp:posOffset>
                </wp:positionV>
                <wp:extent cx="5800725" cy="0"/>
                <wp:effectExtent l="0" t="12700" r="9525" b="15875"/>
                <wp:wrapNone/>
                <wp:docPr id="40" name="Line 32"/>
                <wp:cNvGraphicFramePr/>
                <a:graphic xmlns:a="http://schemas.openxmlformats.org/drawingml/2006/main">
                  <a:graphicData uri="http://schemas.microsoft.com/office/word/2010/wordprocessingShape">
                    <wps:wsp>
                      <wps:cNvCnPr/>
                      <wps:spPr>
                        <a:xfrm>
                          <a:off x="0" y="0"/>
                          <a:ext cx="580072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Line 32" o:spid="_x0000_s1026" o:spt="20" style="position:absolute;left:0pt;margin-left:79.5pt;margin-top:363.05pt;height:0pt;width:456.75pt;mso-position-horizontal-relative:page;mso-position-vertical-relative:page;z-index:251659264;mso-width-relative:page;mso-height-relative:page;" filled="f" stroked="t" coordsize="21600,21600" o:gfxdata="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FCmTO2AAAAAwBAAAPAAAA&#10;AAAAAAEAIAAAACIAAABkcnMvZG93bnJldi54bWxQSwECFAAUAAAACACHTuJAk9bVl9wBAADeAwAA&#10;DgAAAAAAAAABACAAAAAnAQAAZHJzL2Uyb0RvYy54bWxQSwUGAAAAAAYABgBZAQAAdQUAAAAA&#10;">
                <v:fill on="f" focussize="0,0"/>
                <v:stroke weight="2pt" color="#FF0000" joinstyle="round"/>
                <v:imagedata o:title=""/>
                <o:lock v:ext="edit" aspectratio="f"/>
              </v:line>
            </w:pict>
          </mc:Fallback>
        </mc:AlternateContent>
      </w:r>
    </w:p>
    <w:p w14:paraId="7C346C55">
      <w:pPr>
        <w:overflowPunct w:val="0"/>
        <w:autoSpaceDE w:val="0"/>
        <w:autoSpaceDN w:val="0"/>
        <w:spacing w:line="560" w:lineRule="exact"/>
        <w:ind w:left="320" w:leftChars="100" w:right="320" w:rightChars="100"/>
        <w:jc w:val="center"/>
        <w:rPr>
          <w:rFonts w:ascii="楷体_GB2312" w:hAnsi="楷体_GB2312" w:eastAsia="楷体_GB2312"/>
          <w:sz w:val="34"/>
        </w:rPr>
      </w:pPr>
    </w:p>
    <w:p w14:paraId="45B64D22">
      <w:pPr>
        <w:spacing w:line="560" w:lineRule="exact"/>
        <w:jc w:val="center"/>
        <w:rPr>
          <w:rFonts w:hint="eastAsia" w:ascii="方正小标宋简体" w:hAnsi="宋体" w:eastAsia="方正小标宋简体" w:cs="Times New Roman"/>
          <w:color w:val="000000"/>
          <w:spacing w:val="6"/>
          <w:kern w:val="0"/>
          <w:sz w:val="44"/>
          <w:lang w:eastAsia="zh-CN"/>
        </w:rPr>
      </w:pPr>
      <w:bookmarkStart w:id="1" w:name="标题"/>
      <w:r>
        <w:rPr>
          <w:rFonts w:hint="eastAsia" w:ascii="方正小标宋简体" w:hAnsi="宋体" w:eastAsia="方正小标宋简体"/>
          <w:color w:val="000000"/>
          <w:spacing w:val="6"/>
          <w:kern w:val="0"/>
          <w:sz w:val="44"/>
        </w:rPr>
        <w:t>泉州师范学院关于印</w:t>
      </w:r>
      <w:r>
        <w:rPr>
          <w:rFonts w:hint="eastAsia" w:ascii="方正小标宋简体" w:hAnsi="宋体" w:eastAsia="方正小标宋简体" w:cs="Times New Roman"/>
          <w:color w:val="000000"/>
          <w:spacing w:val="6"/>
          <w:kern w:val="0"/>
          <w:sz w:val="44"/>
        </w:rPr>
        <w:t>发《泉州师范学院</w:t>
      </w:r>
      <w:r>
        <w:rPr>
          <w:rFonts w:hint="eastAsia" w:ascii="方正小标宋简体" w:hAnsi="宋体" w:eastAsia="方正小标宋简体" w:cs="Times New Roman"/>
          <w:color w:val="000000"/>
          <w:spacing w:val="6"/>
          <w:kern w:val="0"/>
          <w:sz w:val="44"/>
          <w:lang w:val="en-US" w:eastAsia="zh-CN"/>
        </w:rPr>
        <w:t>实验</w:t>
      </w:r>
      <w:r>
        <w:rPr>
          <w:rFonts w:hint="eastAsia" w:ascii="方正小标宋简体" w:hAnsi="宋体" w:eastAsia="方正小标宋简体" w:cs="Times New Roman"/>
          <w:color w:val="000000"/>
          <w:spacing w:val="6"/>
          <w:kern w:val="0"/>
          <w:sz w:val="44"/>
        </w:rPr>
        <w:t>材料及低值易耗品管理实施细则</w:t>
      </w:r>
      <w:r>
        <w:rPr>
          <w:rFonts w:hint="eastAsia" w:ascii="方正小标宋简体" w:hAnsi="宋体" w:eastAsia="方正小标宋简体" w:cs="Times New Roman"/>
          <w:color w:val="000000"/>
          <w:spacing w:val="6"/>
          <w:kern w:val="0"/>
          <w:sz w:val="44"/>
          <w:lang w:eastAsia="zh-CN"/>
        </w:rPr>
        <w:t>（试行）</w:t>
      </w:r>
      <w:r>
        <w:rPr>
          <w:rFonts w:hint="eastAsia" w:ascii="方正小标宋简体" w:hAnsi="宋体" w:eastAsia="方正小标宋简体" w:cs="Times New Roman"/>
          <w:color w:val="000000"/>
          <w:spacing w:val="6"/>
          <w:kern w:val="0"/>
          <w:sz w:val="44"/>
        </w:rPr>
        <w:t>》</w:t>
      </w:r>
    </w:p>
    <w:p w14:paraId="1B145510">
      <w:pPr>
        <w:spacing w:line="560" w:lineRule="exact"/>
        <w:jc w:val="center"/>
        <w:rPr>
          <w:rFonts w:ascii="方正小标宋简体" w:hAnsi="宋体" w:eastAsia="方正小标宋简体"/>
          <w:color w:val="000000"/>
          <w:spacing w:val="6"/>
          <w:kern w:val="0"/>
          <w:sz w:val="44"/>
        </w:rPr>
      </w:pPr>
      <w:r>
        <w:rPr>
          <w:rFonts w:hint="eastAsia" w:ascii="方正小标宋简体" w:hAnsi="宋体" w:eastAsia="方正小标宋简体"/>
          <w:color w:val="000000"/>
          <w:spacing w:val="6"/>
          <w:kern w:val="0"/>
          <w:sz w:val="44"/>
        </w:rPr>
        <w:t>的通知</w:t>
      </w:r>
      <w:bookmarkEnd w:id="1"/>
    </w:p>
    <w:p w14:paraId="4FDC3967">
      <w:pPr>
        <w:spacing w:line="540" w:lineRule="exact"/>
        <w:rPr>
          <w:rFonts w:hint="eastAsia" w:ascii="仿宋_GB2312" w:hAnsi="仿宋_GB2312" w:cs="仿宋_GB2312"/>
          <w:kern w:val="0"/>
          <w:szCs w:val="32"/>
        </w:rPr>
      </w:pPr>
    </w:p>
    <w:p w14:paraId="6B6AEFF7">
      <w:pPr>
        <w:spacing w:line="440" w:lineRule="exact"/>
        <w:rPr>
          <w:rFonts w:ascii="仿宋_GB2312" w:hAnsi="仿宋_GB2312" w:cs="仿宋_GB2312"/>
          <w:kern w:val="0"/>
          <w:szCs w:val="32"/>
        </w:rPr>
      </w:pPr>
      <w:r>
        <w:rPr>
          <w:rFonts w:hint="eastAsia" w:ascii="仿宋_GB2312" w:hAnsi="仿宋_GB2312" w:cs="仿宋_GB2312"/>
          <w:kern w:val="0"/>
          <w:szCs w:val="32"/>
        </w:rPr>
        <w:t>各</w:t>
      </w:r>
      <w:r>
        <w:rPr>
          <w:rFonts w:hint="eastAsia" w:ascii="仿宋_GB2312" w:hAnsi="仿宋_GB2312" w:cs="仿宋_GB2312"/>
          <w:kern w:val="0"/>
          <w:szCs w:val="32"/>
          <w:lang w:val="en-US" w:eastAsia="zh-CN"/>
        </w:rPr>
        <w:t>二级</w:t>
      </w:r>
      <w:r>
        <w:rPr>
          <w:rFonts w:hint="eastAsia" w:ascii="仿宋_GB2312" w:hAnsi="仿宋_GB2312" w:cs="仿宋_GB2312"/>
          <w:kern w:val="0"/>
          <w:szCs w:val="32"/>
        </w:rPr>
        <w:t>学院（</w:t>
      </w:r>
      <w:r>
        <w:rPr>
          <w:rFonts w:hint="eastAsia" w:ascii="仿宋_GB2312" w:hAnsi="仿宋_GB2312" w:cs="仿宋_GB2312"/>
          <w:kern w:val="0"/>
          <w:szCs w:val="32"/>
          <w:lang w:val="en-US" w:eastAsia="zh-CN"/>
        </w:rPr>
        <w:t>系</w:t>
      </w:r>
      <w:r>
        <w:rPr>
          <w:rFonts w:hint="eastAsia" w:ascii="仿宋_GB2312" w:hAnsi="仿宋_GB2312" w:cs="仿宋_GB2312"/>
          <w:kern w:val="0"/>
          <w:szCs w:val="32"/>
        </w:rPr>
        <w:t>）</w:t>
      </w:r>
      <w:r>
        <w:rPr>
          <w:rFonts w:hint="eastAsia" w:ascii="仿宋_GB2312" w:hAnsi="仿宋_GB2312" w:cs="仿宋_GB2312"/>
          <w:kern w:val="0"/>
          <w:szCs w:val="32"/>
          <w:lang w:eastAsia="zh-CN"/>
        </w:rPr>
        <w:t>、</w:t>
      </w:r>
      <w:r>
        <w:rPr>
          <w:rFonts w:hint="eastAsia" w:ascii="仿宋_GB2312" w:hAnsi="仿宋_GB2312" w:cs="仿宋_GB2312"/>
          <w:kern w:val="0"/>
          <w:szCs w:val="32"/>
        </w:rPr>
        <w:t>机关各部（处、室）</w:t>
      </w:r>
      <w:r>
        <w:rPr>
          <w:rFonts w:hint="eastAsia" w:ascii="仿宋_GB2312" w:hAnsi="仿宋_GB2312" w:cs="仿宋_GB2312"/>
          <w:kern w:val="0"/>
          <w:szCs w:val="32"/>
          <w:lang w:eastAsia="zh-CN"/>
        </w:rPr>
        <w:t>、</w:t>
      </w:r>
      <w:r>
        <w:rPr>
          <w:rFonts w:hint="eastAsia" w:ascii="仿宋_GB2312" w:hAnsi="仿宋_GB2312" w:cs="仿宋_GB2312"/>
          <w:kern w:val="0"/>
          <w:szCs w:val="32"/>
        </w:rPr>
        <w:t>各直属单位：</w:t>
      </w:r>
    </w:p>
    <w:p w14:paraId="14514FB5">
      <w:pPr>
        <w:spacing w:line="440" w:lineRule="exact"/>
        <w:ind w:firstLine="640" w:firstLineChars="200"/>
        <w:rPr>
          <w:rFonts w:ascii="仿宋_GB2312" w:hAnsi="仿宋_GB2312" w:cs="仿宋_GB2312"/>
          <w:kern w:val="0"/>
          <w:szCs w:val="32"/>
        </w:rPr>
      </w:pPr>
      <w:r>
        <w:rPr>
          <w:rFonts w:hint="eastAsia" w:ascii="仿宋_GB2312" w:hAnsi="仿宋_GB2312" w:cs="仿宋_GB2312"/>
          <w:kern w:val="0"/>
          <w:szCs w:val="32"/>
        </w:rPr>
        <w:t>《泉州师范学院</w:t>
      </w:r>
      <w:r>
        <w:rPr>
          <w:rFonts w:hint="eastAsia" w:ascii="仿宋_GB2312" w:hAnsi="仿宋_GB2312" w:cs="仿宋_GB2312"/>
          <w:kern w:val="0"/>
          <w:szCs w:val="32"/>
          <w:lang w:val="en-US" w:eastAsia="zh-CN"/>
        </w:rPr>
        <w:t>实验</w:t>
      </w:r>
      <w:r>
        <w:rPr>
          <w:rFonts w:hint="eastAsia" w:ascii="仿宋_GB2312" w:hAnsi="仿宋_GB2312" w:cs="仿宋_GB2312"/>
          <w:kern w:val="0"/>
          <w:szCs w:val="32"/>
        </w:rPr>
        <w:t>材料及低值易耗品管理实施细则</w:t>
      </w:r>
      <w:r>
        <w:rPr>
          <w:rFonts w:hint="eastAsia" w:ascii="仿宋_GB2312" w:hAnsi="仿宋_GB2312" w:cs="仿宋_GB2312"/>
          <w:kern w:val="0"/>
          <w:szCs w:val="32"/>
          <w:lang w:eastAsia="zh-CN"/>
        </w:rPr>
        <w:t>（试行）</w:t>
      </w:r>
      <w:r>
        <w:rPr>
          <w:rFonts w:hint="eastAsia" w:ascii="仿宋_GB2312" w:hAnsi="仿宋_GB2312" w:cs="仿宋_GB2312"/>
          <w:kern w:val="0"/>
          <w:szCs w:val="32"/>
        </w:rPr>
        <w:t>》</w:t>
      </w:r>
      <w:r>
        <w:rPr>
          <w:rFonts w:hint="eastAsia" w:ascii="仿宋_GB2312" w:hAnsi="Calibri"/>
          <w:szCs w:val="32"/>
        </w:rPr>
        <w:t>经</w:t>
      </w:r>
      <w:r>
        <w:rPr>
          <w:rFonts w:hint="eastAsia" w:ascii="仿宋_GB2312"/>
          <w:szCs w:val="32"/>
          <w:lang w:val="en-US" w:eastAsia="zh-CN"/>
        </w:rPr>
        <w:t>学校</w:t>
      </w:r>
      <w:r>
        <w:rPr>
          <w:rFonts w:hint="eastAsia" w:ascii="仿宋_GB2312" w:hAnsi="Calibri"/>
          <w:szCs w:val="32"/>
        </w:rPr>
        <w:t>同意，现印发给你们，请遵照执行。</w:t>
      </w:r>
    </w:p>
    <w:p w14:paraId="43879FF5">
      <w:pPr>
        <w:spacing w:line="440" w:lineRule="exact"/>
        <w:ind w:firstLine="640" w:firstLineChars="200"/>
        <w:rPr>
          <w:rFonts w:ascii="仿宋_GB2312" w:hAnsi="仿宋_GB2312" w:cs="仿宋_GB2312"/>
          <w:kern w:val="0"/>
          <w:szCs w:val="32"/>
        </w:rPr>
      </w:pPr>
    </w:p>
    <w:p w14:paraId="463698DC">
      <w:pPr>
        <w:spacing w:line="440" w:lineRule="exact"/>
        <w:ind w:firstLine="640" w:firstLineChars="200"/>
        <w:rPr>
          <w:rFonts w:ascii="仿宋_GB2312" w:hAnsi="仿宋_GB2312" w:cs="仿宋_GB2312"/>
          <w:kern w:val="0"/>
          <w:szCs w:val="32"/>
        </w:rPr>
      </w:pPr>
    </w:p>
    <w:p w14:paraId="354ECEB6">
      <w:pPr>
        <w:spacing w:line="440" w:lineRule="exact"/>
        <w:ind w:firstLine="640" w:firstLineChars="200"/>
        <w:rPr>
          <w:rFonts w:ascii="仿宋_GB2312" w:hAnsi="仿宋_GB2312" w:cs="仿宋_GB2312"/>
          <w:kern w:val="0"/>
          <w:szCs w:val="32"/>
        </w:rPr>
      </w:pPr>
    </w:p>
    <w:p w14:paraId="092A2A9C">
      <w:pPr>
        <w:spacing w:line="440" w:lineRule="exact"/>
        <w:ind w:firstLine="640" w:firstLineChars="200"/>
        <w:rPr>
          <w:rFonts w:ascii="仿宋_GB2312" w:hAnsi="仿宋_GB2312" w:cs="仿宋_GB2312"/>
          <w:kern w:val="0"/>
          <w:szCs w:val="32"/>
        </w:rPr>
      </w:pPr>
    </w:p>
    <w:p w14:paraId="48E67A66">
      <w:pPr>
        <w:spacing w:line="440" w:lineRule="exact"/>
        <w:ind w:firstLine="640" w:firstLineChars="200"/>
        <w:jc w:val="center"/>
        <w:rPr>
          <w:rFonts w:ascii="仿宋_GB2312" w:hAnsi="仿宋_GB2312" w:cs="仿宋_GB2312"/>
          <w:kern w:val="0"/>
          <w:szCs w:val="32"/>
        </w:rPr>
      </w:pPr>
      <w:r>
        <w:rPr>
          <w:rFonts w:hint="eastAsia" w:ascii="仿宋_GB2312" w:hAnsi="仿宋_GB2312" w:cs="仿宋_GB2312"/>
          <w:kern w:val="0"/>
          <w:szCs w:val="32"/>
        </w:rPr>
        <w:t xml:space="preserve">                    泉州师范学院</w:t>
      </w:r>
    </w:p>
    <w:p w14:paraId="05F38E1B">
      <w:pPr>
        <w:spacing w:line="440" w:lineRule="exact"/>
        <w:ind w:firstLine="640" w:firstLineChars="200"/>
        <w:jc w:val="left"/>
        <w:rPr>
          <w:rFonts w:hint="eastAsia" w:ascii="仿宋_GB2312" w:hAnsi="仿宋_GB2312" w:cs="仿宋_GB2312"/>
          <w:kern w:val="0"/>
          <w:szCs w:val="32"/>
        </w:rPr>
      </w:pPr>
      <w:r>
        <w:rPr>
          <w:rFonts w:hint="eastAsia" w:ascii="仿宋_GB2312" w:hAnsi="仿宋_GB2312" w:cs="仿宋_GB2312"/>
          <w:kern w:val="0"/>
          <w:szCs w:val="32"/>
        </w:rPr>
        <w:t xml:space="preserve">                            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年1</w:t>
      </w:r>
      <w:r>
        <w:rPr>
          <w:rFonts w:hint="eastAsia" w:ascii="仿宋_GB2312" w:hAnsi="仿宋_GB2312" w:cs="仿宋_GB2312"/>
          <w:kern w:val="0"/>
          <w:szCs w:val="32"/>
          <w:lang w:val="en-US" w:eastAsia="zh-CN"/>
        </w:rPr>
        <w:t>0</w:t>
      </w:r>
      <w:r>
        <w:rPr>
          <w:rFonts w:hint="eastAsia" w:ascii="仿宋_GB2312" w:hAnsi="仿宋_GB2312" w:cs="仿宋_GB2312"/>
          <w:kern w:val="0"/>
          <w:szCs w:val="32"/>
        </w:rPr>
        <w:t>月</w:t>
      </w:r>
      <w:r>
        <w:rPr>
          <w:rFonts w:hint="eastAsia" w:ascii="仿宋_GB2312" w:hAnsi="仿宋_GB2312" w:cs="仿宋_GB2312"/>
          <w:kern w:val="0"/>
          <w:szCs w:val="32"/>
          <w:lang w:val="en-US" w:eastAsia="zh-CN"/>
        </w:rPr>
        <w:t>31</w:t>
      </w:r>
      <w:r>
        <w:rPr>
          <w:rFonts w:hint="eastAsia" w:ascii="仿宋_GB2312" w:hAnsi="仿宋_GB2312" w:cs="仿宋_GB2312"/>
          <w:kern w:val="0"/>
          <w:szCs w:val="32"/>
        </w:rPr>
        <w:t xml:space="preserve">日    </w:t>
      </w:r>
    </w:p>
    <w:p w14:paraId="7164C8BD">
      <w:pPr>
        <w:spacing w:line="440" w:lineRule="exact"/>
        <w:ind w:firstLine="640" w:firstLineChars="200"/>
        <w:jc w:val="left"/>
        <w:rPr>
          <w:rFonts w:hint="eastAsia" w:ascii="仿宋_GB2312" w:hAnsi="仿宋_GB2312" w:cs="仿宋_GB2312"/>
          <w:kern w:val="0"/>
          <w:szCs w:val="32"/>
        </w:rPr>
      </w:pPr>
    </w:p>
    <w:p w14:paraId="0159D18D">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泉州师范学院</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实验</w:t>
      </w:r>
      <w:r>
        <w:rPr>
          <w:rFonts w:hint="eastAsia" w:ascii="方正小标宋简体" w:hAnsi="方正小标宋简体" w:eastAsia="方正小标宋简体" w:cs="方正小标宋简体"/>
          <w:b w:val="0"/>
          <w:bCs w:val="0"/>
          <w:color w:val="auto"/>
          <w:sz w:val="44"/>
          <w:szCs w:val="44"/>
          <w:shd w:val="clear" w:color="auto" w:fill="FFFFFF"/>
        </w:rPr>
        <w:t>材料及低值易耗品管理</w:t>
      </w:r>
    </w:p>
    <w:p w14:paraId="1EDCF34D">
      <w:pPr>
        <w:pStyle w:val="5"/>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eastAsia="zh-CN"/>
        </w:rPr>
      </w:pPr>
      <w:r>
        <w:rPr>
          <w:rFonts w:hint="eastAsia" w:ascii="方正小标宋简体" w:hAnsi="方正小标宋简体" w:eastAsia="方正小标宋简体" w:cs="方正小标宋简体"/>
          <w:b w:val="0"/>
          <w:bCs w:val="0"/>
          <w:color w:val="auto"/>
          <w:sz w:val="44"/>
          <w:szCs w:val="44"/>
          <w:shd w:val="clear" w:color="auto" w:fill="FFFFFF"/>
        </w:rPr>
        <w:t>实施细则</w:t>
      </w:r>
      <w:r>
        <w:rPr>
          <w:rFonts w:hint="eastAsia" w:ascii="方正小标宋简体" w:hAnsi="方正小标宋简体" w:eastAsia="方正小标宋简体" w:cs="方正小标宋简体"/>
          <w:b w:val="0"/>
          <w:bCs w:val="0"/>
          <w:color w:val="auto"/>
          <w:sz w:val="44"/>
          <w:szCs w:val="44"/>
          <w:shd w:val="clear" w:color="auto" w:fill="FFFFFF"/>
          <w:lang w:eastAsia="zh-CN"/>
        </w:rPr>
        <w:t>（试行）</w:t>
      </w:r>
    </w:p>
    <w:p w14:paraId="40AE6AC5">
      <w:pPr>
        <w:jc w:val="cente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pPr>
    </w:p>
    <w:p w14:paraId="4E2EBC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第一章  总则</w:t>
      </w:r>
    </w:p>
    <w:p w14:paraId="7BD3784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第一条</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bookmarkStart w:id="2" w:name="OLE_LINK9"/>
      <w:r>
        <w:rPr>
          <w:rFonts w:hint="eastAsia" w:ascii="仿宋_GB2312" w:hAnsi="仿宋_GB2312" w:eastAsia="仿宋_GB2312" w:cs="仿宋_GB2312"/>
          <w:i w:val="0"/>
          <w:iCs w:val="0"/>
          <w:caps w:val="0"/>
          <w:color w:val="auto"/>
          <w:spacing w:val="0"/>
          <w:sz w:val="32"/>
          <w:szCs w:val="32"/>
          <w:shd w:val="clear" w:fill="FFFFFF"/>
          <w:lang w:val="en-US" w:eastAsia="zh-CN"/>
        </w:rPr>
        <w:t>为加强学校国有资产监管，规范实验材料及低值易耗品的管理和使用，</w:t>
      </w:r>
      <w:bookmarkEnd w:id="2"/>
      <w:bookmarkStart w:id="3" w:name="OLE_LINK16"/>
      <w:r>
        <w:rPr>
          <w:rFonts w:hint="eastAsia" w:ascii="仿宋_GB2312" w:hAnsi="仿宋_GB2312" w:eastAsia="仿宋_GB2312" w:cs="仿宋_GB2312"/>
          <w:i w:val="0"/>
          <w:iCs w:val="0"/>
          <w:caps w:val="0"/>
          <w:color w:val="auto"/>
          <w:spacing w:val="0"/>
          <w:sz w:val="32"/>
          <w:szCs w:val="32"/>
          <w:shd w:val="clear" w:fill="FFFFFF"/>
          <w:lang w:val="en-US" w:eastAsia="zh-CN"/>
        </w:rPr>
        <w:t>根据</w:t>
      </w:r>
      <w:bookmarkStart w:id="4" w:name="OLE_LINK14"/>
      <w:r>
        <w:rPr>
          <w:rFonts w:hint="eastAsia" w:ascii="仿宋_GB2312" w:hAnsi="仿宋_GB2312" w:eastAsia="仿宋_GB2312" w:cs="仿宋_GB2312"/>
          <w:i w:val="0"/>
          <w:iCs w:val="0"/>
          <w:caps w:val="0"/>
          <w:color w:val="auto"/>
          <w:spacing w:val="0"/>
          <w:sz w:val="32"/>
          <w:szCs w:val="32"/>
          <w:shd w:val="clear" w:fill="FFFFFF"/>
          <w:lang w:val="en-US" w:eastAsia="zh-CN"/>
        </w:rPr>
        <w:t>《高等学校材料、低值品、易耗品管理办法》</w:t>
      </w:r>
      <w:bookmarkStart w:id="5" w:name="OLE_LINK15"/>
      <w:r>
        <w:rPr>
          <w:rFonts w:hint="eastAsia" w:ascii="仿宋_GB2312" w:hAnsi="仿宋_GB2312" w:eastAsia="仿宋_GB2312" w:cs="仿宋_GB2312"/>
          <w:i w:val="0"/>
          <w:iCs w:val="0"/>
          <w:caps w:val="0"/>
          <w:color w:val="auto"/>
          <w:spacing w:val="0"/>
          <w:sz w:val="32"/>
          <w:szCs w:val="32"/>
          <w:shd w:val="clear" w:fill="FFFFFF"/>
          <w:lang w:val="en-US" w:eastAsia="zh-CN"/>
        </w:rPr>
        <w:t>《高等学校财务制度》</w:t>
      </w:r>
      <w:bookmarkEnd w:id="3"/>
      <w:bookmarkEnd w:id="4"/>
      <w:bookmarkEnd w:id="5"/>
      <w:r>
        <w:rPr>
          <w:rFonts w:hint="eastAsia" w:ascii="仿宋_GB2312" w:hAnsi="仿宋_GB2312" w:eastAsia="仿宋_GB2312" w:cs="仿宋_GB2312"/>
          <w:i w:val="0"/>
          <w:iCs w:val="0"/>
          <w:caps w:val="0"/>
          <w:color w:val="auto"/>
          <w:spacing w:val="0"/>
          <w:sz w:val="32"/>
          <w:szCs w:val="32"/>
          <w:shd w:val="clear" w:fill="FFFFFF"/>
          <w:lang w:val="en-US" w:eastAsia="zh-CN"/>
        </w:rPr>
        <w:t>等有关文件精神，结合学校实际，制定本细则。</w:t>
      </w:r>
    </w:p>
    <w:p w14:paraId="79578F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第二条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遵循“统一领导、分级管理、专人负责、合理调剂、节约使用”的原则，实行学校、</w:t>
      </w:r>
      <w:bookmarkStart w:id="6" w:name="OLE_LINK3"/>
      <w:r>
        <w:rPr>
          <w:rFonts w:hint="eastAsia" w:ascii="仿宋_GB2312" w:hAnsi="仿宋_GB2312" w:eastAsia="仿宋_GB2312" w:cs="仿宋_GB2312"/>
          <w:i w:val="0"/>
          <w:iCs w:val="0"/>
          <w:caps w:val="0"/>
          <w:color w:val="auto"/>
          <w:spacing w:val="0"/>
          <w:sz w:val="32"/>
          <w:szCs w:val="32"/>
          <w:shd w:val="clear" w:fill="FFFFFF"/>
          <w:lang w:val="en-US" w:eastAsia="zh-CN"/>
        </w:rPr>
        <w:t>二级学院（系）</w:t>
      </w:r>
      <w:bookmarkEnd w:id="6"/>
      <w:r>
        <w:rPr>
          <w:rFonts w:hint="eastAsia" w:ascii="仿宋_GB2312" w:hAnsi="仿宋_GB2312" w:eastAsia="仿宋_GB2312" w:cs="仿宋_GB2312"/>
          <w:i w:val="0"/>
          <w:iCs w:val="0"/>
          <w:caps w:val="0"/>
          <w:color w:val="auto"/>
          <w:spacing w:val="0"/>
          <w:sz w:val="32"/>
          <w:szCs w:val="32"/>
          <w:shd w:val="clear" w:fill="FFFFFF"/>
          <w:lang w:val="en-US" w:eastAsia="zh-CN"/>
        </w:rPr>
        <w:t>、项目（课题）负责人三级管理责任体系。实验室与设备管理处负责对各单位实验材料及低值易耗品的管理工作实施检查与监督。</w:t>
      </w:r>
    </w:p>
    <w:p w14:paraId="7C8F51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第三条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二级学院（系）用各类经费购置的实验材料及低值易耗品，均适用本细则。</w:t>
      </w:r>
    </w:p>
    <w:p w14:paraId="49D9975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第二章  范围与分类</w:t>
      </w:r>
    </w:p>
    <w:p w14:paraId="6766A7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第四条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7" w:name="OLE_LINK26"/>
      <w:r>
        <w:rPr>
          <w:rFonts w:hint="eastAsia" w:ascii="仿宋_GB2312" w:hAnsi="仿宋_GB2312" w:eastAsia="仿宋_GB2312" w:cs="仿宋_GB2312"/>
          <w:i w:val="0"/>
          <w:iCs w:val="0"/>
          <w:caps w:val="0"/>
          <w:color w:val="auto"/>
          <w:spacing w:val="0"/>
          <w:sz w:val="32"/>
          <w:szCs w:val="32"/>
          <w:u w:val="none"/>
          <w:shd w:val="clear" w:fill="FFFFFF"/>
          <w:lang w:val="en-US" w:eastAsia="zh-CN"/>
        </w:rPr>
        <w:t>本细则所称的</w:t>
      </w:r>
      <w:bookmarkStart w:id="8" w:name="OLE_LINK23"/>
      <w:r>
        <w:rPr>
          <w:rFonts w:hint="eastAsia" w:ascii="仿宋_GB2312" w:hAnsi="仿宋_GB2312" w:eastAsia="仿宋_GB2312" w:cs="仿宋_GB2312"/>
          <w:i w:val="0"/>
          <w:iCs w:val="0"/>
          <w:caps w:val="0"/>
          <w:color w:val="auto"/>
          <w:spacing w:val="0"/>
          <w:sz w:val="32"/>
          <w:szCs w:val="32"/>
          <w:u w:val="none"/>
          <w:shd w:val="clear" w:fill="FFFFFF"/>
          <w:lang w:val="en-US" w:eastAsia="zh-CN"/>
        </w:rPr>
        <w:t>实验材料及低值易耗品</w:t>
      </w:r>
      <w:bookmarkEnd w:id="8"/>
      <w:r>
        <w:rPr>
          <w:rFonts w:hint="eastAsia" w:ascii="仿宋_GB2312" w:hAnsi="仿宋_GB2312" w:eastAsia="仿宋_GB2312" w:cs="仿宋_GB2312"/>
          <w:i w:val="0"/>
          <w:iCs w:val="0"/>
          <w:caps w:val="0"/>
          <w:color w:val="auto"/>
          <w:spacing w:val="0"/>
          <w:sz w:val="32"/>
          <w:szCs w:val="32"/>
          <w:u w:val="none"/>
          <w:shd w:val="clear" w:fill="FFFFFF"/>
          <w:lang w:val="en-US" w:eastAsia="zh-CN"/>
        </w:rPr>
        <w:t>是指实验室、实训场所在教学科研等工作中使用的不属于学校固定资产管理范畴的实验材料和低值易耗品。如金属、非金属的各种原材料、燃料、气体、试剂、化学药品、科教器具、玻璃器皿、元器件、零配件、实验小动物、实验实训用服装、鞋帽以及个体防护用品等。</w:t>
      </w:r>
    </w:p>
    <w:bookmarkEnd w:id="7"/>
    <w:p w14:paraId="7C78619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第三章 购置与管理</w:t>
      </w:r>
    </w:p>
    <w:p w14:paraId="7B7DB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bookmarkStart w:id="9" w:name="OLE_LINK27"/>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第五条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10" w:name="OLE_LINK33"/>
      <w:r>
        <w:rPr>
          <w:rFonts w:hint="eastAsia" w:ascii="仿宋_GB2312" w:hAnsi="仿宋_GB2312" w:eastAsia="仿宋_GB2312" w:cs="仿宋_GB2312"/>
          <w:i w:val="0"/>
          <w:iCs w:val="0"/>
          <w:caps w:val="0"/>
          <w:color w:val="auto"/>
          <w:spacing w:val="0"/>
          <w:sz w:val="32"/>
          <w:szCs w:val="32"/>
          <w:u w:val="none"/>
          <w:shd w:val="clear" w:fill="FFFFFF"/>
          <w:lang w:val="en-US" w:eastAsia="zh-CN"/>
        </w:rPr>
        <w:t>二级学院（系）</w:t>
      </w:r>
      <w:bookmarkEnd w:id="10"/>
      <w:r>
        <w:rPr>
          <w:rFonts w:hint="eastAsia" w:ascii="仿宋_GB2312" w:hAnsi="仿宋_GB2312" w:eastAsia="仿宋_GB2312" w:cs="仿宋_GB2312"/>
          <w:i w:val="0"/>
          <w:iCs w:val="0"/>
          <w:caps w:val="0"/>
          <w:color w:val="auto"/>
          <w:spacing w:val="0"/>
          <w:sz w:val="32"/>
          <w:szCs w:val="32"/>
          <w:u w:val="none"/>
          <w:shd w:val="clear" w:fill="FFFFFF"/>
          <w:lang w:val="en-US" w:eastAsia="zh-CN"/>
        </w:rPr>
        <w:t>应建立实验材料及低值易耗品管理责任制度，明确专人负责本单位实验材料及低值易耗品的验收工作（以下简称验收人）。强化购置、验收、出入库登记、使用、处置等工作主体责任，做到验收严肃认真、进出库手续清楚，账目记录健全。有实体仓库的单位定期进行账物盘点，保证账实相符，对盘点中发现的问题，应当查明原因并及时上报实验室与设备管理处。</w:t>
      </w:r>
    </w:p>
    <w:bookmarkEnd w:id="9"/>
    <w:p w14:paraId="44A7B5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u w:val="single"/>
          <w:shd w:val="clear" w:fill="FFFFFF"/>
          <w:lang w:val="en-US" w:eastAsia="zh-CN"/>
        </w:rPr>
      </w:pPr>
      <w:bookmarkStart w:id="11" w:name="OLE_LINK28"/>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第六条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12" w:name="OLE_LINK20"/>
      <w:bookmarkStart w:id="13" w:name="OLE_LINK36"/>
      <w:r>
        <w:rPr>
          <w:rFonts w:hint="eastAsia" w:ascii="仿宋_GB2312" w:hAnsi="仿宋_GB2312" w:eastAsia="仿宋_GB2312" w:cs="仿宋_GB2312"/>
          <w:i w:val="0"/>
          <w:iCs w:val="0"/>
          <w:caps w:val="0"/>
          <w:color w:val="auto"/>
          <w:spacing w:val="0"/>
          <w:sz w:val="32"/>
          <w:szCs w:val="32"/>
          <w:u w:val="none"/>
          <w:shd w:val="clear" w:fill="FFFFFF"/>
          <w:lang w:val="en-US" w:eastAsia="zh-CN"/>
        </w:rPr>
        <w:t>经费</w:t>
      </w:r>
      <w:bookmarkStart w:id="14" w:name="OLE_LINK34"/>
      <w:r>
        <w:rPr>
          <w:rFonts w:hint="eastAsia" w:ascii="仿宋_GB2312" w:hAnsi="仿宋_GB2312" w:eastAsia="仿宋_GB2312" w:cs="仿宋_GB2312"/>
          <w:i w:val="0"/>
          <w:iCs w:val="0"/>
          <w:caps w:val="0"/>
          <w:color w:val="auto"/>
          <w:spacing w:val="0"/>
          <w:sz w:val="32"/>
          <w:szCs w:val="32"/>
          <w:u w:val="none"/>
          <w:shd w:val="clear" w:fill="FFFFFF"/>
          <w:lang w:val="en-US" w:eastAsia="zh-CN"/>
        </w:rPr>
        <w:t>项目（课题）负责人</w:t>
      </w:r>
      <w:bookmarkEnd w:id="12"/>
      <w:bookmarkEnd w:id="14"/>
      <w:r>
        <w:rPr>
          <w:rFonts w:hint="eastAsia" w:ascii="仿宋_GB2312" w:hAnsi="仿宋_GB2312" w:eastAsia="仿宋_GB2312" w:cs="仿宋_GB2312"/>
          <w:i w:val="0"/>
          <w:iCs w:val="0"/>
          <w:caps w:val="0"/>
          <w:color w:val="auto"/>
          <w:spacing w:val="0"/>
          <w:sz w:val="32"/>
          <w:szCs w:val="32"/>
          <w:u w:val="none"/>
          <w:shd w:val="clear" w:fill="FFFFFF"/>
          <w:lang w:val="en-US" w:eastAsia="zh-CN"/>
        </w:rPr>
        <w:t>是本项目（课题）经费所购</w:t>
      </w:r>
      <w:bookmarkStart w:id="15" w:name="OLE_LINK25"/>
      <w:r>
        <w:rPr>
          <w:rFonts w:hint="eastAsia" w:ascii="仿宋_GB2312" w:hAnsi="仿宋_GB2312" w:eastAsia="仿宋_GB2312" w:cs="仿宋_GB2312"/>
          <w:i w:val="0"/>
          <w:iCs w:val="0"/>
          <w:caps w:val="0"/>
          <w:color w:val="auto"/>
          <w:spacing w:val="0"/>
          <w:sz w:val="32"/>
          <w:szCs w:val="32"/>
          <w:u w:val="none"/>
          <w:shd w:val="clear" w:fill="FFFFFF"/>
          <w:lang w:val="en-US" w:eastAsia="zh-CN"/>
        </w:rPr>
        <w:t>实验材料及低值易耗品的</w:t>
      </w:r>
      <w:bookmarkEnd w:id="15"/>
      <w:r>
        <w:rPr>
          <w:rFonts w:hint="eastAsia" w:ascii="仿宋_GB2312" w:hAnsi="仿宋_GB2312" w:eastAsia="仿宋_GB2312" w:cs="仿宋_GB2312"/>
          <w:i w:val="0"/>
          <w:iCs w:val="0"/>
          <w:caps w:val="0"/>
          <w:color w:val="auto"/>
          <w:spacing w:val="0"/>
          <w:sz w:val="32"/>
          <w:szCs w:val="32"/>
          <w:u w:val="none"/>
          <w:shd w:val="clear" w:fill="FFFFFF"/>
          <w:lang w:val="en-US" w:eastAsia="zh-CN"/>
        </w:rPr>
        <w:t>直接责任人，对经费使用的合规性、合理性、真实性与相关性承担管理责任和法律责任，指定专人具体负责实验材料及低值易耗品的出入库管理，并建立台账。</w:t>
      </w:r>
    </w:p>
    <w:bookmarkEnd w:id="11"/>
    <w:bookmarkEnd w:id="13"/>
    <w:p w14:paraId="20C0F5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第七条</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 xml:space="preserve"> 实验材料及低值易耗品的采购按照学校</w:t>
      </w:r>
      <w:bookmarkStart w:id="16" w:name="OLE_LINK13"/>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instrText xml:space="preserve"> HYPERLINK "https://www.qztc.edu.cn/_upload/article/files/5b/42/b0ddc78a42bbbe044c67e633bf88/d38da312-59dc-4440-935d-39647efcd3b5.pdf" </w:instrTex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《泉州师范学院货物和服务自行采购实施细则》</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instrText xml:space="preserve"> HYPERLINK "https://www.qztc.edu.cn/_upload/article/files/00/c7/8da5d97b464da852f8ec72c68c5b/d4dbd0af-1ca5-4e8b-a1cf-7fa36eaa3fc6.pdf" </w:instrTex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《泉州师范学院货物和服务采购招标管理办法》</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bookmarkEnd w:id="16"/>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等有关管理制度执行。</w:t>
      </w:r>
    </w:p>
    <w:p w14:paraId="0277A2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pPr>
      <w:bookmarkStart w:id="17" w:name="OLE_LINK12"/>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第八条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18" w:name="OLE_LINK4"/>
      <w:bookmarkStart w:id="19" w:name="OLE_LINK29"/>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实验材料及低值易耗品</w:t>
      </w:r>
      <w:bookmarkEnd w:id="18"/>
      <w:r>
        <w:rPr>
          <w:rFonts w:hint="eastAsia" w:ascii="仿宋_GB2312" w:hAnsi="仿宋_GB2312" w:eastAsia="仿宋_GB2312" w:cs="仿宋_GB2312"/>
          <w:i w:val="0"/>
          <w:iCs w:val="0"/>
          <w:caps w:val="0"/>
          <w:color w:val="auto"/>
          <w:spacing w:val="0"/>
          <w:sz w:val="32"/>
          <w:szCs w:val="32"/>
          <w:u w:val="none"/>
          <w:shd w:val="clear" w:fill="FFFFFF"/>
          <w:lang w:val="en-US" w:eastAsia="zh-CN"/>
        </w:rPr>
        <w:t>采购结束后</w:t>
      </w:r>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采购人</w:t>
      </w:r>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须及时办理验收入库登记</w:t>
      </w:r>
      <w:bookmarkStart w:id="20" w:name="OLE_LINK19"/>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采购人</w:t>
      </w:r>
      <w:bookmarkEnd w:id="20"/>
      <w:r>
        <w:rPr>
          <w:rFonts w:hint="eastAsia" w:ascii="仿宋_GB2312" w:hAnsi="仿宋_GB2312" w:eastAsia="仿宋_GB2312" w:cs="仿宋_GB2312"/>
          <w:i w:val="0"/>
          <w:iCs w:val="0"/>
          <w:caps w:val="0"/>
          <w:color w:val="auto"/>
          <w:spacing w:val="0"/>
          <w:sz w:val="32"/>
          <w:szCs w:val="32"/>
          <w:u w:val="none"/>
          <w:shd w:val="clear" w:fill="FFFFFF"/>
          <w:lang w:val="en-US" w:eastAsia="zh-CN"/>
        </w:rPr>
        <w:t>须通过</w:t>
      </w:r>
      <w:bookmarkStart w:id="21" w:name="OLE_LINK35"/>
      <w:r>
        <w:rPr>
          <w:rFonts w:hint="eastAsia" w:ascii="仿宋_GB2312" w:hAnsi="仿宋_GB2312" w:eastAsia="仿宋_GB2312" w:cs="仿宋_GB2312"/>
          <w:i w:val="0"/>
          <w:iCs w:val="0"/>
          <w:caps w:val="0"/>
          <w:color w:val="auto"/>
          <w:spacing w:val="0"/>
          <w:sz w:val="32"/>
          <w:szCs w:val="32"/>
          <w:u w:val="none"/>
          <w:shd w:val="clear" w:fill="FFFFFF"/>
          <w:lang w:val="en-US" w:eastAsia="zh-CN"/>
        </w:rPr>
        <w:t>学校网上服务大厅</w:t>
      </w:r>
      <w:bookmarkEnd w:id="21"/>
      <w:r>
        <w:rPr>
          <w:rFonts w:hint="eastAsia" w:ascii="仿宋_GB2312" w:hAnsi="仿宋_GB2312" w:eastAsia="仿宋_GB2312" w:cs="仿宋_GB2312"/>
          <w:i w:val="0"/>
          <w:iCs w:val="0"/>
          <w:caps w:val="0"/>
          <w:color w:val="auto"/>
          <w:spacing w:val="0"/>
          <w:sz w:val="32"/>
          <w:szCs w:val="32"/>
          <w:u w:val="none"/>
          <w:shd w:val="clear" w:fill="FFFFFF"/>
          <w:lang w:val="en-US" w:eastAsia="zh-CN"/>
        </w:rPr>
        <w:t>线上填报《</w:t>
      </w:r>
      <w:bookmarkStart w:id="22" w:name="OLE_LINK1"/>
      <w:r>
        <w:rPr>
          <w:rFonts w:hint="eastAsia" w:ascii="仿宋_GB2312" w:hAnsi="仿宋_GB2312" w:eastAsia="仿宋_GB2312" w:cs="仿宋_GB2312"/>
          <w:i w:val="0"/>
          <w:iCs w:val="0"/>
          <w:caps w:val="0"/>
          <w:color w:val="auto"/>
          <w:spacing w:val="0"/>
          <w:sz w:val="32"/>
          <w:szCs w:val="32"/>
          <w:u w:val="none"/>
          <w:shd w:val="clear" w:fill="FFFFFF"/>
          <w:lang w:val="en-US" w:eastAsia="zh-CN"/>
        </w:rPr>
        <w:t>泉州师范学院实验材料及低值易耗品</w:t>
      </w:r>
      <w:bookmarkStart w:id="23" w:name="OLE_LINK32"/>
      <w:bookmarkStart w:id="24" w:name="OLE_LINK10"/>
      <w:r>
        <w:rPr>
          <w:rFonts w:hint="eastAsia" w:ascii="仿宋_GB2312" w:hAnsi="仿宋_GB2312" w:eastAsia="仿宋_GB2312" w:cs="仿宋_GB2312"/>
          <w:i w:val="0"/>
          <w:iCs w:val="0"/>
          <w:caps w:val="0"/>
          <w:color w:val="auto"/>
          <w:spacing w:val="0"/>
          <w:sz w:val="32"/>
          <w:szCs w:val="32"/>
          <w:u w:val="none"/>
          <w:shd w:val="clear" w:fill="FFFFFF"/>
          <w:lang w:val="en-US" w:eastAsia="zh-CN"/>
        </w:rPr>
        <w:t>入（出）库单</w:t>
      </w:r>
      <w:bookmarkEnd w:id="22"/>
      <w:bookmarkEnd w:id="23"/>
      <w:bookmarkEnd w:id="24"/>
      <w:r>
        <w:rPr>
          <w:rFonts w:hint="eastAsia" w:ascii="仿宋_GB2312" w:hAnsi="仿宋_GB2312" w:eastAsia="仿宋_GB2312" w:cs="仿宋_GB2312"/>
          <w:i w:val="0"/>
          <w:iCs w:val="0"/>
          <w:caps w:val="0"/>
          <w:color w:val="auto"/>
          <w:spacing w:val="0"/>
          <w:sz w:val="32"/>
          <w:szCs w:val="32"/>
          <w:u w:val="none"/>
          <w:shd w:val="clear" w:fill="FFFFFF"/>
          <w:lang w:val="en-US" w:eastAsia="zh-CN"/>
        </w:rPr>
        <w:t>》</w:t>
      </w:r>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w:t>
      </w:r>
      <w:bookmarkStart w:id="25" w:name="OLE_LINK31"/>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通过</w:t>
      </w:r>
      <w:bookmarkEnd w:id="25"/>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经费负责人和验收人（与采购人不能是同一人）线上审批后</w:t>
      </w:r>
      <w:bookmarkStart w:id="26" w:name="OLE_LINK6"/>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完成验收入库</w:t>
      </w:r>
      <w:bookmarkEnd w:id="26"/>
      <w:bookmarkStart w:id="27" w:name="OLE_LINK24"/>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，凭系统生成的</w:t>
      </w:r>
      <w:r>
        <w:rPr>
          <w:rFonts w:hint="eastAsia" w:ascii="仿宋_GB2312" w:hAnsi="仿宋_GB2312" w:eastAsia="仿宋_GB2312" w:cs="仿宋_GB2312"/>
          <w:i w:val="0"/>
          <w:iCs w:val="0"/>
          <w:caps w:val="0"/>
          <w:color w:val="auto"/>
          <w:spacing w:val="0"/>
          <w:sz w:val="32"/>
          <w:szCs w:val="32"/>
          <w:u w:val="none"/>
          <w:shd w:val="clear" w:fill="FFFFFF"/>
          <w:lang w:val="en-US" w:eastAsia="zh-CN"/>
        </w:rPr>
        <w:t>验收入库单</w:t>
      </w:r>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根据学校财务管理有关规定办理</w:t>
      </w:r>
      <w:bookmarkStart w:id="28" w:name="OLE_LINK18"/>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财务报</w:t>
      </w:r>
      <w:bookmarkStart w:id="29" w:name="OLE_LINK11"/>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账</w:t>
      </w:r>
      <w:bookmarkEnd w:id="28"/>
      <w:r>
        <w:rPr>
          <w:rFonts w:hint="eastAsia" w:ascii="仿宋_GB2312" w:hAnsi="仿宋_GB2312" w:eastAsia="仿宋_GB2312" w:cs="仿宋_GB2312"/>
          <w:i w:val="0"/>
          <w:iCs w:val="0"/>
          <w:caps w:val="0"/>
          <w:color w:val="auto"/>
          <w:spacing w:val="0"/>
          <w:kern w:val="2"/>
          <w:sz w:val="32"/>
          <w:szCs w:val="32"/>
          <w:u w:val="none"/>
          <w:shd w:val="clear" w:fill="FFFFFF"/>
          <w:lang w:val="en-US" w:eastAsia="zh-CN" w:bidi="ar-SA"/>
        </w:rPr>
        <w:t>手续。</w:t>
      </w:r>
      <w:bookmarkEnd w:id="17"/>
      <w:bookmarkEnd w:id="19"/>
      <w:bookmarkEnd w:id="27"/>
      <w:bookmarkEnd w:id="29"/>
    </w:p>
    <w:p w14:paraId="03AAE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第九条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购置的实验材料加工成自制设备达到固定资产标准或形成其他固定资产，后续应按固定资产管理要求办理固定资产建账手续。</w:t>
      </w:r>
    </w:p>
    <w:p w14:paraId="200A3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第十条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实验材</w:t>
      </w:r>
      <w:r>
        <w:rPr>
          <w:rFonts w:hint="eastAsia" w:ascii="仿宋_GB2312" w:hAnsi="仿宋_GB2312" w:eastAsia="仿宋_GB2312" w:cs="仿宋_GB2312"/>
          <w:i w:val="0"/>
          <w:iCs w:val="0"/>
          <w:caps w:val="0"/>
          <w:color w:val="auto"/>
          <w:spacing w:val="0"/>
          <w:sz w:val="32"/>
          <w:szCs w:val="32"/>
          <w:shd w:val="clear" w:fill="FFFFFF"/>
          <w:lang w:val="en-US" w:eastAsia="zh-CN"/>
        </w:rPr>
        <w:t>料加工改造后达到固定资产标准的物品报废、报损处置工作，经使用管理单位负责人批准后，按有关规定办理并及时向实验室与设备管理处报备，任何单位和个人未经本单位负责人批准不得擅自处理。报废报损物品如有残值，其残值处理参照相关固定资产残值处理规定办理，并将处置资料整理存档。</w:t>
      </w:r>
    </w:p>
    <w:p w14:paraId="668183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使用人（管理人员）退休、调出、离职及长期外出的，个人保管及使用的</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实验材料及低值易耗品</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等</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须办理实物移交手续。</w:t>
      </w:r>
    </w:p>
    <w:p w14:paraId="28D81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第十二条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对于使用过程中非正常使用损坏或遗失的</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实验材料及低值易耗品</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，应由管理员在实物台账中予以记录，述明原因。对于责任事件故意损坏的，</w:t>
      </w:r>
      <w:r>
        <w:rPr>
          <w:rFonts w:hint="eastAsia" w:ascii="仿宋_GB2312" w:hAnsi="仿宋_GB2312" w:eastAsia="仿宋_GB2312" w:cs="仿宋_GB2312"/>
          <w:i w:val="0"/>
          <w:iCs w:val="0"/>
          <w:caps w:val="0"/>
          <w:color w:val="auto"/>
          <w:spacing w:val="0"/>
          <w:sz w:val="32"/>
          <w:szCs w:val="32"/>
          <w:shd w:val="clear" w:fill="FFFFFF"/>
          <w:lang w:val="en-US" w:eastAsia="zh-CN"/>
        </w:rPr>
        <w:t>二级学院（系）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应责令责任人按物资入账值予以赔偿。</w:t>
      </w:r>
    </w:p>
    <w:p w14:paraId="40F1E5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第十三条</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bookmarkStart w:id="30" w:name="OLE_LINK21"/>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易制毒、易制爆等管制类化学品</w:t>
      </w:r>
      <w:bookmarkEnd w:id="30"/>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的申购与出入库登记按照学校要求通过“实验室安全综合管理平台”进行管理，无需再按照本细则第八条办理相关手续。其他管理要求按照国家和学校的相</w:t>
      </w:r>
      <w:r>
        <w:rPr>
          <w:rFonts w:hint="eastAsia" w:ascii="仿宋_GB2312" w:hAnsi="仿宋_GB2312" w:eastAsia="仿宋_GB2312" w:cs="仿宋_GB2312"/>
          <w:i w:val="0"/>
          <w:iCs w:val="0"/>
          <w:caps w:val="0"/>
          <w:color w:val="auto"/>
          <w:spacing w:val="0"/>
          <w:sz w:val="32"/>
          <w:szCs w:val="32"/>
          <w:shd w:val="clear" w:fill="FFFFFF"/>
          <w:lang w:val="en-US" w:eastAsia="zh-CN"/>
        </w:rPr>
        <w:t>关规定执</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行。</w:t>
      </w:r>
    </w:p>
    <w:p w14:paraId="6D9C4729">
      <w:pPr>
        <w:keepNext w:val="0"/>
        <w:keepLines w:val="0"/>
        <w:pageBreakBefore w:val="0"/>
        <w:widowControl w:val="0"/>
        <w:kinsoku/>
        <w:wordWrap/>
        <w:overflowPunct/>
        <w:topLinePunct w:val="0"/>
        <w:autoSpaceDE/>
        <w:autoSpaceDN/>
        <w:bidi w:val="0"/>
        <w:adjustRightInd/>
        <w:snapToGrid/>
        <w:spacing w:line="560" w:lineRule="exact"/>
        <w:ind w:firstLine="656" w:firstLineChars="205"/>
        <w:textAlignment w:val="auto"/>
        <w:rPr>
          <w:rFonts w:hint="eastAsia" w:ascii="仿宋_GB2312" w:hAnsi="仿宋_GB2312" w:eastAsia="仿宋_GB2312" w:cs="仿宋_GB2312"/>
          <w:color w:val="auto"/>
          <w:kern w:val="0"/>
          <w:sz w:val="32"/>
          <w:szCs w:val="32"/>
        </w:rPr>
      </w:pPr>
      <w:bookmarkStart w:id="35" w:name="_GoBack"/>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第十四条</w:t>
      </w:r>
      <w:bookmarkEnd w:id="35"/>
      <w:r>
        <w:rPr>
          <w:rFonts w:hint="eastAsia" w:ascii="仿宋_GB2312" w:hAnsi="仿宋_GB2312" w:eastAsia="仿宋_GB2312" w:cs="仿宋_GB2312"/>
          <w:i w:val="0"/>
          <w:iCs w:val="0"/>
          <w:caps w:val="0"/>
          <w:color w:val="auto"/>
          <w:spacing w:val="0"/>
          <w:sz w:val="32"/>
          <w:szCs w:val="32"/>
          <w:shd w:val="clear" w:fill="FFFFFF"/>
          <w:lang w:val="en-US" w:eastAsia="zh-CN"/>
        </w:rPr>
        <w:t xml:space="preserve"> 学校</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实验材料及低值易耗品的采购与管理工作接受监察部门、审计部门和群众监督。</w:t>
      </w:r>
      <w:r>
        <w:rPr>
          <w:rFonts w:hint="eastAsia" w:ascii="仿宋_GB2312" w:hAnsi="仿宋_GB2312" w:eastAsia="仿宋_GB2312" w:cs="仿宋_GB2312"/>
          <w:color w:val="auto"/>
          <w:kern w:val="0"/>
          <w:sz w:val="32"/>
          <w:szCs w:val="32"/>
        </w:rPr>
        <w:t>凡不履行本</w:t>
      </w:r>
      <w:r>
        <w:rPr>
          <w:rFonts w:hint="eastAsia" w:ascii="仿宋_GB2312" w:hAnsi="仿宋_GB2312" w:eastAsia="仿宋_GB2312" w:cs="仿宋_GB2312"/>
          <w:color w:val="auto"/>
          <w:kern w:val="0"/>
          <w:sz w:val="32"/>
          <w:szCs w:val="32"/>
          <w:lang w:val="en-US" w:eastAsia="zh-CN"/>
        </w:rPr>
        <w:t>细则</w:t>
      </w:r>
      <w:r>
        <w:rPr>
          <w:rFonts w:hint="eastAsia" w:ascii="仿宋_GB2312" w:hAnsi="仿宋_GB2312" w:eastAsia="仿宋_GB2312" w:cs="仿宋_GB2312"/>
          <w:color w:val="auto"/>
          <w:kern w:val="0"/>
          <w:sz w:val="32"/>
          <w:szCs w:val="32"/>
        </w:rPr>
        <w:t>规定，徇私舞弊，玩忽职守的，学校将依照有关规定追究责任。情节严重，构成犯罪的，移送司法机关依法处理。</w:t>
      </w:r>
    </w:p>
    <w:p w14:paraId="461D4E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p w14:paraId="72DE9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第四章 附则</w:t>
      </w:r>
    </w:p>
    <w:p w14:paraId="102F2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第十五条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31" w:name="OLE_LINK5"/>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本细则</w:t>
      </w:r>
      <w:bookmarkEnd w:id="31"/>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自印发之日起实施，学校原有相关规定</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与本细则不一致的，以本细则为准。</w:t>
      </w:r>
    </w:p>
    <w:p w14:paraId="41022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第十六条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本细则</w:t>
      </w:r>
      <w:r>
        <w:rPr>
          <w:rFonts w:hint="eastAsia" w:ascii="仿宋_GB2312" w:hAnsi="仿宋_GB2312" w:eastAsia="仿宋_GB2312" w:cs="仿宋_GB2312"/>
          <w:color w:val="auto"/>
          <w:kern w:val="2"/>
          <w:sz w:val="32"/>
          <w:szCs w:val="32"/>
          <w:lang w:val="en-US" w:eastAsia="zh-CN" w:bidi="ar-SA"/>
        </w:rPr>
        <w:t>由</w:t>
      </w:r>
      <w:bookmarkStart w:id="32" w:name="OLE_LINK8"/>
      <w:r>
        <w:rPr>
          <w:rFonts w:hint="eastAsia" w:ascii="仿宋_GB2312" w:hAnsi="仿宋_GB2312" w:eastAsia="仿宋_GB2312" w:cs="仿宋_GB2312"/>
          <w:color w:val="auto"/>
          <w:kern w:val="2"/>
          <w:sz w:val="32"/>
          <w:szCs w:val="32"/>
          <w:lang w:val="en-US" w:eastAsia="zh-CN" w:bidi="ar-SA"/>
        </w:rPr>
        <w:t>实验室与设备管理处</w:t>
      </w:r>
      <w:bookmarkEnd w:id="32"/>
      <w:bookmarkStart w:id="33" w:name="OLE_LINK22"/>
      <w:r>
        <w:rPr>
          <w:rFonts w:hint="eastAsia" w:ascii="仿宋_GB2312" w:hAnsi="仿宋_GB2312" w:eastAsia="仿宋_GB2312" w:cs="仿宋_GB2312"/>
          <w:color w:val="auto"/>
          <w:kern w:val="2"/>
          <w:sz w:val="32"/>
          <w:szCs w:val="32"/>
          <w:lang w:val="en-US" w:eastAsia="zh-CN" w:bidi="ar-SA"/>
        </w:rPr>
        <w:t>负责解释</w:t>
      </w:r>
      <w:bookmarkEnd w:id="33"/>
      <w:r>
        <w:rPr>
          <w:rFonts w:hint="eastAsia" w:ascii="仿宋_GB2312" w:hAnsi="仿宋_GB2312" w:eastAsia="仿宋_GB2312" w:cs="仿宋_GB2312"/>
          <w:color w:val="auto"/>
          <w:kern w:val="2"/>
          <w:sz w:val="32"/>
          <w:szCs w:val="32"/>
          <w:lang w:val="en-US" w:eastAsia="zh-CN" w:bidi="ar-SA"/>
        </w:rPr>
        <w:t>。</w:t>
      </w:r>
    </w:p>
    <w:p w14:paraId="12A769D5">
      <w:pPr>
        <w:spacing w:line="440" w:lineRule="exact"/>
        <w:ind w:firstLine="640" w:firstLineChars="200"/>
        <w:jc w:val="left"/>
        <w:rPr>
          <w:rFonts w:hint="eastAsia" w:ascii="仿宋_GB2312" w:hAnsi="仿宋_GB2312" w:cs="仿宋_GB2312"/>
          <w:kern w:val="0"/>
          <w:szCs w:val="32"/>
        </w:rPr>
      </w:pPr>
    </w:p>
    <w:p w14:paraId="051772A1">
      <w:pPr>
        <w:spacing w:line="440" w:lineRule="exact"/>
        <w:ind w:firstLine="640" w:firstLineChars="200"/>
        <w:jc w:val="left"/>
        <w:rPr>
          <w:rFonts w:hint="eastAsia" w:ascii="仿宋_GB2312" w:hAnsi="仿宋_GB2312" w:cs="仿宋_GB2312"/>
          <w:kern w:val="0"/>
          <w:szCs w:val="32"/>
        </w:rPr>
      </w:pPr>
    </w:p>
    <w:p w14:paraId="5359DC7A">
      <w:pPr>
        <w:spacing w:line="440" w:lineRule="exact"/>
        <w:ind w:firstLine="640" w:firstLineChars="200"/>
        <w:jc w:val="left"/>
        <w:rPr>
          <w:rFonts w:hint="eastAsia" w:ascii="仿宋_GB2312" w:hAnsi="仿宋_GB2312" w:cs="仿宋_GB2312"/>
          <w:kern w:val="0"/>
          <w:szCs w:val="32"/>
        </w:rPr>
      </w:pPr>
    </w:p>
    <w:p w14:paraId="6F0BDD1F">
      <w:pPr>
        <w:spacing w:line="440" w:lineRule="exact"/>
        <w:ind w:firstLine="640" w:firstLineChars="200"/>
        <w:jc w:val="left"/>
        <w:rPr>
          <w:rFonts w:hint="eastAsia" w:ascii="仿宋_GB2312" w:hAnsi="仿宋_GB2312" w:cs="仿宋_GB2312"/>
          <w:kern w:val="0"/>
          <w:szCs w:val="32"/>
        </w:rPr>
      </w:pPr>
    </w:p>
    <w:p w14:paraId="4C917221">
      <w:pPr>
        <w:spacing w:line="440" w:lineRule="exact"/>
        <w:ind w:firstLine="640" w:firstLineChars="200"/>
        <w:jc w:val="left"/>
        <w:rPr>
          <w:rFonts w:hint="eastAsia" w:ascii="仿宋_GB2312" w:hAnsi="仿宋_GB2312" w:cs="仿宋_GB2312"/>
          <w:kern w:val="0"/>
          <w:szCs w:val="32"/>
        </w:rPr>
      </w:pPr>
    </w:p>
    <w:p w14:paraId="2975E120">
      <w:pPr>
        <w:spacing w:line="440" w:lineRule="exact"/>
        <w:ind w:firstLine="640" w:firstLineChars="200"/>
        <w:jc w:val="left"/>
        <w:rPr>
          <w:rFonts w:hint="eastAsia" w:ascii="仿宋_GB2312" w:hAnsi="仿宋_GB2312" w:cs="仿宋_GB2312"/>
          <w:kern w:val="0"/>
          <w:szCs w:val="32"/>
        </w:rPr>
      </w:pPr>
    </w:p>
    <w:p w14:paraId="6076CC8E">
      <w:pPr>
        <w:spacing w:line="440" w:lineRule="exact"/>
        <w:ind w:firstLine="640" w:firstLineChars="200"/>
        <w:jc w:val="left"/>
        <w:rPr>
          <w:rFonts w:hint="eastAsia" w:ascii="仿宋_GB2312" w:hAnsi="仿宋_GB2312" w:cs="仿宋_GB2312"/>
          <w:kern w:val="0"/>
          <w:szCs w:val="32"/>
        </w:rPr>
      </w:pPr>
    </w:p>
    <w:p w14:paraId="67EBBA0B">
      <w:pPr>
        <w:spacing w:line="440" w:lineRule="exact"/>
        <w:ind w:firstLine="640" w:firstLineChars="200"/>
        <w:jc w:val="left"/>
        <w:rPr>
          <w:rFonts w:hint="eastAsia" w:ascii="仿宋_GB2312" w:hAnsi="仿宋_GB2312" w:cs="仿宋_GB2312"/>
          <w:kern w:val="0"/>
          <w:szCs w:val="32"/>
        </w:rPr>
      </w:pPr>
    </w:p>
    <w:p w14:paraId="12740AAF">
      <w:pPr>
        <w:spacing w:line="440" w:lineRule="exact"/>
        <w:ind w:firstLine="640" w:firstLineChars="200"/>
        <w:jc w:val="left"/>
        <w:rPr>
          <w:rFonts w:hint="eastAsia" w:ascii="仿宋_GB2312" w:hAnsi="仿宋_GB2312" w:cs="仿宋_GB2312"/>
          <w:kern w:val="0"/>
          <w:szCs w:val="32"/>
        </w:rPr>
      </w:pPr>
    </w:p>
    <w:p w14:paraId="402299E3">
      <w:pPr>
        <w:spacing w:line="440" w:lineRule="exact"/>
        <w:ind w:firstLine="640" w:firstLineChars="200"/>
        <w:jc w:val="left"/>
        <w:rPr>
          <w:rFonts w:hint="eastAsia" w:ascii="仿宋_GB2312" w:hAnsi="仿宋_GB2312" w:cs="仿宋_GB2312"/>
          <w:kern w:val="0"/>
          <w:szCs w:val="32"/>
        </w:rPr>
      </w:pPr>
    </w:p>
    <w:p w14:paraId="3966B61A">
      <w:pPr>
        <w:spacing w:line="440" w:lineRule="exact"/>
        <w:ind w:firstLine="640" w:firstLineChars="200"/>
        <w:jc w:val="left"/>
        <w:rPr>
          <w:rFonts w:hint="eastAsia" w:ascii="仿宋_GB2312" w:hAnsi="仿宋_GB2312" w:cs="仿宋_GB2312"/>
          <w:kern w:val="0"/>
          <w:szCs w:val="32"/>
        </w:rPr>
      </w:pPr>
    </w:p>
    <w:p w14:paraId="51331D1B">
      <w:pPr>
        <w:spacing w:line="440" w:lineRule="exact"/>
        <w:ind w:firstLine="640" w:firstLineChars="200"/>
        <w:jc w:val="left"/>
        <w:rPr>
          <w:rFonts w:hint="eastAsia" w:ascii="仿宋_GB2312" w:hAnsi="仿宋_GB2312" w:cs="仿宋_GB2312"/>
          <w:kern w:val="0"/>
          <w:szCs w:val="32"/>
        </w:rPr>
      </w:pPr>
    </w:p>
    <w:p w14:paraId="69B055E0">
      <w:pPr>
        <w:spacing w:line="440" w:lineRule="exact"/>
        <w:ind w:firstLine="640" w:firstLineChars="200"/>
        <w:jc w:val="left"/>
        <w:rPr>
          <w:rFonts w:hint="eastAsia" w:ascii="仿宋_GB2312" w:hAnsi="仿宋_GB2312" w:cs="仿宋_GB2312"/>
          <w:kern w:val="0"/>
          <w:szCs w:val="32"/>
        </w:rPr>
      </w:pPr>
    </w:p>
    <w:p w14:paraId="30063801">
      <w:pPr>
        <w:spacing w:line="440" w:lineRule="exact"/>
        <w:ind w:firstLine="640" w:firstLineChars="200"/>
        <w:jc w:val="left"/>
        <w:rPr>
          <w:rFonts w:hint="eastAsia" w:ascii="仿宋_GB2312" w:hAnsi="仿宋_GB2312" w:cs="仿宋_GB2312"/>
          <w:kern w:val="0"/>
          <w:szCs w:val="32"/>
        </w:rPr>
      </w:pPr>
    </w:p>
    <w:p w14:paraId="47B3537F">
      <w:pPr>
        <w:spacing w:line="440" w:lineRule="exact"/>
        <w:ind w:firstLine="640" w:firstLineChars="200"/>
        <w:jc w:val="left"/>
        <w:rPr>
          <w:rFonts w:hint="eastAsia" w:ascii="仿宋_GB2312" w:hAnsi="仿宋_GB2312" w:cs="仿宋_GB2312"/>
          <w:kern w:val="0"/>
          <w:szCs w:val="32"/>
        </w:rPr>
      </w:pPr>
    </w:p>
    <w:p w14:paraId="75C3CA99">
      <w:pPr>
        <w:spacing w:line="440" w:lineRule="exact"/>
        <w:ind w:firstLine="640" w:firstLineChars="200"/>
        <w:jc w:val="left"/>
        <w:rPr>
          <w:rFonts w:hint="eastAsia" w:ascii="仿宋_GB2312" w:hAnsi="仿宋_GB2312" w:cs="仿宋_GB2312"/>
          <w:kern w:val="0"/>
          <w:szCs w:val="32"/>
        </w:rPr>
      </w:pPr>
    </w:p>
    <w:p w14:paraId="3F97B69F">
      <w:pPr>
        <w:spacing w:line="440" w:lineRule="exact"/>
        <w:ind w:firstLine="640" w:firstLineChars="200"/>
        <w:jc w:val="left"/>
        <w:rPr>
          <w:rFonts w:hint="eastAsia" w:ascii="仿宋_GB2312" w:hAnsi="仿宋_GB2312" w:cs="仿宋_GB2312"/>
          <w:kern w:val="0"/>
          <w:szCs w:val="32"/>
        </w:rPr>
      </w:pPr>
    </w:p>
    <w:p w14:paraId="7D7E0993">
      <w:pPr>
        <w:spacing w:line="440" w:lineRule="exact"/>
        <w:ind w:firstLine="640" w:firstLineChars="200"/>
        <w:jc w:val="left"/>
        <w:rPr>
          <w:rFonts w:hint="eastAsia" w:ascii="仿宋_GB2312" w:hAnsi="仿宋_GB2312" w:cs="仿宋_GB2312"/>
          <w:kern w:val="0"/>
          <w:szCs w:val="32"/>
        </w:rPr>
      </w:pPr>
    </w:p>
    <w:p w14:paraId="7ADE9A4B">
      <w:pPr>
        <w:spacing w:line="440" w:lineRule="exact"/>
        <w:ind w:firstLine="640" w:firstLineChars="200"/>
        <w:jc w:val="left"/>
        <w:rPr>
          <w:rFonts w:hint="eastAsia" w:ascii="仿宋_GB2312" w:hAnsi="仿宋_GB2312" w:cs="仿宋_GB2312"/>
          <w:kern w:val="0"/>
          <w:szCs w:val="32"/>
        </w:rPr>
      </w:pPr>
    </w:p>
    <w:p w14:paraId="1160302B">
      <w:pPr>
        <w:spacing w:line="440" w:lineRule="exact"/>
        <w:ind w:firstLine="640" w:firstLineChars="200"/>
        <w:jc w:val="left"/>
        <w:rPr>
          <w:rFonts w:hint="eastAsia" w:ascii="仿宋_GB2312" w:hAnsi="仿宋_GB2312" w:cs="仿宋_GB2312"/>
          <w:kern w:val="0"/>
          <w:szCs w:val="32"/>
        </w:rPr>
      </w:pPr>
    </w:p>
    <w:p w14:paraId="08F3ABF2">
      <w:pPr>
        <w:spacing w:line="440" w:lineRule="exact"/>
        <w:ind w:firstLine="640" w:firstLineChars="200"/>
        <w:jc w:val="left"/>
        <w:rPr>
          <w:rFonts w:hint="eastAsia" w:ascii="仿宋_GB2312" w:hAnsi="仿宋_GB2312" w:cs="仿宋_GB2312"/>
          <w:kern w:val="0"/>
          <w:szCs w:val="32"/>
        </w:rPr>
      </w:pPr>
    </w:p>
    <w:p w14:paraId="708EADE1">
      <w:pPr>
        <w:overflowPunct w:val="0"/>
        <w:autoSpaceDE w:val="0"/>
        <w:autoSpaceDN w:val="0"/>
        <w:ind w:right="280"/>
        <w:rPr>
          <w:rFonts w:ascii="方正小标宋简体" w:hAnsi="仿宋_GB2312" w:eastAsia="方正小标宋简体"/>
          <w:color w:val="000000"/>
          <w:kern w:val="0"/>
          <w:sz w:val="28"/>
        </w:rPr>
      </w:pPr>
      <w: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363220</wp:posOffset>
                </wp:positionV>
                <wp:extent cx="5615305" cy="635"/>
                <wp:effectExtent l="0" t="0" r="0" b="0"/>
                <wp:wrapNone/>
                <wp:docPr id="4" name="Line 3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3" o:spid="_x0000_s1026" o:spt="20" style="position:absolute;left:0pt;margin-left:0.1pt;margin-top:28.6pt;height:0.05pt;width:442.15pt;z-index:251661312;mso-width-relative:page;mso-height-relative:page;" filled="f" stroked="t" coordsize="21600,21600" o:gfxdata="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uRtINYAAAAGAQAADwAAAAAAAAAB&#10;ACAAAAAiAAAAZHJzL2Rvd25yZXYueG1sUEsBAhQAFAAAAAgAh07iQGfjAx7ZAQAA3wMAAA4AAAAA&#10;AAAAAQAgAAAAJQEAAGRycy9lMm9Eb2MueG1sUEsFBgAAAAAGAAYAWQEAAHAFAAAAAA==&#10;">
                <v:fill on="f" focussize="0,0"/>
                <v:stroke weight="1.25pt" color="#000000" joinstyle="round"/>
                <v:imagedata o:title=""/>
                <o:lock v:ext="edit" aspectratio="f"/>
              </v:line>
            </w:pict>
          </mc:Fallback>
        </mc:AlternateContent>
      </w:r>
      <w:r>
        <w:tab/>
      </w:r>
    </w:p>
    <w:p w14:paraId="0315D1FB">
      <w:pPr>
        <w:tabs>
          <w:tab w:val="left" w:pos="6135"/>
        </w:tabs>
        <w:ind w:firstLine="320" w:firstLineChars="100"/>
        <w:rPr>
          <w:rFonts w:hint="eastAsia"/>
        </w:rPr>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377825</wp:posOffset>
                </wp:positionV>
                <wp:extent cx="5615305" cy="635"/>
                <wp:effectExtent l="0" t="0" r="0" b="0"/>
                <wp:wrapNone/>
                <wp:docPr id="6" name="Line 34"/>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4" o:spid="_x0000_s1026" o:spt="20" style="position:absolute;left:0pt;margin-top:29.75pt;height:0.05pt;width:442.15pt;mso-position-horizontal:left;mso-position-horizontal-relative:margin;z-index:251662336;mso-width-relative:page;mso-height-relative:page;" filled="f" stroked="t" coordsize="21600,21600" o:gfxdata="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wtvXAAAABgEAAA8AAAAAAAAA&#10;AQAgAAAAIgAAAGRycy9kb3ducmV2LnhtbFBLAQIUABQAAAAIAIdO4kBlp/Xi2QEAAN8DAAAOAAAA&#10;AAAAAAEAIAAAACYBAABkcnMvZTJvRG9jLnhtbFBLBQYAAAAABgAGAFkBAABxBQAAAAA=&#10;">
                <v:fill on="f" focussize="0,0"/>
                <v:stroke weight="1.25pt" color="#000000" joinstyle="round"/>
                <v:imagedata o:title=""/>
                <o:lock v:ext="edit" aspectratio="f"/>
              </v:line>
            </w:pict>
          </mc:Fallback>
        </mc:AlternateContent>
      </w:r>
      <w:r>
        <w:rPr>
          <w:rFonts w:hint="eastAsia" w:ascii="仿宋_GB2312" w:hAnsi="宋体" w:cs="宋体"/>
          <w:color w:val="000000"/>
          <w:kern w:val="0"/>
          <w:sz w:val="28"/>
          <w:szCs w:val="28"/>
        </w:rPr>
        <w:t>泉州师范学院</w:t>
      </w:r>
      <w:r>
        <w:rPr>
          <w:rFonts w:hint="eastAsia" w:ascii="仿宋_GB2312" w:hAnsi="宋体" w:cs="宋体"/>
          <w:color w:val="000000"/>
          <w:kern w:val="0"/>
          <w:sz w:val="28"/>
          <w:szCs w:val="28"/>
          <w:lang w:val="en-US" w:eastAsia="zh-CN"/>
        </w:rPr>
        <w:t>党政</w:t>
      </w:r>
      <w:r>
        <w:rPr>
          <w:rFonts w:hint="eastAsia" w:ascii="仿宋_GB2312" w:hAnsi="宋体" w:cs="宋体"/>
          <w:color w:val="000000"/>
          <w:kern w:val="0"/>
          <w:sz w:val="28"/>
          <w:szCs w:val="28"/>
        </w:rPr>
        <w:t xml:space="preserve">办公室                  </w:t>
      </w:r>
      <w:r>
        <w:rPr>
          <w:rFonts w:ascii="仿宋_GB2312" w:hAnsi="宋体" w:cs="宋体"/>
          <w:color w:val="000000"/>
          <w:kern w:val="0"/>
          <w:sz w:val="28"/>
          <w:szCs w:val="28"/>
        </w:rPr>
        <w:t>20</w:t>
      </w:r>
      <w:r>
        <w:rPr>
          <w:rFonts w:hint="eastAsia" w:ascii="仿宋_GB2312" w:hAnsi="宋体" w:cs="宋体"/>
          <w:color w:val="000000"/>
          <w:kern w:val="0"/>
          <w:sz w:val="28"/>
          <w:szCs w:val="28"/>
          <w:lang w:val="en-US" w:eastAsia="zh-CN"/>
        </w:rPr>
        <w:t>24</w:t>
      </w:r>
      <w:r>
        <w:rPr>
          <w:rFonts w:ascii="仿宋_GB2312" w:hAnsi="宋体" w:cs="宋体"/>
          <w:color w:val="000000"/>
          <w:kern w:val="0"/>
          <w:sz w:val="28"/>
          <w:szCs w:val="28"/>
        </w:rPr>
        <w:t>年1</w:t>
      </w:r>
      <w:r>
        <w:rPr>
          <w:rFonts w:hint="eastAsia" w:ascii="仿宋_GB2312" w:hAnsi="宋体" w:cs="宋体"/>
          <w:color w:val="000000"/>
          <w:kern w:val="0"/>
          <w:sz w:val="28"/>
          <w:szCs w:val="28"/>
          <w:lang w:val="en-US" w:eastAsia="zh-CN"/>
        </w:rPr>
        <w:t>0</w:t>
      </w:r>
      <w:r>
        <w:rPr>
          <w:rFonts w:ascii="仿宋_GB2312" w:hAnsi="宋体" w:cs="宋体"/>
          <w:color w:val="000000"/>
          <w:kern w:val="0"/>
          <w:sz w:val="28"/>
          <w:szCs w:val="28"/>
        </w:rPr>
        <w:t>月</w:t>
      </w:r>
      <w:r>
        <w:rPr>
          <w:rFonts w:hint="eastAsia" w:ascii="仿宋_GB2312" w:hAnsi="宋体" w:cs="宋体"/>
          <w:color w:val="000000"/>
          <w:kern w:val="0"/>
          <w:sz w:val="28"/>
          <w:szCs w:val="28"/>
          <w:lang w:val="en-US" w:eastAsia="zh-CN"/>
        </w:rPr>
        <w:t>31</w:t>
      </w:r>
      <w:r>
        <w:rPr>
          <w:rFonts w:hint="eastAsia" w:ascii="仿宋_GB2312" w:hAnsi="宋体" w:cs="宋体"/>
          <w:color w:val="000000"/>
          <w:kern w:val="0"/>
          <w:sz w:val="28"/>
          <w:szCs w:val="28"/>
        </w:rPr>
        <w:t>日印发</w:t>
      </w:r>
      <w:bookmarkStart w:id="34" w:name="抄送"/>
      <w:bookmarkEnd w:id="34"/>
    </w:p>
    <w:sectPr>
      <w:footerReference r:id="rId3"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604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C8B6E">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7C8B6E">
                    <w:pPr>
                      <w:pStyle w:val="3"/>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ljY2RmZWM3YzcyMzJiNmM1ZWJhYWE2NGUwZTIifQ=="/>
  </w:docVars>
  <w:rsids>
    <w:rsidRoot w:val="003A6BDC"/>
    <w:rsid w:val="000D4BBF"/>
    <w:rsid w:val="003A6BDC"/>
    <w:rsid w:val="00413F68"/>
    <w:rsid w:val="006F3DB7"/>
    <w:rsid w:val="00804CAF"/>
    <w:rsid w:val="009341A4"/>
    <w:rsid w:val="00CB5394"/>
    <w:rsid w:val="00D43825"/>
    <w:rsid w:val="00FA1859"/>
    <w:rsid w:val="05DD246D"/>
    <w:rsid w:val="0A227126"/>
    <w:rsid w:val="0C2F1549"/>
    <w:rsid w:val="0C377C04"/>
    <w:rsid w:val="109040C8"/>
    <w:rsid w:val="189D3217"/>
    <w:rsid w:val="19BB266E"/>
    <w:rsid w:val="1F574BE7"/>
    <w:rsid w:val="312D39F9"/>
    <w:rsid w:val="351867F1"/>
    <w:rsid w:val="39597C75"/>
    <w:rsid w:val="3D831B9C"/>
    <w:rsid w:val="5064009D"/>
    <w:rsid w:val="5C0C341B"/>
    <w:rsid w:val="626A7D5A"/>
    <w:rsid w:val="6B1C1E0E"/>
    <w:rsid w:val="72A722F7"/>
    <w:rsid w:val="78564305"/>
    <w:rsid w:val="78D5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9"/>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color w:val="454545"/>
    </w:rPr>
  </w:style>
  <w:style w:type="character" w:customStyle="1" w:styleId="9">
    <w:name w:val="标题 1 Char"/>
    <w:basedOn w:val="7"/>
    <w:link w:val="2"/>
    <w:qFormat/>
    <w:uiPriority w:val="99"/>
    <w:rPr>
      <w:rFonts w:ascii="宋体" w:hAnsi="宋体" w:eastAsia="宋体" w:cs="宋体"/>
      <w:b/>
      <w:bCs/>
      <w:kern w:val="36"/>
      <w:sz w:val="48"/>
      <w:szCs w:val="48"/>
    </w:rPr>
  </w:style>
  <w:style w:type="character" w:customStyle="1" w:styleId="10">
    <w:name w:val="页脚 Char"/>
    <w:basedOn w:val="7"/>
    <w:link w:val="3"/>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1658</Words>
  <Characters>1671</Characters>
  <Lines>44</Lines>
  <Paragraphs>12</Paragraphs>
  <TotalTime>48</TotalTime>
  <ScaleCrop>false</ScaleCrop>
  <LinksUpToDate>false</LinksUpToDate>
  <CharactersWithSpaces>1764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2018-11-15T01:37:00Z</dcterms:created>
  <dc:creator>黄桂程</dc:creator>
  <cp:lastModifiedBy>廖灵旋</cp:lastModifiedBy>
  <dcterms:modified xsi:type="dcterms:W3CDTF">2024-11-18T09:19:44Z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322ED53067344A21A4A0E1F26D02C370</vt:lpwstr>
  </property>
</Properties>
</file>