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FD4" w:rsidRDefault="00FE7FD4" w:rsidP="00FE7FD4">
      <w:pPr>
        <w:jc w:val="center"/>
        <w:rPr>
          <w:rFonts w:ascii="Times New Roman" w:eastAsia="方正小标宋简体" w:hAnsi="Times New Roman"/>
          <w:sz w:val="44"/>
          <w:szCs w:val="44"/>
        </w:rPr>
      </w:pPr>
      <w:r>
        <w:rPr>
          <w:rFonts w:ascii="方正小标宋简体" w:eastAsia="方正小标宋简体" w:hAnsi="Times New Roman" w:hint="eastAsia"/>
          <w:sz w:val="44"/>
          <w:szCs w:val="44"/>
        </w:rPr>
        <w:t>泉州市巾帼文明岗推荐表</w:t>
      </w:r>
    </w:p>
    <w:tbl>
      <w:tblPr>
        <w:tblW w:w="947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1"/>
        <w:gridCol w:w="1275"/>
        <w:gridCol w:w="2693"/>
        <w:gridCol w:w="283"/>
        <w:gridCol w:w="1418"/>
        <w:gridCol w:w="2111"/>
      </w:tblGrid>
      <w:tr w:rsidR="00FE7FD4" w:rsidTr="00FE7FD4">
        <w:trPr>
          <w:trHeight w:val="899"/>
        </w:trPr>
        <w:tc>
          <w:tcPr>
            <w:tcW w:w="1691" w:type="dxa"/>
            <w:tcBorders>
              <w:top w:val="single" w:sz="4" w:space="0" w:color="auto"/>
              <w:left w:val="single" w:sz="4" w:space="0" w:color="auto"/>
              <w:bottom w:val="single" w:sz="4" w:space="0" w:color="auto"/>
              <w:right w:val="single" w:sz="4" w:space="0" w:color="auto"/>
            </w:tcBorders>
            <w:vAlign w:val="center"/>
            <w:hideMark/>
          </w:tcPr>
          <w:p w:rsidR="00FE7FD4" w:rsidRDefault="00FE7FD4" w:rsidP="00FE7FD4">
            <w:pPr>
              <w:spacing w:line="360" w:lineRule="exact"/>
              <w:jc w:val="center"/>
              <w:rPr>
                <w:rFonts w:ascii="Times New Roman" w:eastAsia="仿宋_GB2312" w:hAnsi="Times New Roman"/>
                <w:sz w:val="28"/>
                <w:szCs w:val="28"/>
              </w:rPr>
            </w:pPr>
            <w:r>
              <w:rPr>
                <w:rFonts w:ascii="仿宋_GB2312" w:eastAsia="仿宋_GB2312" w:hAnsi="Times New Roman" w:hint="eastAsia"/>
                <w:sz w:val="28"/>
                <w:szCs w:val="28"/>
              </w:rPr>
              <w:t>单位及岗组名称</w:t>
            </w:r>
          </w:p>
        </w:tc>
        <w:tc>
          <w:tcPr>
            <w:tcW w:w="3968" w:type="dxa"/>
            <w:gridSpan w:val="2"/>
            <w:tcBorders>
              <w:top w:val="single" w:sz="4" w:space="0" w:color="auto"/>
              <w:left w:val="nil"/>
              <w:bottom w:val="single" w:sz="4" w:space="0" w:color="auto"/>
              <w:right w:val="single" w:sz="4" w:space="0" w:color="auto"/>
            </w:tcBorders>
            <w:vAlign w:val="center"/>
            <w:hideMark/>
          </w:tcPr>
          <w:p w:rsidR="00FE7FD4" w:rsidRDefault="00FE7FD4" w:rsidP="00FE7FD4">
            <w:pPr>
              <w:spacing w:line="360" w:lineRule="exact"/>
              <w:jc w:val="center"/>
              <w:rPr>
                <w:rFonts w:ascii="Times New Roman" w:eastAsia="仿宋_GB2312" w:hAnsi="Times New Roman"/>
                <w:sz w:val="28"/>
                <w:szCs w:val="28"/>
              </w:rPr>
            </w:pPr>
            <w:r>
              <w:rPr>
                <w:rFonts w:ascii="仿宋_GB2312" w:eastAsia="仿宋_GB2312" w:hAnsi="Times New Roman" w:hint="eastAsia"/>
                <w:sz w:val="28"/>
                <w:szCs w:val="28"/>
              </w:rPr>
              <w:t>泉州师范学院</w:t>
            </w:r>
          </w:p>
          <w:p w:rsidR="00FE7FD4" w:rsidRDefault="00FE7FD4" w:rsidP="00FE7FD4">
            <w:pPr>
              <w:spacing w:line="360" w:lineRule="exact"/>
              <w:jc w:val="center"/>
              <w:rPr>
                <w:rFonts w:ascii="Times New Roman" w:eastAsia="仿宋_GB2312" w:hAnsi="Times New Roman"/>
                <w:sz w:val="28"/>
                <w:szCs w:val="28"/>
              </w:rPr>
            </w:pPr>
            <w:r>
              <w:rPr>
                <w:rFonts w:ascii="仿宋_GB2312" w:eastAsia="仿宋_GB2312" w:hAnsi="Times New Roman" w:hint="eastAsia"/>
                <w:sz w:val="28"/>
                <w:szCs w:val="28"/>
              </w:rPr>
              <w:t>国际交流与合作处</w:t>
            </w:r>
          </w:p>
        </w:tc>
        <w:tc>
          <w:tcPr>
            <w:tcW w:w="1701" w:type="dxa"/>
            <w:gridSpan w:val="2"/>
            <w:tcBorders>
              <w:top w:val="single" w:sz="4" w:space="0" w:color="auto"/>
              <w:left w:val="nil"/>
              <w:bottom w:val="single" w:sz="4" w:space="0" w:color="auto"/>
              <w:right w:val="single" w:sz="4" w:space="0" w:color="auto"/>
            </w:tcBorders>
            <w:vAlign w:val="center"/>
            <w:hideMark/>
          </w:tcPr>
          <w:p w:rsidR="00FE7FD4" w:rsidRDefault="00FE7FD4" w:rsidP="00FE7FD4">
            <w:pPr>
              <w:spacing w:line="360" w:lineRule="exact"/>
              <w:jc w:val="center"/>
              <w:rPr>
                <w:rFonts w:ascii="Times New Roman" w:eastAsia="仿宋_GB2312" w:hAnsi="Times New Roman"/>
                <w:sz w:val="28"/>
                <w:szCs w:val="28"/>
              </w:rPr>
            </w:pPr>
            <w:r>
              <w:rPr>
                <w:rFonts w:ascii="仿宋_GB2312" w:eastAsia="仿宋_GB2312" w:hAnsi="Times New Roman" w:hint="eastAsia"/>
                <w:sz w:val="28"/>
                <w:szCs w:val="28"/>
              </w:rPr>
              <w:t>电话</w:t>
            </w:r>
          </w:p>
        </w:tc>
        <w:tc>
          <w:tcPr>
            <w:tcW w:w="2111" w:type="dxa"/>
            <w:tcBorders>
              <w:top w:val="single" w:sz="4" w:space="0" w:color="auto"/>
              <w:left w:val="nil"/>
              <w:bottom w:val="single" w:sz="4" w:space="0" w:color="auto"/>
              <w:right w:val="single" w:sz="4" w:space="0" w:color="auto"/>
            </w:tcBorders>
            <w:vAlign w:val="center"/>
            <w:hideMark/>
          </w:tcPr>
          <w:p w:rsidR="00FE7FD4" w:rsidRDefault="00FE7FD4" w:rsidP="00FE7FD4">
            <w:pPr>
              <w:spacing w:line="360" w:lineRule="exact"/>
              <w:ind w:firstLineChars="50" w:firstLine="140"/>
              <w:rPr>
                <w:rFonts w:ascii="Times New Roman" w:eastAsia="仿宋_GB2312" w:hAnsi="Times New Roman"/>
                <w:sz w:val="28"/>
                <w:szCs w:val="28"/>
              </w:rPr>
            </w:pPr>
            <w:r>
              <w:rPr>
                <w:rFonts w:ascii="Times New Roman" w:eastAsia="仿宋_GB2312" w:hAnsi="Times New Roman" w:hint="eastAsia"/>
                <w:sz w:val="28"/>
                <w:szCs w:val="28"/>
              </w:rPr>
              <w:t>22919526</w:t>
            </w:r>
          </w:p>
        </w:tc>
      </w:tr>
      <w:tr w:rsidR="00FE7FD4" w:rsidTr="00FE7FD4">
        <w:trPr>
          <w:trHeight w:val="566"/>
        </w:trPr>
        <w:tc>
          <w:tcPr>
            <w:tcW w:w="1691" w:type="dxa"/>
            <w:tcBorders>
              <w:top w:val="single" w:sz="4" w:space="0" w:color="auto"/>
              <w:left w:val="single" w:sz="4" w:space="0" w:color="auto"/>
              <w:bottom w:val="single" w:sz="4" w:space="0" w:color="auto"/>
              <w:right w:val="single" w:sz="4" w:space="0" w:color="auto"/>
            </w:tcBorders>
            <w:vAlign w:val="center"/>
            <w:hideMark/>
          </w:tcPr>
          <w:p w:rsidR="00FE7FD4" w:rsidRDefault="00FE7FD4" w:rsidP="00FE7FD4">
            <w:pPr>
              <w:spacing w:line="360" w:lineRule="exact"/>
              <w:jc w:val="center"/>
              <w:rPr>
                <w:rFonts w:ascii="Times New Roman" w:eastAsia="仿宋_GB2312" w:hAnsi="Times New Roman"/>
                <w:sz w:val="28"/>
                <w:szCs w:val="28"/>
              </w:rPr>
            </w:pPr>
            <w:r>
              <w:rPr>
                <w:rFonts w:ascii="仿宋_GB2312" w:eastAsia="仿宋_GB2312" w:hAnsi="Times New Roman" w:hint="eastAsia"/>
                <w:sz w:val="28"/>
                <w:szCs w:val="28"/>
              </w:rPr>
              <w:t>通讯地址</w:t>
            </w:r>
          </w:p>
        </w:tc>
        <w:tc>
          <w:tcPr>
            <w:tcW w:w="3968" w:type="dxa"/>
            <w:gridSpan w:val="2"/>
            <w:tcBorders>
              <w:top w:val="single" w:sz="4" w:space="0" w:color="auto"/>
              <w:left w:val="nil"/>
              <w:bottom w:val="single" w:sz="4" w:space="0" w:color="auto"/>
              <w:right w:val="single" w:sz="4" w:space="0" w:color="auto"/>
            </w:tcBorders>
            <w:vAlign w:val="center"/>
            <w:hideMark/>
          </w:tcPr>
          <w:p w:rsidR="00FE7FD4" w:rsidRDefault="00FE7FD4" w:rsidP="00FE7FD4">
            <w:pPr>
              <w:spacing w:line="360" w:lineRule="exact"/>
              <w:jc w:val="center"/>
              <w:rPr>
                <w:rFonts w:ascii="Times New Roman" w:eastAsia="仿宋_GB2312" w:hAnsi="Times New Roman"/>
                <w:sz w:val="28"/>
                <w:szCs w:val="28"/>
              </w:rPr>
            </w:pPr>
            <w:r>
              <w:rPr>
                <w:rFonts w:ascii="仿宋_GB2312" w:eastAsia="仿宋_GB2312" w:hAnsi="Times New Roman" w:hint="eastAsia"/>
                <w:sz w:val="28"/>
                <w:szCs w:val="28"/>
              </w:rPr>
              <w:t>泉州市丰泽区东海大街</w:t>
            </w:r>
            <w:r>
              <w:rPr>
                <w:rFonts w:ascii="Times New Roman" w:eastAsia="仿宋_GB2312" w:hAnsi="Times New Roman" w:hint="eastAsia"/>
                <w:sz w:val="28"/>
                <w:szCs w:val="28"/>
              </w:rPr>
              <w:t>398</w:t>
            </w:r>
            <w:r>
              <w:rPr>
                <w:rFonts w:ascii="仿宋_GB2312" w:eastAsia="仿宋_GB2312" w:hAnsi="Times New Roman" w:hint="eastAsia"/>
                <w:sz w:val="28"/>
                <w:szCs w:val="28"/>
              </w:rPr>
              <w:t>号</w:t>
            </w:r>
          </w:p>
        </w:tc>
        <w:tc>
          <w:tcPr>
            <w:tcW w:w="1701" w:type="dxa"/>
            <w:gridSpan w:val="2"/>
            <w:tcBorders>
              <w:top w:val="single" w:sz="4" w:space="0" w:color="auto"/>
              <w:left w:val="nil"/>
              <w:bottom w:val="single" w:sz="4" w:space="0" w:color="auto"/>
              <w:right w:val="single" w:sz="4" w:space="0" w:color="auto"/>
            </w:tcBorders>
            <w:vAlign w:val="center"/>
            <w:hideMark/>
          </w:tcPr>
          <w:p w:rsidR="00FE7FD4" w:rsidRDefault="00FE7FD4" w:rsidP="00FE7FD4">
            <w:pPr>
              <w:spacing w:line="360" w:lineRule="exact"/>
              <w:jc w:val="center"/>
              <w:rPr>
                <w:rFonts w:ascii="Times New Roman" w:eastAsia="仿宋_GB2312" w:hAnsi="Times New Roman"/>
                <w:sz w:val="28"/>
                <w:szCs w:val="28"/>
              </w:rPr>
            </w:pPr>
            <w:r>
              <w:rPr>
                <w:rFonts w:ascii="仿宋_GB2312" w:eastAsia="仿宋_GB2312" w:hAnsi="Times New Roman" w:hint="eastAsia"/>
                <w:sz w:val="28"/>
                <w:szCs w:val="28"/>
              </w:rPr>
              <w:t>邮编</w:t>
            </w:r>
          </w:p>
        </w:tc>
        <w:tc>
          <w:tcPr>
            <w:tcW w:w="2111" w:type="dxa"/>
            <w:tcBorders>
              <w:top w:val="single" w:sz="4" w:space="0" w:color="auto"/>
              <w:left w:val="nil"/>
              <w:bottom w:val="single" w:sz="4" w:space="0" w:color="auto"/>
              <w:right w:val="single" w:sz="4" w:space="0" w:color="auto"/>
            </w:tcBorders>
            <w:vAlign w:val="center"/>
            <w:hideMark/>
          </w:tcPr>
          <w:p w:rsidR="00FE7FD4" w:rsidRDefault="00FE7FD4" w:rsidP="00FE7FD4">
            <w:pPr>
              <w:spacing w:line="360" w:lineRule="exact"/>
              <w:jc w:val="center"/>
              <w:rPr>
                <w:rFonts w:ascii="Times New Roman" w:eastAsia="仿宋_GB2312" w:hAnsi="Times New Roman"/>
                <w:sz w:val="28"/>
                <w:szCs w:val="28"/>
              </w:rPr>
            </w:pPr>
            <w:r>
              <w:rPr>
                <w:rFonts w:ascii="Times New Roman" w:eastAsia="仿宋_GB2312" w:hAnsi="Times New Roman" w:hint="eastAsia"/>
                <w:sz w:val="28"/>
                <w:szCs w:val="28"/>
              </w:rPr>
              <w:t>362000</w:t>
            </w:r>
          </w:p>
        </w:tc>
      </w:tr>
      <w:tr w:rsidR="00FE7FD4" w:rsidTr="00FE7FD4">
        <w:trPr>
          <w:trHeight w:val="688"/>
        </w:trPr>
        <w:tc>
          <w:tcPr>
            <w:tcW w:w="1691" w:type="dxa"/>
            <w:tcBorders>
              <w:top w:val="single" w:sz="4" w:space="0" w:color="auto"/>
              <w:left w:val="single" w:sz="4" w:space="0" w:color="auto"/>
              <w:bottom w:val="single" w:sz="4" w:space="0" w:color="auto"/>
              <w:right w:val="single" w:sz="4" w:space="0" w:color="auto"/>
            </w:tcBorders>
            <w:vAlign w:val="center"/>
            <w:hideMark/>
          </w:tcPr>
          <w:p w:rsidR="00FE7FD4" w:rsidRDefault="00FE7FD4" w:rsidP="00FE7FD4">
            <w:pPr>
              <w:spacing w:line="360" w:lineRule="exact"/>
              <w:jc w:val="center"/>
              <w:rPr>
                <w:rFonts w:ascii="Times New Roman" w:eastAsia="仿宋_GB2312" w:hAnsi="Times New Roman"/>
                <w:sz w:val="28"/>
                <w:szCs w:val="28"/>
              </w:rPr>
            </w:pPr>
            <w:r>
              <w:rPr>
                <w:rFonts w:ascii="仿宋_GB2312" w:eastAsia="仿宋_GB2312" w:hAnsi="Times New Roman" w:hint="eastAsia"/>
                <w:sz w:val="28"/>
                <w:szCs w:val="28"/>
              </w:rPr>
              <w:t>岗位负责人姓名职务</w:t>
            </w:r>
          </w:p>
        </w:tc>
        <w:tc>
          <w:tcPr>
            <w:tcW w:w="3968" w:type="dxa"/>
            <w:gridSpan w:val="2"/>
            <w:tcBorders>
              <w:top w:val="single" w:sz="4" w:space="0" w:color="auto"/>
              <w:left w:val="nil"/>
              <w:bottom w:val="single" w:sz="4" w:space="0" w:color="auto"/>
              <w:right w:val="single" w:sz="4" w:space="0" w:color="auto"/>
            </w:tcBorders>
            <w:vAlign w:val="center"/>
            <w:hideMark/>
          </w:tcPr>
          <w:p w:rsidR="00FE7FD4" w:rsidRDefault="00FE7FD4" w:rsidP="00FE7FD4">
            <w:pPr>
              <w:spacing w:line="360" w:lineRule="exact"/>
              <w:jc w:val="center"/>
              <w:rPr>
                <w:rFonts w:ascii="Times New Roman" w:eastAsia="仿宋_GB2312" w:hAnsi="Times New Roman"/>
                <w:sz w:val="28"/>
                <w:szCs w:val="28"/>
              </w:rPr>
            </w:pPr>
            <w:r>
              <w:rPr>
                <w:rFonts w:ascii="仿宋_GB2312" w:eastAsia="仿宋_GB2312" w:hAnsi="Times New Roman" w:hint="eastAsia"/>
                <w:sz w:val="28"/>
                <w:szCs w:val="28"/>
              </w:rPr>
              <w:t>许琦红</w:t>
            </w:r>
          </w:p>
          <w:p w:rsidR="00FE7FD4" w:rsidRDefault="00FE7FD4" w:rsidP="00FE7FD4">
            <w:pPr>
              <w:spacing w:line="360" w:lineRule="exact"/>
              <w:jc w:val="center"/>
              <w:rPr>
                <w:rFonts w:ascii="Times New Roman" w:eastAsia="仿宋_GB2312" w:hAnsi="Times New Roman"/>
                <w:sz w:val="28"/>
                <w:szCs w:val="28"/>
              </w:rPr>
            </w:pPr>
            <w:r>
              <w:rPr>
                <w:rFonts w:ascii="仿宋_GB2312" w:eastAsia="仿宋_GB2312" w:hAnsi="Times New Roman" w:hint="eastAsia"/>
                <w:sz w:val="28"/>
                <w:szCs w:val="28"/>
              </w:rPr>
              <w:t>国际交流与合作处处长</w:t>
            </w:r>
          </w:p>
        </w:tc>
        <w:tc>
          <w:tcPr>
            <w:tcW w:w="1701" w:type="dxa"/>
            <w:gridSpan w:val="2"/>
            <w:tcBorders>
              <w:top w:val="single" w:sz="4" w:space="0" w:color="auto"/>
              <w:left w:val="nil"/>
              <w:bottom w:val="single" w:sz="4" w:space="0" w:color="auto"/>
              <w:right w:val="single" w:sz="4" w:space="0" w:color="auto"/>
            </w:tcBorders>
            <w:vAlign w:val="center"/>
            <w:hideMark/>
          </w:tcPr>
          <w:p w:rsidR="00FE7FD4" w:rsidRDefault="00FE7FD4" w:rsidP="00FE7FD4">
            <w:pPr>
              <w:spacing w:line="360" w:lineRule="exact"/>
              <w:jc w:val="center"/>
              <w:rPr>
                <w:rFonts w:ascii="Times New Roman" w:eastAsia="仿宋_GB2312" w:hAnsi="Times New Roman"/>
                <w:sz w:val="28"/>
                <w:szCs w:val="28"/>
              </w:rPr>
            </w:pPr>
            <w:r>
              <w:rPr>
                <w:rFonts w:ascii="仿宋_GB2312" w:eastAsia="仿宋_GB2312" w:hAnsi="Times New Roman" w:hint="eastAsia"/>
                <w:sz w:val="28"/>
                <w:szCs w:val="28"/>
              </w:rPr>
              <w:t>女性成员</w:t>
            </w:r>
          </w:p>
          <w:p w:rsidR="00FE7FD4" w:rsidRDefault="00FE7FD4" w:rsidP="00FE7FD4">
            <w:pPr>
              <w:spacing w:line="360" w:lineRule="exact"/>
              <w:jc w:val="center"/>
              <w:rPr>
                <w:rFonts w:ascii="Times New Roman" w:eastAsia="仿宋_GB2312" w:hAnsi="Times New Roman"/>
                <w:sz w:val="28"/>
                <w:szCs w:val="28"/>
              </w:rPr>
            </w:pPr>
            <w:r>
              <w:rPr>
                <w:rFonts w:ascii="仿宋_GB2312" w:eastAsia="仿宋_GB2312" w:hAnsi="Times New Roman" w:hint="eastAsia"/>
                <w:sz w:val="28"/>
                <w:szCs w:val="28"/>
              </w:rPr>
              <w:t>人数及占比</w:t>
            </w:r>
          </w:p>
        </w:tc>
        <w:tc>
          <w:tcPr>
            <w:tcW w:w="2111" w:type="dxa"/>
            <w:tcBorders>
              <w:top w:val="single" w:sz="4" w:space="0" w:color="auto"/>
              <w:left w:val="nil"/>
              <w:bottom w:val="single" w:sz="4" w:space="0" w:color="auto"/>
              <w:right w:val="single" w:sz="4" w:space="0" w:color="auto"/>
            </w:tcBorders>
            <w:vAlign w:val="center"/>
            <w:hideMark/>
          </w:tcPr>
          <w:p w:rsidR="00FE7FD4" w:rsidRDefault="00FE7FD4" w:rsidP="00FE7FD4">
            <w:pPr>
              <w:spacing w:line="360" w:lineRule="exact"/>
              <w:jc w:val="center"/>
              <w:rPr>
                <w:rFonts w:ascii="Times New Roman" w:eastAsia="仿宋_GB2312" w:hAnsi="Times New Roman"/>
                <w:sz w:val="28"/>
                <w:szCs w:val="28"/>
              </w:rPr>
            </w:pPr>
            <w:r>
              <w:rPr>
                <w:rFonts w:ascii="Times New Roman" w:eastAsia="仿宋_GB2312" w:hAnsi="Times New Roman" w:hint="eastAsia"/>
                <w:sz w:val="28"/>
                <w:szCs w:val="28"/>
              </w:rPr>
              <w:t>100%</w:t>
            </w:r>
          </w:p>
        </w:tc>
      </w:tr>
      <w:tr w:rsidR="00FE7FD4" w:rsidTr="00FE7FD4">
        <w:trPr>
          <w:trHeight w:val="5906"/>
        </w:trPr>
        <w:tc>
          <w:tcPr>
            <w:tcW w:w="1691" w:type="dxa"/>
            <w:tcBorders>
              <w:top w:val="single" w:sz="4" w:space="0" w:color="auto"/>
              <w:left w:val="single" w:sz="4" w:space="0" w:color="auto"/>
              <w:bottom w:val="single" w:sz="4" w:space="0" w:color="auto"/>
              <w:right w:val="single" w:sz="4" w:space="0" w:color="auto"/>
            </w:tcBorders>
            <w:vAlign w:val="center"/>
          </w:tcPr>
          <w:p w:rsidR="00FE7FD4" w:rsidRDefault="00FE7FD4">
            <w:pPr>
              <w:jc w:val="center"/>
              <w:rPr>
                <w:rFonts w:ascii="Times New Roman" w:eastAsia="仿宋_GB2312" w:hAnsi="Times New Roman"/>
                <w:sz w:val="28"/>
                <w:szCs w:val="28"/>
              </w:rPr>
            </w:pPr>
            <w:r>
              <w:rPr>
                <w:rFonts w:ascii="仿宋_GB2312" w:eastAsia="仿宋_GB2312" w:hAnsi="Times New Roman" w:hint="eastAsia"/>
                <w:sz w:val="28"/>
                <w:szCs w:val="28"/>
              </w:rPr>
              <w:t>主</w:t>
            </w:r>
          </w:p>
          <w:p w:rsidR="00FE7FD4" w:rsidRDefault="00FE7FD4">
            <w:pPr>
              <w:jc w:val="center"/>
              <w:rPr>
                <w:rFonts w:ascii="Times New Roman" w:eastAsia="仿宋_GB2312" w:hAnsi="Times New Roman"/>
                <w:sz w:val="28"/>
                <w:szCs w:val="28"/>
              </w:rPr>
            </w:pPr>
            <w:r>
              <w:rPr>
                <w:rFonts w:ascii="仿宋_GB2312" w:eastAsia="仿宋_GB2312" w:hAnsi="Times New Roman" w:hint="eastAsia"/>
                <w:sz w:val="28"/>
                <w:szCs w:val="28"/>
              </w:rPr>
              <w:t>要</w:t>
            </w:r>
          </w:p>
          <w:p w:rsidR="00FE7FD4" w:rsidRDefault="00FE7FD4">
            <w:pPr>
              <w:jc w:val="center"/>
              <w:rPr>
                <w:rFonts w:ascii="Times New Roman" w:eastAsia="仿宋_GB2312" w:hAnsi="Times New Roman"/>
                <w:sz w:val="28"/>
                <w:szCs w:val="28"/>
              </w:rPr>
            </w:pPr>
            <w:r>
              <w:rPr>
                <w:rFonts w:ascii="仿宋_GB2312" w:eastAsia="仿宋_GB2312" w:hAnsi="Times New Roman" w:hint="eastAsia"/>
                <w:sz w:val="28"/>
                <w:szCs w:val="28"/>
              </w:rPr>
              <w:t>事</w:t>
            </w:r>
          </w:p>
          <w:p w:rsidR="00FE7FD4" w:rsidRDefault="00FE7FD4">
            <w:pPr>
              <w:jc w:val="center"/>
              <w:rPr>
                <w:rFonts w:ascii="Times New Roman" w:eastAsia="仿宋_GB2312" w:hAnsi="Times New Roman"/>
                <w:sz w:val="28"/>
                <w:szCs w:val="28"/>
              </w:rPr>
            </w:pPr>
            <w:proofErr w:type="gramStart"/>
            <w:r>
              <w:rPr>
                <w:rFonts w:ascii="仿宋_GB2312" w:eastAsia="仿宋_GB2312" w:hAnsi="Times New Roman" w:hint="eastAsia"/>
                <w:sz w:val="28"/>
                <w:szCs w:val="28"/>
              </w:rPr>
              <w:t>迹</w:t>
            </w:r>
            <w:proofErr w:type="gramEnd"/>
          </w:p>
          <w:p w:rsidR="00FE7FD4" w:rsidRDefault="00FE7FD4">
            <w:pPr>
              <w:jc w:val="center"/>
              <w:rPr>
                <w:rFonts w:ascii="Times New Roman" w:eastAsia="仿宋_GB2312" w:hAnsi="Times New Roman"/>
                <w:spacing w:val="-12"/>
                <w:sz w:val="28"/>
                <w:szCs w:val="28"/>
              </w:rPr>
            </w:pPr>
          </w:p>
          <w:p w:rsidR="00FE7FD4" w:rsidRDefault="00FE7FD4">
            <w:pPr>
              <w:jc w:val="center"/>
              <w:rPr>
                <w:rFonts w:ascii="Times New Roman" w:eastAsia="仿宋_GB2312" w:hAnsi="Times New Roman"/>
                <w:sz w:val="28"/>
                <w:szCs w:val="28"/>
              </w:rPr>
            </w:pPr>
          </w:p>
        </w:tc>
        <w:tc>
          <w:tcPr>
            <w:tcW w:w="7780" w:type="dxa"/>
            <w:gridSpan w:val="5"/>
            <w:tcBorders>
              <w:top w:val="single" w:sz="4" w:space="0" w:color="auto"/>
              <w:left w:val="nil"/>
              <w:bottom w:val="single" w:sz="4" w:space="0" w:color="auto"/>
              <w:right w:val="single" w:sz="4" w:space="0" w:color="auto"/>
            </w:tcBorders>
            <w:vAlign w:val="center"/>
            <w:hideMark/>
          </w:tcPr>
          <w:p w:rsidR="00FE7FD4" w:rsidRDefault="00FE7FD4">
            <w:pPr>
              <w:autoSpaceDE w:val="0"/>
              <w:spacing w:line="320" w:lineRule="exact"/>
              <w:ind w:firstLineChars="200" w:firstLine="480"/>
              <w:rPr>
                <w:rFonts w:ascii="仿宋_GB2312" w:eastAsia="仿宋_GB2312"/>
                <w:color w:val="000000"/>
                <w:sz w:val="24"/>
                <w:szCs w:val="24"/>
              </w:rPr>
            </w:pPr>
            <w:r>
              <w:rPr>
                <w:rFonts w:ascii="仿宋_GB2312" w:eastAsia="仿宋_GB2312" w:hint="eastAsia"/>
                <w:color w:val="000000"/>
                <w:sz w:val="24"/>
                <w:szCs w:val="24"/>
              </w:rPr>
              <w:t>泉州师范学院国际交流与合作处在近年来的工作中，把争创“巾帼文明岗”活动作为精神文明建设的重要内容，部门现有5人，均为女职工，在工作中充分发挥积极性和创造性，为学校对外交流合作</w:t>
            </w:r>
            <w:proofErr w:type="gramStart"/>
            <w:r>
              <w:rPr>
                <w:rFonts w:ascii="仿宋_GB2312" w:eastAsia="仿宋_GB2312" w:hint="eastAsia"/>
                <w:color w:val="000000"/>
                <w:sz w:val="24"/>
                <w:szCs w:val="24"/>
              </w:rPr>
              <w:t>搭建多元</w:t>
            </w:r>
            <w:proofErr w:type="gramEnd"/>
            <w:r>
              <w:rPr>
                <w:rFonts w:ascii="仿宋_GB2312" w:eastAsia="仿宋_GB2312" w:hint="eastAsia"/>
                <w:color w:val="000000"/>
                <w:sz w:val="24"/>
                <w:szCs w:val="24"/>
              </w:rPr>
              <w:t>平台，服务</w:t>
            </w:r>
            <w:proofErr w:type="gramStart"/>
            <w:r>
              <w:rPr>
                <w:rFonts w:ascii="仿宋_GB2312" w:eastAsia="仿宋_GB2312" w:hint="eastAsia"/>
                <w:color w:val="000000"/>
                <w:sz w:val="24"/>
                <w:szCs w:val="24"/>
              </w:rPr>
              <w:t>泉州海丝门户</w:t>
            </w:r>
            <w:proofErr w:type="gramEnd"/>
            <w:r>
              <w:rPr>
                <w:rFonts w:ascii="仿宋_GB2312" w:eastAsia="仿宋_GB2312" w:hint="eastAsia"/>
                <w:color w:val="000000"/>
                <w:sz w:val="24"/>
                <w:szCs w:val="24"/>
              </w:rPr>
              <w:t>城市建设，取得一定业绩。</w:t>
            </w:r>
          </w:p>
          <w:p w:rsidR="00FE7FD4" w:rsidRDefault="00FE7FD4">
            <w:pPr>
              <w:autoSpaceDE w:val="0"/>
              <w:spacing w:line="320" w:lineRule="exact"/>
              <w:ind w:firstLineChars="200" w:firstLine="480"/>
              <w:rPr>
                <w:rFonts w:ascii="黑体" w:eastAsia="黑体" w:hAnsi="黑体" w:hint="eastAsia"/>
                <w:color w:val="000000"/>
                <w:sz w:val="24"/>
                <w:szCs w:val="24"/>
              </w:rPr>
            </w:pPr>
            <w:r>
              <w:rPr>
                <w:rFonts w:ascii="黑体" w:eastAsia="黑体" w:hAnsi="黑体" w:hint="eastAsia"/>
                <w:color w:val="000000"/>
                <w:sz w:val="24"/>
                <w:szCs w:val="24"/>
              </w:rPr>
              <w:t>一、强化学习，树立巾帼形象</w:t>
            </w:r>
          </w:p>
          <w:p w:rsidR="00FE7FD4" w:rsidRDefault="00FE7FD4">
            <w:pPr>
              <w:autoSpaceDE w:val="0"/>
              <w:spacing w:line="320" w:lineRule="exact"/>
              <w:ind w:firstLineChars="200" w:firstLine="480"/>
              <w:rPr>
                <w:rFonts w:ascii="仿宋_GB2312" w:eastAsia="仿宋_GB2312" w:hint="eastAsia"/>
                <w:color w:val="000000"/>
                <w:sz w:val="24"/>
                <w:szCs w:val="24"/>
              </w:rPr>
            </w:pPr>
            <w:r>
              <w:rPr>
                <w:rFonts w:ascii="仿宋_GB2312" w:eastAsia="仿宋_GB2312" w:hint="eastAsia"/>
                <w:color w:val="000000"/>
                <w:sz w:val="24"/>
                <w:szCs w:val="24"/>
              </w:rPr>
              <w:t>部门一直以来把创立“巾帼文明岗”作为一面旗帜，以“热情服务、有礼有节、团结协作、甘于奉献”的态度投身工作中，保障学校对外交流工作顺利开展，树立良好的部门形象。重视开展学习活动，营造巾帼文明</w:t>
            </w:r>
            <w:proofErr w:type="gramStart"/>
            <w:r>
              <w:rPr>
                <w:rFonts w:ascii="仿宋_GB2312" w:eastAsia="仿宋_GB2312" w:hint="eastAsia"/>
                <w:color w:val="000000"/>
                <w:sz w:val="24"/>
                <w:szCs w:val="24"/>
              </w:rPr>
              <w:t>岗创建</w:t>
            </w:r>
            <w:proofErr w:type="gramEnd"/>
            <w:r>
              <w:rPr>
                <w:rFonts w:ascii="仿宋_GB2312" w:eastAsia="仿宋_GB2312" w:hint="eastAsia"/>
                <w:color w:val="000000"/>
                <w:sz w:val="24"/>
                <w:szCs w:val="24"/>
              </w:rPr>
              <w:t>氛围，坚持以习近平新时代中国特色社会主义思想和党的二十大精神为指引，深入学习贯彻习近平总书记推动构建新型国际关系、构建人类命运共同体的重要外交思想和论述，以及国家外交战略、对外方针政策和外事纪律规章制度，强化外事无小事和涉外安全意识，落实涉外意识形态管理，在师生出国（境）活动和邀请国境外人入校交流等工作中严格把关；积极配合上级外事部门和安全部门开展涉外安全工作宣传、教育和防范工作。</w:t>
            </w:r>
          </w:p>
          <w:p w:rsidR="00FE7FD4" w:rsidRDefault="00FE7FD4">
            <w:pPr>
              <w:autoSpaceDE w:val="0"/>
              <w:spacing w:line="320" w:lineRule="exact"/>
              <w:ind w:firstLineChars="200" w:firstLine="480"/>
              <w:rPr>
                <w:rFonts w:ascii="黑体" w:eastAsia="黑体" w:hAnsi="黑体" w:hint="eastAsia"/>
                <w:color w:val="000000"/>
                <w:sz w:val="24"/>
                <w:szCs w:val="24"/>
              </w:rPr>
            </w:pPr>
            <w:r>
              <w:rPr>
                <w:rFonts w:ascii="黑体" w:eastAsia="黑体" w:hAnsi="黑体" w:hint="eastAsia"/>
                <w:color w:val="000000"/>
                <w:sz w:val="24"/>
                <w:szCs w:val="24"/>
              </w:rPr>
              <w:t>二、争创业绩，展现巾帼担当</w:t>
            </w:r>
          </w:p>
          <w:p w:rsidR="00FE7FD4" w:rsidRDefault="00FE7FD4">
            <w:pPr>
              <w:autoSpaceDE w:val="0"/>
              <w:spacing w:line="320" w:lineRule="exact"/>
              <w:ind w:firstLineChars="200" w:firstLine="482"/>
              <w:rPr>
                <w:rFonts w:ascii="仿宋_GB2312" w:eastAsia="仿宋_GB2312" w:hint="eastAsia"/>
                <w:color w:val="000000"/>
                <w:sz w:val="24"/>
                <w:szCs w:val="24"/>
              </w:rPr>
            </w:pPr>
            <w:r>
              <w:rPr>
                <w:rFonts w:ascii="仿宋_GB2312" w:eastAsia="仿宋_GB2312" w:hint="eastAsia"/>
                <w:b/>
                <w:bCs/>
                <w:color w:val="000000"/>
                <w:sz w:val="24"/>
                <w:szCs w:val="24"/>
              </w:rPr>
              <w:t>（一）拓展对外交流合作。</w:t>
            </w:r>
            <w:r>
              <w:rPr>
                <w:rFonts w:ascii="仿宋_GB2312" w:eastAsia="仿宋_GB2312" w:hint="eastAsia"/>
                <w:color w:val="000000"/>
                <w:sz w:val="24"/>
                <w:szCs w:val="24"/>
              </w:rPr>
              <w:t>近年来，推进学校与70多所国（境）外高校及机构建立交流合作；接待800多名国（境）外专家、学者、青年来校交流；服务1000多名师生出国（境）交流学习。2018年校庆期间，做好重要外宾的接待工作，塑造学校良好的对外形象。服务地方产业需求，推动学校与法国里昂商学院、泉州市企业和企业家联合会签订三方合作备忘录，合作举办</w:t>
            </w:r>
            <w:proofErr w:type="gramStart"/>
            <w:r>
              <w:rPr>
                <w:rFonts w:ascii="仿宋_GB2312" w:eastAsia="仿宋_GB2312" w:hint="eastAsia"/>
                <w:color w:val="000000"/>
                <w:sz w:val="24"/>
                <w:szCs w:val="24"/>
              </w:rPr>
              <w:t>海丝体育</w:t>
            </w:r>
            <w:proofErr w:type="gramEnd"/>
            <w:r>
              <w:rPr>
                <w:rFonts w:ascii="仿宋_GB2312" w:eastAsia="仿宋_GB2312" w:hint="eastAsia"/>
                <w:color w:val="000000"/>
                <w:sz w:val="24"/>
                <w:szCs w:val="24"/>
              </w:rPr>
              <w:t>产业学术研讨会；与巴西沙足围绕足球文化推广开展合作。疫情期间，积极寻求资源，推进学校与美国密歇根州立大学、香港教育大学等境外高校建立合作关系，选派学生参加境外合作高校线上交流项目，组织申报的工业机器人技能人才国际训练基地入选教育部人文交流中心2022年未来技术技能与人文交流人才国际训练基地项目。</w:t>
            </w:r>
          </w:p>
          <w:p w:rsidR="00FE7FD4" w:rsidRDefault="00FE7FD4">
            <w:pPr>
              <w:autoSpaceDE w:val="0"/>
              <w:spacing w:line="320" w:lineRule="exact"/>
              <w:ind w:firstLineChars="200" w:firstLine="482"/>
              <w:rPr>
                <w:rFonts w:ascii="仿宋_GB2312" w:eastAsia="仿宋_GB2312" w:hint="eastAsia"/>
                <w:color w:val="000000"/>
                <w:sz w:val="24"/>
                <w:szCs w:val="24"/>
              </w:rPr>
            </w:pPr>
            <w:r>
              <w:rPr>
                <w:rFonts w:ascii="仿宋_GB2312" w:eastAsia="仿宋_GB2312" w:hint="eastAsia"/>
                <w:b/>
                <w:bCs/>
                <w:color w:val="000000"/>
                <w:sz w:val="24"/>
                <w:szCs w:val="24"/>
              </w:rPr>
              <w:t>（二）致力海外华文教育。</w:t>
            </w:r>
            <w:r>
              <w:rPr>
                <w:rFonts w:ascii="仿宋_GB2312" w:eastAsia="仿宋_GB2312" w:hint="eastAsia"/>
                <w:color w:val="000000"/>
                <w:sz w:val="24"/>
                <w:szCs w:val="24"/>
              </w:rPr>
              <w:t>为海外华校和孔子学院输送近400名优秀华文师资。接待1000多名华裔学生来校学习汉语和中华文化。疫情以来，积极推动学校探索海外华文教育工作创新模式，学校作为福建省委统战部遴选的第一所在疫情期间承担海外华文</w:t>
            </w:r>
            <w:proofErr w:type="gramStart"/>
            <w:r>
              <w:rPr>
                <w:rFonts w:ascii="仿宋_GB2312" w:eastAsia="仿宋_GB2312" w:hint="eastAsia"/>
                <w:color w:val="000000"/>
                <w:sz w:val="24"/>
                <w:szCs w:val="24"/>
              </w:rPr>
              <w:t>教育线</w:t>
            </w:r>
            <w:proofErr w:type="gramEnd"/>
            <w:r>
              <w:rPr>
                <w:rFonts w:ascii="仿宋_GB2312" w:eastAsia="仿宋_GB2312" w:hint="eastAsia"/>
                <w:color w:val="000000"/>
                <w:sz w:val="24"/>
                <w:szCs w:val="24"/>
              </w:rPr>
              <w:t>上培训的高校，承接中央、省、市各级华文</w:t>
            </w:r>
            <w:proofErr w:type="gramStart"/>
            <w:r>
              <w:rPr>
                <w:rFonts w:ascii="仿宋_GB2312" w:eastAsia="仿宋_GB2312" w:hint="eastAsia"/>
                <w:color w:val="000000"/>
                <w:sz w:val="24"/>
                <w:szCs w:val="24"/>
              </w:rPr>
              <w:t>教育线</w:t>
            </w:r>
            <w:proofErr w:type="gramEnd"/>
            <w:r>
              <w:rPr>
                <w:rFonts w:ascii="仿宋_GB2312" w:eastAsia="仿宋_GB2312" w:hint="eastAsia"/>
                <w:color w:val="000000"/>
                <w:sz w:val="24"/>
                <w:szCs w:val="24"/>
              </w:rPr>
              <w:t>上培训，2020年以来为菲律宾、马来西亚和印尼400多所华校的1400多名师生和管理人员举办8期线上培训班，专业性强，覆盖面广，成效显著，获得上级部门的高度评价，在海外华社和华校取得较好的反响；海外华文教育工作典型案例《泉州师范学院打造华文教育“心”品牌》，得到《福建统一战线》、中国侨网、中国华文教育网</w:t>
            </w:r>
            <w:r>
              <w:rPr>
                <w:rFonts w:ascii="仿宋_GB2312" w:eastAsia="仿宋_GB2312" w:hint="eastAsia"/>
                <w:color w:val="000000"/>
                <w:sz w:val="24"/>
                <w:szCs w:val="24"/>
              </w:rPr>
              <w:lastRenderedPageBreak/>
              <w:t>等主流媒体和期刊的专题报道。</w:t>
            </w:r>
          </w:p>
          <w:p w:rsidR="00FE7FD4" w:rsidRDefault="00FE7FD4">
            <w:pPr>
              <w:autoSpaceDE w:val="0"/>
              <w:spacing w:line="320" w:lineRule="exact"/>
              <w:ind w:firstLineChars="200" w:firstLine="482"/>
              <w:rPr>
                <w:rFonts w:ascii="仿宋_GB2312" w:eastAsia="仿宋_GB2312" w:hint="eastAsia"/>
                <w:color w:val="000000"/>
                <w:sz w:val="24"/>
                <w:szCs w:val="24"/>
              </w:rPr>
            </w:pPr>
            <w:r>
              <w:rPr>
                <w:rFonts w:ascii="仿宋_GB2312" w:eastAsia="仿宋_GB2312" w:hint="eastAsia"/>
                <w:b/>
                <w:bCs/>
                <w:color w:val="000000"/>
                <w:sz w:val="24"/>
                <w:szCs w:val="24"/>
              </w:rPr>
              <w:t>（三）深化闽台融合发展。</w:t>
            </w:r>
            <w:r>
              <w:rPr>
                <w:rFonts w:ascii="仿宋_GB2312" w:eastAsia="仿宋_GB2312" w:hint="eastAsia"/>
                <w:color w:val="000000"/>
                <w:sz w:val="24"/>
                <w:szCs w:val="24"/>
              </w:rPr>
              <w:t>会同相关部门，</w:t>
            </w:r>
            <w:proofErr w:type="gramStart"/>
            <w:r>
              <w:rPr>
                <w:rFonts w:ascii="仿宋_GB2312" w:eastAsia="仿宋_GB2312" w:hint="eastAsia"/>
                <w:color w:val="000000"/>
                <w:sz w:val="24"/>
                <w:szCs w:val="24"/>
              </w:rPr>
              <w:t>做优闽台</w:t>
            </w:r>
            <w:proofErr w:type="gramEnd"/>
            <w:r>
              <w:rPr>
                <w:rFonts w:ascii="仿宋_GB2312" w:eastAsia="仿宋_GB2312" w:hint="eastAsia"/>
                <w:color w:val="000000"/>
                <w:sz w:val="24"/>
                <w:szCs w:val="24"/>
              </w:rPr>
              <w:t>合作项目，取得明显办学成效，合作专业均通过省教育厅年审，两次获得教育厅专项奖励，专业学生在台期间屡获专业赛事奖项。接待近千名台湾学子来校开展异地教学、交流民俗和文化传承，邀请台湾学者来校讲学。积极组织申报教育部对台教育交流项目，获教育部对台教育交流立项2个和教育部台港澳</w:t>
            </w:r>
            <w:proofErr w:type="gramStart"/>
            <w:r>
              <w:rPr>
                <w:rFonts w:ascii="仿宋_GB2312" w:eastAsia="仿宋_GB2312" w:hint="eastAsia"/>
                <w:color w:val="000000"/>
                <w:sz w:val="24"/>
                <w:szCs w:val="24"/>
              </w:rPr>
              <w:t>学生国情</w:t>
            </w:r>
            <w:proofErr w:type="gramEnd"/>
            <w:r>
              <w:rPr>
                <w:rFonts w:ascii="仿宋_GB2312" w:eastAsia="仿宋_GB2312" w:hint="eastAsia"/>
                <w:color w:val="000000"/>
                <w:sz w:val="24"/>
                <w:szCs w:val="24"/>
              </w:rPr>
              <w:t>教育立项1个。</w:t>
            </w:r>
          </w:p>
          <w:p w:rsidR="00FE7FD4" w:rsidRDefault="00FE7FD4">
            <w:pPr>
              <w:autoSpaceDE w:val="0"/>
              <w:spacing w:line="320" w:lineRule="exact"/>
              <w:ind w:firstLineChars="200" w:firstLine="482"/>
              <w:rPr>
                <w:rFonts w:ascii="仿宋_GB2312" w:eastAsia="仿宋_GB2312" w:hint="eastAsia"/>
                <w:color w:val="000000"/>
                <w:sz w:val="24"/>
                <w:szCs w:val="24"/>
              </w:rPr>
            </w:pPr>
            <w:r>
              <w:rPr>
                <w:rFonts w:ascii="仿宋_GB2312" w:eastAsia="仿宋_GB2312" w:hint="eastAsia"/>
                <w:b/>
                <w:bCs/>
                <w:color w:val="000000"/>
                <w:sz w:val="24"/>
                <w:szCs w:val="24"/>
              </w:rPr>
              <w:t>（四）稳步开展留学生教育。</w:t>
            </w:r>
            <w:r>
              <w:rPr>
                <w:rFonts w:ascii="仿宋_GB2312" w:eastAsia="仿宋_GB2312" w:hint="eastAsia"/>
                <w:color w:val="000000"/>
                <w:sz w:val="24"/>
                <w:szCs w:val="24"/>
              </w:rPr>
              <w:t>推动设立学校国际学生奖学金，争取到著名侨领陈守仁捐赠200万元设立陈守</w:t>
            </w:r>
            <w:proofErr w:type="gramStart"/>
            <w:r>
              <w:rPr>
                <w:rFonts w:ascii="仿宋_GB2312" w:eastAsia="仿宋_GB2312" w:hint="eastAsia"/>
                <w:color w:val="000000"/>
                <w:sz w:val="24"/>
                <w:szCs w:val="24"/>
              </w:rPr>
              <w:t>仁国际</w:t>
            </w:r>
            <w:proofErr w:type="gramEnd"/>
            <w:r>
              <w:rPr>
                <w:rFonts w:ascii="仿宋_GB2312" w:eastAsia="仿宋_GB2312" w:hint="eastAsia"/>
                <w:color w:val="000000"/>
                <w:sz w:val="24"/>
                <w:szCs w:val="24"/>
              </w:rPr>
              <w:t>交流基金和省政府留学生奖学金支持，招收留学生和国际船员100多人。多次组织留学生参与泉州申</w:t>
            </w:r>
            <w:proofErr w:type="gramStart"/>
            <w:r>
              <w:rPr>
                <w:rFonts w:ascii="仿宋_GB2312" w:eastAsia="仿宋_GB2312" w:hint="eastAsia"/>
                <w:color w:val="000000"/>
                <w:sz w:val="24"/>
                <w:szCs w:val="24"/>
              </w:rPr>
              <w:t>遗宣传</w:t>
            </w:r>
            <w:proofErr w:type="gramEnd"/>
            <w:r>
              <w:rPr>
                <w:rFonts w:ascii="仿宋_GB2312" w:eastAsia="仿宋_GB2312" w:hint="eastAsia"/>
                <w:color w:val="000000"/>
                <w:sz w:val="24"/>
                <w:szCs w:val="24"/>
              </w:rPr>
              <w:t>片拍摄等城市文化建设活动。</w:t>
            </w:r>
          </w:p>
          <w:p w:rsidR="00FE7FD4" w:rsidRDefault="00FE7FD4">
            <w:pPr>
              <w:autoSpaceDE w:val="0"/>
              <w:spacing w:line="320" w:lineRule="exact"/>
              <w:ind w:firstLineChars="200" w:firstLine="482"/>
              <w:rPr>
                <w:rFonts w:ascii="仿宋_GB2312" w:eastAsia="仿宋_GB2312" w:hint="eastAsia"/>
                <w:color w:val="000000"/>
                <w:sz w:val="24"/>
                <w:szCs w:val="24"/>
              </w:rPr>
            </w:pPr>
            <w:r>
              <w:rPr>
                <w:rFonts w:ascii="仿宋_GB2312" w:eastAsia="仿宋_GB2312" w:hint="eastAsia"/>
                <w:b/>
                <w:bCs/>
                <w:color w:val="000000"/>
                <w:sz w:val="24"/>
                <w:szCs w:val="24"/>
              </w:rPr>
              <w:t>（五）做好涉外疫情防控工作。</w:t>
            </w:r>
            <w:r>
              <w:rPr>
                <w:rFonts w:ascii="仿宋_GB2312" w:eastAsia="仿宋_GB2312" w:hint="eastAsia"/>
                <w:color w:val="000000"/>
                <w:sz w:val="24"/>
                <w:szCs w:val="24"/>
              </w:rPr>
              <w:t>作为学校疫情防控应急指挥部外事组的牵头单位，严格落实涉外疫情防控常态化责任，筑牢涉外疫情防控安全防线，做好外籍教师、留学生、因公派出师生的跟踪、管理与服务，得到省市相关部门的肯定，收到厄瓜多尔使领馆致信感谢。在学校抗</w:t>
            </w:r>
            <w:proofErr w:type="gramStart"/>
            <w:r>
              <w:rPr>
                <w:rFonts w:ascii="仿宋_GB2312" w:eastAsia="仿宋_GB2312" w:hint="eastAsia"/>
                <w:color w:val="000000"/>
                <w:sz w:val="24"/>
                <w:szCs w:val="24"/>
              </w:rPr>
              <w:t>疫</w:t>
            </w:r>
            <w:proofErr w:type="gramEnd"/>
            <w:r>
              <w:rPr>
                <w:rFonts w:ascii="仿宋_GB2312" w:eastAsia="仿宋_GB2312" w:hint="eastAsia"/>
                <w:color w:val="000000"/>
                <w:sz w:val="24"/>
                <w:szCs w:val="24"/>
              </w:rPr>
              <w:t>期间，部门成员以大局为重，不计个人得失，服从学校安排，住校一个多月参加抗</w:t>
            </w:r>
            <w:proofErr w:type="gramStart"/>
            <w:r>
              <w:rPr>
                <w:rFonts w:ascii="仿宋_GB2312" w:eastAsia="仿宋_GB2312" w:hint="eastAsia"/>
                <w:color w:val="000000"/>
                <w:sz w:val="24"/>
                <w:szCs w:val="24"/>
              </w:rPr>
              <w:t>疫</w:t>
            </w:r>
            <w:proofErr w:type="gramEnd"/>
            <w:r>
              <w:rPr>
                <w:rFonts w:ascii="仿宋_GB2312" w:eastAsia="仿宋_GB2312" w:hint="eastAsia"/>
                <w:color w:val="000000"/>
                <w:sz w:val="24"/>
                <w:szCs w:val="24"/>
              </w:rPr>
              <w:t>工作，坚守学校疫情防控各个岗位。</w:t>
            </w:r>
          </w:p>
          <w:p w:rsidR="00FE7FD4" w:rsidRDefault="00FE7FD4">
            <w:pPr>
              <w:autoSpaceDE w:val="0"/>
              <w:spacing w:line="320" w:lineRule="exact"/>
              <w:ind w:firstLineChars="200" w:firstLine="480"/>
              <w:rPr>
                <w:rFonts w:ascii="黑体" w:eastAsia="黑体" w:hAnsi="黑体" w:hint="eastAsia"/>
                <w:color w:val="000000"/>
                <w:sz w:val="24"/>
                <w:szCs w:val="24"/>
              </w:rPr>
            </w:pPr>
            <w:r>
              <w:rPr>
                <w:rFonts w:ascii="黑体" w:eastAsia="黑体" w:hAnsi="黑体" w:hint="eastAsia"/>
                <w:color w:val="000000"/>
                <w:sz w:val="24"/>
                <w:szCs w:val="24"/>
              </w:rPr>
              <w:t>三、热心服务，传递巾帼情怀</w:t>
            </w:r>
          </w:p>
          <w:p w:rsidR="00FE7FD4" w:rsidRDefault="00FE7FD4">
            <w:pPr>
              <w:autoSpaceDE w:val="0"/>
              <w:spacing w:line="320" w:lineRule="exact"/>
              <w:ind w:firstLineChars="200" w:firstLine="480"/>
              <w:rPr>
                <w:rFonts w:ascii="仿宋_GB2312" w:eastAsia="仿宋_GB2312"/>
                <w:b/>
                <w:bCs/>
                <w:color w:val="FF0000"/>
                <w:sz w:val="28"/>
                <w:szCs w:val="28"/>
              </w:rPr>
            </w:pPr>
            <w:r>
              <w:rPr>
                <w:rFonts w:ascii="仿宋_GB2312" w:eastAsia="仿宋_GB2312" w:hint="eastAsia"/>
                <w:color w:val="000000"/>
                <w:sz w:val="24"/>
                <w:szCs w:val="24"/>
              </w:rPr>
              <w:t>许琦红处长兼任校工会副主席、女工委主任，利用工作之余热心为教职工服务，针对学校女职工较多的特点，通过组织开展音乐减压沙龙、刺桐</w:t>
            </w:r>
            <w:proofErr w:type="gramStart"/>
            <w:r>
              <w:rPr>
                <w:rFonts w:ascii="仿宋_GB2312" w:eastAsia="仿宋_GB2312" w:hint="eastAsia"/>
                <w:color w:val="000000"/>
                <w:sz w:val="24"/>
                <w:szCs w:val="24"/>
              </w:rPr>
              <w:t>红读书坊</w:t>
            </w:r>
            <w:proofErr w:type="gramEnd"/>
            <w:r>
              <w:rPr>
                <w:rFonts w:ascii="仿宋_GB2312" w:eastAsia="仿宋_GB2312" w:hint="eastAsia"/>
                <w:color w:val="000000"/>
                <w:sz w:val="24"/>
                <w:szCs w:val="24"/>
              </w:rPr>
              <w:t>等专题活动，丰富女教职工生活，关心女教职工身心健康。吴锦芬副处长，担任第十三届市政协委员、农工党师院支部主委，热心党派工作，带领校农工党员积极参与学校的发展；关爱泉州市自闭症儿童，发挥所学专业服务社会。</w:t>
            </w:r>
          </w:p>
        </w:tc>
      </w:tr>
      <w:tr w:rsidR="00FE7FD4" w:rsidTr="00FE7FD4">
        <w:trPr>
          <w:trHeight w:val="2227"/>
        </w:trPr>
        <w:tc>
          <w:tcPr>
            <w:tcW w:w="1691" w:type="dxa"/>
            <w:tcBorders>
              <w:top w:val="single" w:sz="4" w:space="0" w:color="auto"/>
              <w:left w:val="single" w:sz="4" w:space="0" w:color="auto"/>
              <w:bottom w:val="single" w:sz="4" w:space="0" w:color="auto"/>
              <w:right w:val="single" w:sz="4" w:space="0" w:color="auto"/>
            </w:tcBorders>
            <w:vAlign w:val="center"/>
            <w:hideMark/>
          </w:tcPr>
          <w:p w:rsidR="00FE7FD4" w:rsidRDefault="00FE7FD4">
            <w:pPr>
              <w:spacing w:line="480" w:lineRule="exact"/>
              <w:jc w:val="center"/>
              <w:rPr>
                <w:rFonts w:ascii="Times New Roman" w:eastAsia="仿宋_GB2312" w:hAnsi="Times New Roman"/>
                <w:sz w:val="28"/>
                <w:szCs w:val="28"/>
              </w:rPr>
            </w:pPr>
            <w:r>
              <w:rPr>
                <w:rFonts w:ascii="仿宋_GB2312" w:eastAsia="仿宋_GB2312" w:hAnsi="Times New Roman" w:hint="eastAsia"/>
                <w:sz w:val="28"/>
                <w:szCs w:val="28"/>
              </w:rPr>
              <w:lastRenderedPageBreak/>
              <w:t>主要获奖</w:t>
            </w:r>
          </w:p>
          <w:p w:rsidR="00FE7FD4" w:rsidRDefault="00FE7FD4">
            <w:pPr>
              <w:spacing w:line="480" w:lineRule="exact"/>
              <w:jc w:val="center"/>
              <w:rPr>
                <w:rFonts w:ascii="Times New Roman" w:eastAsia="仿宋_GB2312" w:hAnsi="Times New Roman"/>
                <w:sz w:val="28"/>
                <w:szCs w:val="28"/>
              </w:rPr>
            </w:pPr>
            <w:r>
              <w:rPr>
                <w:rFonts w:ascii="仿宋_GB2312" w:eastAsia="仿宋_GB2312" w:hAnsi="Times New Roman" w:hint="eastAsia"/>
                <w:sz w:val="28"/>
                <w:szCs w:val="28"/>
              </w:rPr>
              <w:t>情况</w:t>
            </w:r>
          </w:p>
        </w:tc>
        <w:tc>
          <w:tcPr>
            <w:tcW w:w="7780" w:type="dxa"/>
            <w:gridSpan w:val="5"/>
            <w:tcBorders>
              <w:top w:val="single" w:sz="4" w:space="0" w:color="auto"/>
              <w:left w:val="nil"/>
              <w:bottom w:val="single" w:sz="4" w:space="0" w:color="auto"/>
              <w:right w:val="single" w:sz="4" w:space="0" w:color="auto"/>
            </w:tcBorders>
            <w:vAlign w:val="center"/>
          </w:tcPr>
          <w:p w:rsidR="00FE7FD4" w:rsidRPr="00FE7FD4" w:rsidRDefault="00FE7FD4">
            <w:pPr>
              <w:autoSpaceDE w:val="0"/>
              <w:spacing w:line="320" w:lineRule="exact"/>
              <w:rPr>
                <w:rFonts w:ascii="仿宋_GB2312" w:eastAsia="仿宋_GB2312"/>
                <w:sz w:val="24"/>
                <w:szCs w:val="24"/>
              </w:rPr>
            </w:pPr>
            <w:r w:rsidRPr="00FE7FD4">
              <w:rPr>
                <w:rFonts w:ascii="仿宋_GB2312" w:eastAsia="仿宋_GB2312" w:hint="eastAsia"/>
                <w:sz w:val="24"/>
                <w:szCs w:val="24"/>
              </w:rPr>
              <w:t>1.学校机关作风效能建设先进集体。</w:t>
            </w:r>
          </w:p>
          <w:p w:rsidR="00FE7FD4" w:rsidRPr="00FE7FD4" w:rsidRDefault="00FE7FD4">
            <w:pPr>
              <w:autoSpaceDE w:val="0"/>
              <w:spacing w:line="320" w:lineRule="exact"/>
              <w:rPr>
                <w:rFonts w:ascii="仿宋_GB2312" w:eastAsia="仿宋_GB2312" w:hint="eastAsia"/>
                <w:sz w:val="24"/>
                <w:szCs w:val="24"/>
              </w:rPr>
            </w:pPr>
            <w:r w:rsidRPr="00FE7FD4">
              <w:rPr>
                <w:rFonts w:ascii="仿宋_GB2312" w:eastAsia="仿宋_GB2312" w:hint="eastAsia"/>
                <w:sz w:val="24"/>
                <w:szCs w:val="24"/>
              </w:rPr>
              <w:t>2.部门成员在2017年金砖国家治国理政研讨会期间，参与重要外宾接待服务工作，获市委办、市府办致信表扬，获金砖国家领导人厦门会晤志愿服务杰出志愿者。</w:t>
            </w:r>
          </w:p>
          <w:p w:rsidR="00FE7FD4" w:rsidRPr="00FE7FD4" w:rsidRDefault="00FE7FD4">
            <w:pPr>
              <w:autoSpaceDE w:val="0"/>
              <w:spacing w:line="320" w:lineRule="exact"/>
              <w:rPr>
                <w:rFonts w:ascii="仿宋_GB2312" w:eastAsia="仿宋_GB2312" w:hint="eastAsia"/>
                <w:sz w:val="24"/>
                <w:szCs w:val="24"/>
              </w:rPr>
            </w:pPr>
            <w:r w:rsidRPr="00FE7FD4">
              <w:rPr>
                <w:rFonts w:ascii="仿宋_GB2312" w:eastAsia="仿宋_GB2312" w:hint="eastAsia"/>
                <w:sz w:val="24"/>
                <w:szCs w:val="24"/>
              </w:rPr>
              <w:t>3.部门成员合作撰写的论文获全国沿海高校服务区域经济发展联盟第七届学术研讨会论文一等奖。</w:t>
            </w:r>
          </w:p>
          <w:p w:rsidR="00FE7FD4" w:rsidRPr="00FE7FD4" w:rsidRDefault="00FE7FD4">
            <w:pPr>
              <w:autoSpaceDE w:val="0"/>
              <w:spacing w:line="320" w:lineRule="exact"/>
              <w:rPr>
                <w:rFonts w:ascii="仿宋_GB2312" w:eastAsia="仿宋_GB2312" w:hint="eastAsia"/>
                <w:sz w:val="24"/>
                <w:szCs w:val="24"/>
              </w:rPr>
            </w:pPr>
            <w:r w:rsidRPr="00FE7FD4">
              <w:rPr>
                <w:rFonts w:ascii="仿宋_GB2312" w:eastAsia="仿宋_GB2312" w:hint="eastAsia"/>
                <w:sz w:val="24"/>
                <w:szCs w:val="24"/>
              </w:rPr>
              <w:t>4.部门成员多次获评“福建省高校国际及港澳台侨学生才艺展”优秀指导教师。</w:t>
            </w:r>
          </w:p>
          <w:p w:rsidR="00FE7FD4" w:rsidRPr="00FE7FD4" w:rsidRDefault="00FE7FD4" w:rsidP="00FE7FD4">
            <w:pPr>
              <w:autoSpaceDE w:val="0"/>
              <w:spacing w:line="320" w:lineRule="exact"/>
              <w:rPr>
                <w:rFonts w:ascii="仿宋_GB2312" w:eastAsia="仿宋_GB2312"/>
              </w:rPr>
            </w:pPr>
            <w:r w:rsidRPr="00FE7FD4">
              <w:rPr>
                <w:rFonts w:ascii="仿宋_GB2312" w:eastAsia="仿宋_GB2312" w:hint="eastAsia"/>
                <w:sz w:val="24"/>
                <w:szCs w:val="24"/>
              </w:rPr>
              <w:t>5.部门成员主持省级课题6项。</w:t>
            </w:r>
          </w:p>
        </w:tc>
      </w:tr>
      <w:tr w:rsidR="00FE7FD4" w:rsidTr="00FE7FD4">
        <w:trPr>
          <w:trHeight w:val="3388"/>
        </w:trPr>
        <w:tc>
          <w:tcPr>
            <w:tcW w:w="2966" w:type="dxa"/>
            <w:gridSpan w:val="2"/>
            <w:tcBorders>
              <w:top w:val="single" w:sz="4" w:space="0" w:color="auto"/>
              <w:left w:val="single" w:sz="4" w:space="0" w:color="auto"/>
              <w:bottom w:val="single" w:sz="4" w:space="0" w:color="auto"/>
              <w:right w:val="single" w:sz="4" w:space="0" w:color="auto"/>
            </w:tcBorders>
            <w:vAlign w:val="center"/>
          </w:tcPr>
          <w:p w:rsidR="00FE7FD4" w:rsidRDefault="00FE7FD4">
            <w:pPr>
              <w:spacing w:line="440" w:lineRule="exact"/>
              <w:jc w:val="center"/>
              <w:rPr>
                <w:rFonts w:ascii="仿宋_GB2312" w:eastAsia="仿宋_GB2312" w:hAnsi="Times New Roman" w:hint="eastAsia"/>
                <w:sz w:val="28"/>
                <w:szCs w:val="28"/>
              </w:rPr>
            </w:pPr>
            <w:r>
              <w:rPr>
                <w:rFonts w:ascii="仿宋_GB2312" w:eastAsia="仿宋_GB2312" w:hAnsi="Times New Roman" w:hint="eastAsia"/>
                <w:sz w:val="28"/>
                <w:szCs w:val="28"/>
              </w:rPr>
              <w:t>所在单位（党组织）</w:t>
            </w:r>
          </w:p>
          <w:p w:rsidR="00FE7FD4" w:rsidRDefault="00FE7FD4">
            <w:pPr>
              <w:spacing w:line="440" w:lineRule="exact"/>
              <w:jc w:val="center"/>
              <w:rPr>
                <w:rFonts w:ascii="Times New Roman" w:eastAsia="仿宋_GB2312" w:hAnsi="Times New Roman"/>
                <w:sz w:val="28"/>
                <w:szCs w:val="28"/>
              </w:rPr>
            </w:pPr>
            <w:r>
              <w:rPr>
                <w:rFonts w:ascii="仿宋_GB2312" w:eastAsia="仿宋_GB2312" w:hAnsi="Times New Roman" w:hint="eastAsia"/>
                <w:sz w:val="28"/>
                <w:szCs w:val="28"/>
              </w:rPr>
              <w:t>意见</w:t>
            </w:r>
          </w:p>
          <w:p w:rsidR="00FE7FD4" w:rsidRDefault="00FE7FD4">
            <w:pPr>
              <w:spacing w:line="440" w:lineRule="exact"/>
              <w:jc w:val="center"/>
              <w:rPr>
                <w:rFonts w:ascii="Times New Roman" w:eastAsia="仿宋_GB2312" w:hAnsi="Times New Roman"/>
                <w:sz w:val="28"/>
                <w:szCs w:val="28"/>
              </w:rPr>
            </w:pPr>
          </w:p>
          <w:p w:rsidR="00FE7FD4" w:rsidRDefault="00FE7FD4" w:rsidP="00FE7FD4">
            <w:pPr>
              <w:spacing w:line="440" w:lineRule="exact"/>
              <w:ind w:firstLineChars="400" w:firstLine="1120"/>
              <w:rPr>
                <w:rFonts w:ascii="仿宋_GB2312" w:eastAsia="仿宋_GB2312" w:hAnsi="Times New Roman" w:hint="eastAsia"/>
                <w:sz w:val="28"/>
                <w:szCs w:val="28"/>
              </w:rPr>
            </w:pPr>
          </w:p>
          <w:p w:rsidR="00FE7FD4" w:rsidRDefault="00FE7FD4" w:rsidP="00FE7FD4">
            <w:pPr>
              <w:spacing w:line="440" w:lineRule="exact"/>
              <w:ind w:firstLineChars="400" w:firstLine="1120"/>
              <w:rPr>
                <w:rFonts w:ascii="Times New Roman" w:eastAsia="仿宋_GB2312" w:hAnsi="Times New Roman"/>
                <w:sz w:val="28"/>
                <w:szCs w:val="28"/>
              </w:rPr>
            </w:pPr>
            <w:r>
              <w:rPr>
                <w:rFonts w:ascii="仿宋_GB2312" w:eastAsia="仿宋_GB2312" w:hAnsi="Times New Roman" w:hint="eastAsia"/>
                <w:sz w:val="28"/>
                <w:szCs w:val="28"/>
              </w:rPr>
              <w:t>盖章</w:t>
            </w:r>
          </w:p>
          <w:p w:rsidR="00FE7FD4" w:rsidRDefault="00FE7FD4">
            <w:pPr>
              <w:spacing w:line="440" w:lineRule="exact"/>
              <w:jc w:val="center"/>
              <w:rPr>
                <w:rFonts w:ascii="Times New Roman" w:eastAsia="仿宋_GB2312" w:hAnsi="Times New Roman"/>
                <w:sz w:val="28"/>
                <w:szCs w:val="28"/>
              </w:rPr>
            </w:pPr>
            <w:r>
              <w:rPr>
                <w:rFonts w:ascii="仿宋_GB2312" w:eastAsia="仿宋_GB2312" w:hAnsi="Times New Roman" w:hint="eastAsia"/>
                <w:sz w:val="28"/>
                <w:szCs w:val="28"/>
              </w:rPr>
              <w:t>年</w:t>
            </w:r>
            <w:r>
              <w:rPr>
                <w:rFonts w:ascii="Times New Roman" w:eastAsia="仿宋_GB2312" w:hAnsi="Times New Roman"/>
                <w:sz w:val="28"/>
                <w:szCs w:val="28"/>
              </w:rPr>
              <w:t xml:space="preserve">  </w:t>
            </w:r>
            <w:r>
              <w:rPr>
                <w:rFonts w:ascii="仿宋_GB2312" w:eastAsia="仿宋_GB2312" w:hAnsi="Times New Roman" w:hint="eastAsia"/>
                <w:sz w:val="28"/>
                <w:szCs w:val="28"/>
              </w:rPr>
              <w:t>月</w:t>
            </w:r>
            <w:r>
              <w:rPr>
                <w:rFonts w:ascii="Times New Roman" w:eastAsia="仿宋_GB2312" w:hAnsi="Times New Roman"/>
                <w:sz w:val="28"/>
                <w:szCs w:val="28"/>
              </w:rPr>
              <w:t xml:space="preserve">  </w:t>
            </w:r>
            <w:r>
              <w:rPr>
                <w:rFonts w:ascii="仿宋_GB2312" w:eastAsia="仿宋_GB2312" w:hAnsi="Times New Roman" w:hint="eastAsia"/>
                <w:sz w:val="28"/>
                <w:szCs w:val="28"/>
              </w:rPr>
              <w:t>日</w:t>
            </w:r>
          </w:p>
        </w:tc>
        <w:tc>
          <w:tcPr>
            <w:tcW w:w="2976" w:type="dxa"/>
            <w:gridSpan w:val="2"/>
            <w:tcBorders>
              <w:top w:val="single" w:sz="4" w:space="0" w:color="auto"/>
              <w:left w:val="nil"/>
              <w:bottom w:val="single" w:sz="4" w:space="0" w:color="auto"/>
              <w:right w:val="single" w:sz="4" w:space="0" w:color="auto"/>
            </w:tcBorders>
            <w:vAlign w:val="center"/>
          </w:tcPr>
          <w:p w:rsidR="00FE7FD4" w:rsidRDefault="00FE7FD4">
            <w:pPr>
              <w:spacing w:line="440" w:lineRule="exact"/>
              <w:jc w:val="center"/>
              <w:rPr>
                <w:rFonts w:ascii="Times New Roman" w:eastAsia="仿宋_GB2312" w:hAnsi="Times New Roman"/>
                <w:sz w:val="28"/>
                <w:szCs w:val="28"/>
              </w:rPr>
            </w:pPr>
            <w:r>
              <w:rPr>
                <w:rFonts w:ascii="仿宋_GB2312" w:eastAsia="仿宋_GB2312" w:hAnsi="Times New Roman" w:hint="eastAsia"/>
                <w:sz w:val="28"/>
                <w:szCs w:val="28"/>
              </w:rPr>
              <w:t>县级妇联推荐意见</w:t>
            </w:r>
          </w:p>
          <w:p w:rsidR="00FE7FD4" w:rsidRDefault="00FE7FD4">
            <w:pPr>
              <w:spacing w:line="440" w:lineRule="exact"/>
              <w:jc w:val="center"/>
              <w:rPr>
                <w:rFonts w:ascii="Times New Roman" w:eastAsia="仿宋_GB2312" w:hAnsi="Times New Roman"/>
                <w:sz w:val="28"/>
                <w:szCs w:val="28"/>
              </w:rPr>
            </w:pPr>
          </w:p>
          <w:p w:rsidR="00FE7FD4" w:rsidRDefault="00FE7FD4" w:rsidP="00FE7FD4">
            <w:pPr>
              <w:spacing w:line="440" w:lineRule="exact"/>
              <w:jc w:val="center"/>
              <w:rPr>
                <w:rFonts w:ascii="仿宋_GB2312" w:eastAsia="仿宋_GB2312" w:hAnsi="Times New Roman" w:hint="eastAsia"/>
                <w:sz w:val="28"/>
                <w:szCs w:val="28"/>
              </w:rPr>
            </w:pPr>
          </w:p>
          <w:p w:rsidR="00FE7FD4" w:rsidRDefault="00FE7FD4" w:rsidP="00FE7FD4">
            <w:pPr>
              <w:spacing w:line="440" w:lineRule="exact"/>
              <w:jc w:val="center"/>
              <w:rPr>
                <w:rFonts w:ascii="仿宋_GB2312" w:eastAsia="仿宋_GB2312" w:hAnsi="Times New Roman" w:hint="eastAsia"/>
                <w:sz w:val="28"/>
                <w:szCs w:val="28"/>
              </w:rPr>
            </w:pPr>
          </w:p>
          <w:p w:rsidR="00FE7FD4" w:rsidRDefault="00FE7FD4" w:rsidP="00FE7FD4">
            <w:pPr>
              <w:spacing w:line="440" w:lineRule="exact"/>
              <w:jc w:val="center"/>
              <w:rPr>
                <w:rFonts w:ascii="Times New Roman" w:eastAsia="仿宋_GB2312" w:hAnsi="Times New Roman"/>
                <w:sz w:val="28"/>
                <w:szCs w:val="28"/>
              </w:rPr>
            </w:pPr>
            <w:r>
              <w:rPr>
                <w:rFonts w:ascii="仿宋_GB2312" w:eastAsia="仿宋_GB2312" w:hAnsi="Times New Roman" w:hint="eastAsia"/>
                <w:sz w:val="28"/>
                <w:szCs w:val="28"/>
              </w:rPr>
              <w:t>盖章</w:t>
            </w:r>
          </w:p>
          <w:p w:rsidR="00FE7FD4" w:rsidRDefault="00FE7FD4">
            <w:pPr>
              <w:spacing w:line="440" w:lineRule="exact"/>
              <w:jc w:val="center"/>
              <w:rPr>
                <w:rFonts w:ascii="Times New Roman" w:eastAsia="仿宋_GB2312" w:hAnsi="Times New Roman"/>
                <w:sz w:val="28"/>
                <w:szCs w:val="28"/>
              </w:rPr>
            </w:pPr>
            <w:r>
              <w:rPr>
                <w:rFonts w:ascii="仿宋_GB2312" w:eastAsia="仿宋_GB2312" w:hAnsi="Times New Roman" w:hint="eastAsia"/>
                <w:sz w:val="28"/>
                <w:szCs w:val="28"/>
              </w:rPr>
              <w:t>年</w:t>
            </w:r>
            <w:r>
              <w:rPr>
                <w:rFonts w:ascii="Times New Roman" w:eastAsia="仿宋_GB2312" w:hAnsi="Times New Roman"/>
                <w:sz w:val="28"/>
                <w:szCs w:val="28"/>
              </w:rPr>
              <w:t xml:space="preserve">  </w:t>
            </w:r>
            <w:r>
              <w:rPr>
                <w:rFonts w:ascii="仿宋_GB2312" w:eastAsia="仿宋_GB2312" w:hAnsi="Times New Roman" w:hint="eastAsia"/>
                <w:sz w:val="28"/>
                <w:szCs w:val="28"/>
              </w:rPr>
              <w:t>月</w:t>
            </w:r>
            <w:r>
              <w:rPr>
                <w:rFonts w:ascii="Times New Roman" w:eastAsia="仿宋_GB2312" w:hAnsi="Times New Roman"/>
                <w:sz w:val="28"/>
                <w:szCs w:val="28"/>
              </w:rPr>
              <w:t xml:space="preserve">  </w:t>
            </w:r>
            <w:r>
              <w:rPr>
                <w:rFonts w:ascii="仿宋_GB2312" w:eastAsia="仿宋_GB2312" w:hAnsi="Times New Roman" w:hint="eastAsia"/>
                <w:sz w:val="28"/>
                <w:szCs w:val="28"/>
              </w:rPr>
              <w:t>日</w:t>
            </w:r>
          </w:p>
        </w:tc>
        <w:tc>
          <w:tcPr>
            <w:tcW w:w="3529" w:type="dxa"/>
            <w:gridSpan w:val="2"/>
            <w:tcBorders>
              <w:top w:val="single" w:sz="4" w:space="0" w:color="auto"/>
              <w:left w:val="nil"/>
              <w:bottom w:val="single" w:sz="4" w:space="0" w:color="auto"/>
              <w:right w:val="single" w:sz="4" w:space="0" w:color="auto"/>
            </w:tcBorders>
            <w:vAlign w:val="center"/>
          </w:tcPr>
          <w:p w:rsidR="00FE7FD4" w:rsidRDefault="00FE7FD4">
            <w:pPr>
              <w:spacing w:line="440" w:lineRule="exact"/>
              <w:jc w:val="center"/>
              <w:rPr>
                <w:rFonts w:ascii="Times New Roman" w:eastAsia="仿宋_GB2312" w:hAnsi="Times New Roman"/>
                <w:spacing w:val="-6"/>
                <w:sz w:val="28"/>
                <w:szCs w:val="28"/>
              </w:rPr>
            </w:pPr>
            <w:r>
              <w:rPr>
                <w:rFonts w:ascii="仿宋_GB2312" w:eastAsia="仿宋_GB2312" w:hAnsi="Times New Roman" w:hint="eastAsia"/>
                <w:spacing w:val="-6"/>
                <w:sz w:val="28"/>
                <w:szCs w:val="28"/>
              </w:rPr>
              <w:t>市妇联审核意见</w:t>
            </w:r>
          </w:p>
          <w:p w:rsidR="00FE7FD4" w:rsidRDefault="00FE7FD4">
            <w:pPr>
              <w:spacing w:line="440" w:lineRule="exact"/>
              <w:jc w:val="center"/>
              <w:rPr>
                <w:rFonts w:ascii="Times New Roman" w:eastAsia="仿宋_GB2312" w:hAnsi="Times New Roman"/>
                <w:spacing w:val="-6"/>
                <w:sz w:val="28"/>
                <w:szCs w:val="28"/>
              </w:rPr>
            </w:pPr>
          </w:p>
          <w:p w:rsidR="00FE7FD4" w:rsidRDefault="00FE7FD4">
            <w:pPr>
              <w:spacing w:line="440" w:lineRule="exact"/>
              <w:jc w:val="center"/>
              <w:rPr>
                <w:rFonts w:ascii="仿宋_GB2312" w:eastAsia="仿宋_GB2312" w:hAnsi="Times New Roman" w:hint="eastAsia"/>
                <w:sz w:val="28"/>
                <w:szCs w:val="28"/>
              </w:rPr>
            </w:pPr>
          </w:p>
          <w:p w:rsidR="00FE7FD4" w:rsidRDefault="00FE7FD4">
            <w:pPr>
              <w:spacing w:line="440" w:lineRule="exact"/>
              <w:jc w:val="center"/>
              <w:rPr>
                <w:rFonts w:ascii="仿宋_GB2312" w:eastAsia="仿宋_GB2312" w:hAnsi="Times New Roman" w:hint="eastAsia"/>
                <w:sz w:val="28"/>
                <w:szCs w:val="28"/>
              </w:rPr>
            </w:pPr>
          </w:p>
          <w:p w:rsidR="00FE7FD4" w:rsidRDefault="00FE7FD4">
            <w:pPr>
              <w:spacing w:line="440" w:lineRule="exact"/>
              <w:jc w:val="center"/>
              <w:rPr>
                <w:rFonts w:ascii="Times New Roman" w:eastAsia="仿宋_GB2312" w:hAnsi="Times New Roman"/>
                <w:sz w:val="28"/>
                <w:szCs w:val="28"/>
              </w:rPr>
            </w:pPr>
            <w:r>
              <w:rPr>
                <w:rFonts w:ascii="仿宋_GB2312" w:eastAsia="仿宋_GB2312" w:hAnsi="Times New Roman" w:hint="eastAsia"/>
                <w:sz w:val="28"/>
                <w:szCs w:val="28"/>
              </w:rPr>
              <w:t>盖章</w:t>
            </w:r>
          </w:p>
          <w:p w:rsidR="00FE7FD4" w:rsidRDefault="00FE7FD4" w:rsidP="00FE7FD4">
            <w:pPr>
              <w:spacing w:line="440" w:lineRule="exact"/>
              <w:ind w:firstLineChars="350" w:firstLine="980"/>
              <w:rPr>
                <w:rFonts w:ascii="Times New Roman" w:eastAsia="仿宋_GB2312" w:hAnsi="Times New Roman"/>
                <w:sz w:val="28"/>
                <w:szCs w:val="28"/>
              </w:rPr>
            </w:pPr>
            <w:r>
              <w:rPr>
                <w:rFonts w:ascii="仿宋_GB2312" w:eastAsia="仿宋_GB2312" w:hAnsi="Times New Roman" w:hint="eastAsia"/>
                <w:sz w:val="28"/>
                <w:szCs w:val="28"/>
              </w:rPr>
              <w:t>年</w:t>
            </w:r>
            <w:r>
              <w:rPr>
                <w:rFonts w:ascii="Times New Roman" w:eastAsia="仿宋_GB2312" w:hAnsi="Times New Roman"/>
                <w:sz w:val="28"/>
                <w:szCs w:val="28"/>
              </w:rPr>
              <w:t xml:space="preserve">  </w:t>
            </w:r>
            <w:r>
              <w:rPr>
                <w:rFonts w:ascii="仿宋_GB2312" w:eastAsia="仿宋_GB2312" w:hAnsi="Times New Roman" w:hint="eastAsia"/>
                <w:sz w:val="28"/>
                <w:szCs w:val="28"/>
              </w:rPr>
              <w:t>月</w:t>
            </w:r>
            <w:r>
              <w:rPr>
                <w:rFonts w:ascii="Times New Roman" w:eastAsia="仿宋_GB2312" w:hAnsi="Times New Roman"/>
                <w:sz w:val="28"/>
                <w:szCs w:val="28"/>
              </w:rPr>
              <w:t xml:space="preserve">  </w:t>
            </w:r>
            <w:r>
              <w:rPr>
                <w:rFonts w:ascii="仿宋_GB2312" w:eastAsia="仿宋_GB2312" w:hAnsi="Times New Roman" w:hint="eastAsia"/>
                <w:sz w:val="28"/>
                <w:szCs w:val="28"/>
              </w:rPr>
              <w:t>日</w:t>
            </w:r>
          </w:p>
        </w:tc>
      </w:tr>
    </w:tbl>
    <w:p w:rsidR="00A63513" w:rsidRPr="00FE7FD4" w:rsidRDefault="00A63513"/>
    <w:sectPr w:rsidR="00A63513" w:rsidRPr="00FE7FD4" w:rsidSect="00FE7FD4">
      <w:pgSz w:w="11906" w:h="16838"/>
      <w:pgMar w:top="1191" w:right="1304" w:bottom="1191" w:left="130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E7FD4"/>
    <w:rsid w:val="00A63513"/>
    <w:rsid w:val="00FE7F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FD4"/>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FE7FD4"/>
    <w:pPr>
      <w:spacing w:after="120"/>
    </w:pPr>
  </w:style>
  <w:style w:type="character" w:customStyle="1" w:styleId="Char">
    <w:name w:val="正文文本 Char"/>
    <w:basedOn w:val="a0"/>
    <w:link w:val="a3"/>
    <w:uiPriority w:val="99"/>
    <w:semiHidden/>
    <w:rsid w:val="00FE7FD4"/>
    <w:rPr>
      <w:rFonts w:ascii="Calibri" w:eastAsia="宋体" w:hAnsi="Calibri" w:cs="Times New Roman"/>
      <w:szCs w:val="21"/>
    </w:rPr>
  </w:style>
  <w:style w:type="paragraph" w:styleId="a4">
    <w:name w:val="Body Text First Indent"/>
    <w:basedOn w:val="a3"/>
    <w:link w:val="Char0"/>
    <w:uiPriority w:val="99"/>
    <w:unhideWhenUsed/>
    <w:rsid w:val="00FE7FD4"/>
    <w:pPr>
      <w:spacing w:before="100" w:beforeAutospacing="1"/>
      <w:ind w:firstLineChars="100" w:firstLine="420"/>
    </w:pPr>
    <w:rPr>
      <w:kern w:val="0"/>
      <w:sz w:val="20"/>
      <w:szCs w:val="20"/>
    </w:rPr>
  </w:style>
  <w:style w:type="character" w:customStyle="1" w:styleId="Char0">
    <w:name w:val="正文首行缩进 Char"/>
    <w:basedOn w:val="Char"/>
    <w:link w:val="a4"/>
    <w:uiPriority w:val="99"/>
    <w:rsid w:val="00FE7FD4"/>
    <w:rPr>
      <w:kern w:val="0"/>
      <w:sz w:val="20"/>
      <w:szCs w:val="20"/>
    </w:rPr>
  </w:style>
</w:styles>
</file>

<file path=word/webSettings.xml><?xml version="1.0" encoding="utf-8"?>
<w:webSettings xmlns:r="http://schemas.openxmlformats.org/officeDocument/2006/relationships" xmlns:w="http://schemas.openxmlformats.org/wordprocessingml/2006/main">
  <w:divs>
    <w:div w:id="29844072">
      <w:bodyDiv w:val="1"/>
      <w:marLeft w:val="0"/>
      <w:marRight w:val="0"/>
      <w:marTop w:val="0"/>
      <w:marBottom w:val="0"/>
      <w:divBdr>
        <w:top w:val="none" w:sz="0" w:space="0" w:color="auto"/>
        <w:left w:val="none" w:sz="0" w:space="0" w:color="auto"/>
        <w:bottom w:val="none" w:sz="0" w:space="0" w:color="auto"/>
        <w:right w:val="none" w:sz="0" w:space="0" w:color="auto"/>
      </w:divBdr>
    </w:div>
    <w:div w:id="172906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314</Words>
  <Characters>1796</Characters>
  <Application>Microsoft Office Word</Application>
  <DocSecurity>0</DocSecurity>
  <Lines>14</Lines>
  <Paragraphs>4</Paragraphs>
  <ScaleCrop>false</ScaleCrop>
  <Company>微软中国</Company>
  <LinksUpToDate>false</LinksUpToDate>
  <CharactersWithSpaces>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2023-01-12T01:48:00Z</dcterms:created>
  <dcterms:modified xsi:type="dcterms:W3CDTF">2023-01-12T01:53:00Z</dcterms:modified>
</cp:coreProperties>
</file>