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5040"/>
        </w:tabs>
        <w:spacing w:before="100" w:beforeAutospacing="1" w:after="100" w:afterAutospacing="1"/>
        <w:jc w:val="left"/>
        <w:rPr>
          <w:rFonts w:ascii="宋体" w:hAnsi="宋体" w:eastAsia="宋体" w:cs="宋体"/>
          <w:color w:val="auto"/>
          <w:kern w:val="0"/>
          <w:sz w:val="24"/>
          <w:szCs w:val="24"/>
          <w:highlight w:val="none"/>
        </w:rPr>
      </w:pPr>
      <w:bookmarkStart w:id="0" w:name="_GoBack"/>
    </w:p>
    <w:p>
      <w:pPr>
        <w:pStyle w:val="8"/>
        <w:spacing w:before="75" w:beforeAutospacing="0" w:after="75" w:afterAutospacing="0"/>
        <w:jc w:val="center"/>
        <w:rPr>
          <w:b/>
          <w:bCs/>
          <w:color w:val="auto"/>
          <w:sz w:val="67"/>
          <w:szCs w:val="22"/>
          <w:highlight w:val="none"/>
        </w:rPr>
      </w:pPr>
      <w:r>
        <w:rPr>
          <w:b/>
          <w:bCs/>
          <w:color w:val="auto"/>
          <w:sz w:val="67"/>
          <w:szCs w:val="22"/>
          <w:highlight w:val="none"/>
        </w:rPr>
        <w:t> </w:t>
      </w:r>
      <w:r>
        <w:rPr>
          <w:rFonts w:hint="eastAsia"/>
          <w:b/>
          <w:bCs/>
          <w:color w:val="auto"/>
          <w:sz w:val="67"/>
          <w:szCs w:val="22"/>
          <w:highlight w:val="none"/>
        </w:rPr>
        <w:t>泉州师范学院</w:t>
      </w:r>
    </w:p>
    <w:p>
      <w:pPr>
        <w:widowControl/>
        <w:spacing w:before="100" w:beforeAutospacing="1" w:after="100" w:afterAutospacing="1"/>
        <w:jc w:val="center"/>
        <w:rPr>
          <w:rFonts w:ascii="宋体" w:hAnsi="宋体" w:eastAsia="宋体" w:cs="宋体"/>
          <w:b/>
          <w:bCs/>
          <w:color w:val="auto"/>
          <w:kern w:val="0"/>
          <w:sz w:val="67"/>
          <w:highlight w:val="none"/>
        </w:rPr>
      </w:pPr>
      <w:r>
        <w:rPr>
          <w:rFonts w:hint="eastAsia" w:ascii="宋体" w:hAnsi="宋体" w:eastAsia="宋体" w:cs="宋体"/>
          <w:b/>
          <w:bCs/>
          <w:color w:val="auto"/>
          <w:kern w:val="0"/>
          <w:sz w:val="67"/>
          <w:highlight w:val="none"/>
        </w:rPr>
        <w:t>自行采购项目</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67"/>
          <w:highlight w:val="none"/>
        </w:rPr>
        <w:t>单一来源采购文件</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ind w:firstLine="720"/>
        <w:jc w:val="left"/>
        <w:rPr>
          <w:rFonts w:ascii="宋体" w:hAnsi="宋体" w:eastAsia="宋体" w:cs="宋体"/>
          <w:b/>
          <w:color w:val="auto"/>
          <w:kern w:val="0"/>
          <w:sz w:val="24"/>
          <w:szCs w:val="24"/>
          <w:highlight w:val="none"/>
        </w:rPr>
      </w:pPr>
      <w:r>
        <w:rPr>
          <w:rFonts w:ascii="宋体" w:hAnsi="宋体" w:eastAsia="宋体" w:cs="宋体"/>
          <w:color w:val="auto"/>
          <w:kern w:val="0"/>
          <w:sz w:val="24"/>
          <w:szCs w:val="24"/>
          <w:highlight w:val="none"/>
        </w:rPr>
        <w:t>    </w:t>
      </w:r>
      <w:r>
        <w:rPr>
          <w:rFonts w:ascii="宋体" w:hAnsi="宋体" w:eastAsia="宋体" w:cs="宋体"/>
          <w:b/>
          <w:color w:val="auto"/>
          <w:kern w:val="0"/>
          <w:sz w:val="24"/>
          <w:szCs w:val="24"/>
          <w:highlight w:val="none"/>
        </w:rPr>
        <w:t>    项目编号：FJJX20</w:t>
      </w:r>
      <w:r>
        <w:rPr>
          <w:rFonts w:hint="eastAsia" w:ascii="宋体" w:hAnsi="宋体" w:eastAsia="宋体" w:cs="宋体"/>
          <w:b/>
          <w:color w:val="auto"/>
          <w:kern w:val="0"/>
          <w:sz w:val="24"/>
          <w:szCs w:val="24"/>
          <w:highlight w:val="none"/>
        </w:rPr>
        <w:t>20018</w:t>
      </w:r>
    </w:p>
    <w:p>
      <w:pPr>
        <w:widowControl/>
        <w:spacing w:before="100" w:beforeAutospacing="1" w:after="100" w:afterAutospacing="1"/>
        <w:ind w:firstLine="720"/>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项目名称：</w:t>
      </w:r>
      <w:r>
        <w:rPr>
          <w:rFonts w:hint="eastAsia" w:ascii="宋体" w:hAnsi="宋体" w:eastAsia="宋体" w:cs="宋体"/>
          <w:b/>
          <w:color w:val="auto"/>
          <w:kern w:val="0"/>
          <w:sz w:val="24"/>
          <w:szCs w:val="24"/>
          <w:highlight w:val="none"/>
        </w:rPr>
        <w:t>泉州师范学院电梯维保服务采购项目</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3"/>
          <w:highlight w:val="none"/>
        </w:rPr>
        <w:t>福建景鑫招标有限公司</w:t>
      </w:r>
    </w:p>
    <w:p>
      <w:pPr>
        <w:widowControl/>
        <w:spacing w:before="100" w:beforeAutospacing="1" w:after="100" w:afterAutospacing="1"/>
        <w:jc w:val="left"/>
        <w:rPr>
          <w:rFonts w:ascii="宋体" w:hAnsi="宋体" w:eastAsia="宋体" w:cs="宋体"/>
          <w:color w:val="auto"/>
          <w:kern w:val="0"/>
          <w:sz w:val="24"/>
          <w:szCs w:val="24"/>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3"/>
          <w:highlight w:val="none"/>
        </w:rPr>
        <w:t>20</w:t>
      </w:r>
      <w:r>
        <w:rPr>
          <w:rFonts w:hint="eastAsia" w:ascii="宋体" w:hAnsi="宋体" w:eastAsia="宋体" w:cs="宋体"/>
          <w:b/>
          <w:bCs/>
          <w:color w:val="auto"/>
          <w:kern w:val="0"/>
          <w:sz w:val="23"/>
          <w:highlight w:val="none"/>
        </w:rPr>
        <w:t>20</w:t>
      </w:r>
      <w:r>
        <w:rPr>
          <w:rFonts w:ascii="宋体" w:hAnsi="宋体" w:eastAsia="宋体" w:cs="宋体"/>
          <w:b/>
          <w:bCs/>
          <w:color w:val="auto"/>
          <w:kern w:val="0"/>
          <w:sz w:val="23"/>
          <w:highlight w:val="none"/>
        </w:rPr>
        <w:t>年</w:t>
      </w:r>
      <w:r>
        <w:rPr>
          <w:rFonts w:hint="eastAsia" w:ascii="宋体" w:hAnsi="宋体" w:eastAsia="宋体" w:cs="宋体"/>
          <w:b/>
          <w:bCs/>
          <w:color w:val="auto"/>
          <w:kern w:val="0"/>
          <w:sz w:val="23"/>
          <w:highlight w:val="none"/>
        </w:rPr>
        <w:t>7</w:t>
      </w:r>
      <w:r>
        <w:rPr>
          <w:rFonts w:ascii="宋体" w:hAnsi="宋体" w:eastAsia="宋体" w:cs="宋体"/>
          <w:b/>
          <w:bCs/>
          <w:color w:val="auto"/>
          <w:kern w:val="0"/>
          <w:sz w:val="23"/>
          <w:highlight w:val="none"/>
        </w:rPr>
        <w:t>月</w:t>
      </w:r>
    </w:p>
    <w:p>
      <w:pPr>
        <w:widowControl/>
        <w:spacing w:before="100" w:beforeAutospacing="1" w:after="100" w:afterAutospacing="1"/>
        <w:jc w:val="center"/>
        <w:rPr>
          <w:rFonts w:ascii="宋体" w:hAnsi="宋体" w:eastAsia="宋体" w:cs="宋体"/>
          <w:b/>
          <w:bCs/>
          <w:color w:val="auto"/>
          <w:kern w:val="0"/>
          <w:sz w:val="35"/>
          <w:szCs w:val="35"/>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jc w:val="center"/>
        <w:rPr>
          <w:rFonts w:ascii="宋体" w:hAnsi="宋体" w:eastAsia="宋体" w:cs="宋体"/>
          <w:b/>
          <w:bCs/>
          <w:color w:val="auto"/>
          <w:kern w:val="0"/>
          <w:sz w:val="35"/>
          <w:highlight w:val="none"/>
        </w:rPr>
        <w:sectPr>
          <w:pgSz w:w="11906" w:h="16838"/>
          <w:pgMar w:top="1440" w:right="1800" w:bottom="1440" w:left="1800" w:header="851" w:footer="992" w:gutter="0"/>
          <w:cols w:space="425" w:num="1"/>
          <w:docGrid w:type="lines" w:linePitch="312" w:charSpace="0"/>
        </w:sect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35"/>
          <w:highlight w:val="none"/>
        </w:rPr>
        <w:t>第一章  </w:t>
      </w:r>
      <w:r>
        <w:rPr>
          <w:rFonts w:ascii="宋体" w:hAnsi="宋体" w:eastAsia="宋体" w:cs="宋体"/>
          <w:bCs/>
          <w:color w:val="auto"/>
          <w:kern w:val="0"/>
          <w:sz w:val="35"/>
          <w:highlight w:val="none"/>
        </w:rPr>
        <w:t>协商邀请</w:t>
      </w:r>
    </w:p>
    <w:p>
      <w:pPr>
        <w:widowControl/>
        <w:spacing w:line="400" w:lineRule="exac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福建景鑫招标有限公司采用</w:t>
      </w:r>
      <w:r>
        <w:rPr>
          <w:rFonts w:ascii="宋体" w:hAnsi="宋体" w:eastAsia="宋体" w:cs="宋体"/>
          <w:color w:val="auto"/>
          <w:kern w:val="0"/>
          <w:sz w:val="24"/>
          <w:szCs w:val="24"/>
          <w:highlight w:val="none"/>
          <w:u w:val="single"/>
        </w:rPr>
        <w:t>单一来源采购</w:t>
      </w:r>
      <w:r>
        <w:rPr>
          <w:rFonts w:ascii="宋体" w:hAnsi="宋体" w:eastAsia="宋体" w:cs="宋体"/>
          <w:color w:val="auto"/>
          <w:kern w:val="0"/>
          <w:sz w:val="24"/>
          <w:szCs w:val="24"/>
          <w:highlight w:val="none"/>
        </w:rPr>
        <w:t>方式组织</w:t>
      </w:r>
      <w:r>
        <w:rPr>
          <w:rFonts w:hint="eastAsia" w:ascii="宋体" w:hAnsi="宋体" w:eastAsia="宋体" w:cs="宋体"/>
          <w:color w:val="auto"/>
          <w:kern w:val="0"/>
          <w:sz w:val="24"/>
          <w:szCs w:val="24"/>
          <w:highlight w:val="none"/>
        </w:rPr>
        <w:t>泉州师范学院电梯维保服务采购项目</w:t>
      </w:r>
      <w:r>
        <w:rPr>
          <w:rFonts w:ascii="宋体" w:hAnsi="宋体" w:eastAsia="宋体" w:cs="宋体"/>
          <w:color w:val="auto"/>
          <w:kern w:val="0"/>
          <w:sz w:val="24"/>
          <w:szCs w:val="24"/>
          <w:highlight w:val="none"/>
        </w:rPr>
        <w:t>（以下简称：“本项目或者采购项目”）的采购活动，特邀请下列供应商参加本项目特定合同包的协商。现将本项目有关事项告知如下：</w:t>
      </w:r>
    </w:p>
    <w:p>
      <w:pPr>
        <w:widowControl/>
        <w:spacing w:line="400" w:lineRule="exac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1、项目编号：FJJX20</w:t>
      </w:r>
      <w:r>
        <w:rPr>
          <w:rFonts w:hint="eastAsia" w:ascii="宋体" w:hAnsi="宋体" w:eastAsia="宋体" w:cs="宋体"/>
          <w:color w:val="auto"/>
          <w:kern w:val="0"/>
          <w:sz w:val="24"/>
          <w:szCs w:val="24"/>
          <w:highlight w:val="none"/>
        </w:rPr>
        <w:t>20018</w:t>
      </w:r>
    </w:p>
    <w:p>
      <w:pPr>
        <w:widowControl/>
        <w:spacing w:line="400" w:lineRule="exac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2、项目名称：</w:t>
      </w:r>
      <w:r>
        <w:rPr>
          <w:rFonts w:hint="eastAsia" w:ascii="宋体" w:hAnsi="宋体" w:eastAsia="宋体" w:cs="宋体"/>
          <w:color w:val="auto"/>
          <w:kern w:val="0"/>
          <w:sz w:val="24"/>
          <w:szCs w:val="24"/>
          <w:highlight w:val="none"/>
        </w:rPr>
        <w:t>泉州师范学院电梯维保服务采购项目</w:t>
      </w:r>
    </w:p>
    <w:p>
      <w:pPr>
        <w:widowControl/>
        <w:spacing w:line="400" w:lineRule="exac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3、采购内容及要求：详见采购标的一览表及采购文件第四章。</w:t>
      </w:r>
    </w:p>
    <w:p>
      <w:pPr>
        <w:widowControl/>
        <w:spacing w:line="400" w:lineRule="exac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4、邀请参加本项目协商的供应商名单如下：</w:t>
      </w:r>
    </w:p>
    <w:tbl>
      <w:tblPr>
        <w:tblStyle w:val="10"/>
        <w:tblW w:w="809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25"/>
        <w:gridCol w:w="2553"/>
        <w:gridCol w:w="2266"/>
        <w:gridCol w:w="25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725"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合同包</w:t>
            </w:r>
          </w:p>
        </w:tc>
        <w:tc>
          <w:tcPr>
            <w:tcW w:w="255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计划名称</w:t>
            </w:r>
          </w:p>
        </w:tc>
        <w:tc>
          <w:tcPr>
            <w:tcW w:w="2266"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供应商名称</w:t>
            </w:r>
          </w:p>
        </w:tc>
        <w:tc>
          <w:tcPr>
            <w:tcW w:w="2551"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供应商地址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25"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包1</w:t>
            </w:r>
          </w:p>
        </w:tc>
        <w:tc>
          <w:tcPr>
            <w:tcW w:w="255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泉州师范学院东海校区10部奥的斯电梯维保服务（全包）</w:t>
            </w:r>
          </w:p>
        </w:tc>
        <w:tc>
          <w:tcPr>
            <w:tcW w:w="2266"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广州奥的斯电梯有限公司厦门分公司</w:t>
            </w:r>
          </w:p>
        </w:tc>
        <w:tc>
          <w:tcPr>
            <w:tcW w:w="2551"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厦门市思明区七星西路178号七星大厦第22层06单元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25"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包</w:t>
            </w:r>
            <w:r>
              <w:rPr>
                <w:rFonts w:hint="eastAsia" w:ascii="宋体" w:hAnsi="宋体" w:eastAsia="宋体" w:cs="宋体"/>
                <w:color w:val="auto"/>
                <w:kern w:val="0"/>
                <w:sz w:val="24"/>
                <w:szCs w:val="24"/>
                <w:highlight w:val="none"/>
              </w:rPr>
              <w:t>2</w:t>
            </w:r>
          </w:p>
        </w:tc>
        <w:tc>
          <w:tcPr>
            <w:tcW w:w="255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泉州师范学院东海校区2部富士达电梯维保服务（全包）</w:t>
            </w:r>
          </w:p>
        </w:tc>
        <w:tc>
          <w:tcPr>
            <w:tcW w:w="2266"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cs="Calibri"/>
                <w:bCs/>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华升富士达电梯有限公司福建分公司</w:t>
            </w:r>
          </w:p>
        </w:tc>
        <w:tc>
          <w:tcPr>
            <w:tcW w:w="2551"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cs="Calibri"/>
                <w:bCs/>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福州市鼓楼区园垱街73号3号楼三四层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25"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包</w:t>
            </w:r>
            <w:r>
              <w:rPr>
                <w:rFonts w:hint="eastAsia" w:ascii="宋体" w:hAnsi="宋体" w:eastAsia="宋体" w:cs="宋体"/>
                <w:color w:val="auto"/>
                <w:kern w:val="0"/>
                <w:sz w:val="24"/>
                <w:szCs w:val="24"/>
                <w:highlight w:val="none"/>
              </w:rPr>
              <w:t>3</w:t>
            </w:r>
          </w:p>
        </w:tc>
        <w:tc>
          <w:tcPr>
            <w:tcW w:w="255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泉州师范学院东海校区3部通力电梯维保服务（半包）</w:t>
            </w:r>
          </w:p>
        </w:tc>
        <w:tc>
          <w:tcPr>
            <w:tcW w:w="2266"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cs="Calibri"/>
                <w:bCs/>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通力电梯有限公司厦门分公司</w:t>
            </w:r>
          </w:p>
        </w:tc>
        <w:tc>
          <w:tcPr>
            <w:tcW w:w="2551"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cs="Calibri"/>
                <w:bCs/>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厦门市思明区湖滨南路334号二轻大厦10楼02－03单元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25"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包</w:t>
            </w:r>
            <w:r>
              <w:rPr>
                <w:rFonts w:hint="eastAsia" w:ascii="宋体" w:hAnsi="宋体" w:eastAsia="宋体" w:cs="宋体"/>
                <w:color w:val="auto"/>
                <w:kern w:val="0"/>
                <w:sz w:val="24"/>
                <w:szCs w:val="24"/>
                <w:highlight w:val="none"/>
              </w:rPr>
              <w:t>4</w:t>
            </w:r>
          </w:p>
        </w:tc>
        <w:tc>
          <w:tcPr>
            <w:tcW w:w="2553"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泉州师范学院东海校区2部德奥电梯维保服务（半包）</w:t>
            </w:r>
          </w:p>
        </w:tc>
        <w:tc>
          <w:tcPr>
            <w:tcW w:w="2266"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cs="Calibri"/>
                <w:bCs/>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泉州市丰泽区华银机电设备有限公司</w:t>
            </w:r>
          </w:p>
        </w:tc>
        <w:tc>
          <w:tcPr>
            <w:tcW w:w="2551" w:type="dxa"/>
            <w:tcBorders>
              <w:top w:val="outset" w:color="auto" w:sz="6" w:space="0"/>
              <w:left w:val="outset" w:color="auto" w:sz="6" w:space="0"/>
              <w:bottom w:val="outset" w:color="auto" w:sz="6" w:space="0"/>
              <w:right w:val="outset" w:color="auto" w:sz="6" w:space="0"/>
            </w:tcBorders>
            <w:vAlign w:val="center"/>
          </w:tcPr>
          <w:p>
            <w:pPr>
              <w:widowControl/>
              <w:spacing w:line="400" w:lineRule="exact"/>
              <w:jc w:val="center"/>
              <w:rPr>
                <w:rFonts w:ascii="宋体" w:hAnsi="宋体" w:cs="Calibri"/>
                <w:bCs/>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泉州市丰泽区云谷工业区石埔北区5号楼华银大厦四楼</w:t>
            </w:r>
          </w:p>
        </w:tc>
      </w:tr>
    </w:tbl>
    <w:p>
      <w:pPr>
        <w:widowControl/>
        <w:spacing w:line="400" w:lineRule="exac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5、供应商的资格要求</w:t>
      </w:r>
    </w:p>
    <w:p>
      <w:pPr>
        <w:widowControl/>
        <w:spacing w:line="400" w:lineRule="exac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5.1、法定条件：具备《中华人民共和国政府采购法》第二十二条第一款规定的条件。</w:t>
      </w:r>
    </w:p>
    <w:p>
      <w:pPr>
        <w:widowControl/>
        <w:spacing w:line="400" w:lineRule="exac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5.2、特定条件：</w:t>
      </w:r>
    </w:p>
    <w:p>
      <w:pPr>
        <w:widowControl/>
        <w:spacing w:line="400" w:lineRule="exac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包1： </w:t>
      </w:r>
      <w:r>
        <w:rPr>
          <w:rFonts w:hint="eastAsia" w:ascii="宋体" w:hAnsi="宋体" w:eastAsia="宋体" w:cs="宋体"/>
          <w:color w:val="auto"/>
          <w:kern w:val="0"/>
          <w:sz w:val="24"/>
          <w:szCs w:val="24"/>
          <w:highlight w:val="none"/>
        </w:rPr>
        <w:t xml:space="preserve"> 无</w:t>
      </w:r>
    </w:p>
    <w:p>
      <w:pPr>
        <w:widowControl/>
        <w:spacing w:line="400" w:lineRule="exac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包</w:t>
      </w: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 xml:space="preserve"> 无</w:t>
      </w:r>
    </w:p>
    <w:p>
      <w:pPr>
        <w:widowControl/>
        <w:spacing w:line="400" w:lineRule="exac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包</w:t>
      </w: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 xml:space="preserve"> 无</w:t>
      </w:r>
    </w:p>
    <w:p>
      <w:pPr>
        <w:widowControl/>
        <w:spacing w:line="400" w:lineRule="exac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包</w:t>
      </w:r>
      <w:r>
        <w:rPr>
          <w:rFonts w:hint="eastAsia" w:ascii="宋体" w:hAnsi="宋体" w:eastAsia="宋体" w:cs="宋体"/>
          <w:color w:val="auto"/>
          <w:kern w:val="0"/>
          <w:sz w:val="24"/>
          <w:szCs w:val="24"/>
          <w:highlight w:val="none"/>
        </w:rPr>
        <w:t>4</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 xml:space="preserve"> 无</w:t>
      </w:r>
    </w:p>
    <w:p>
      <w:pPr>
        <w:widowControl/>
        <w:spacing w:line="400" w:lineRule="exac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5.3、列入失信被执行人、重大税收违法案件当事人名单、政府采购严重违法失信行为记录名单及其他不符合《中华人民共和国政府采购法》第二十二条规定条件的供应商，不得参加协商，否则响应文件无效。</w:t>
      </w:r>
    </w:p>
    <w:p>
      <w:pPr>
        <w:widowControl/>
        <w:spacing w:line="400" w:lineRule="exac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5.4、本项目不接受联合体参加，不允许成交供应商进行分包、转包。</w:t>
      </w:r>
    </w:p>
    <w:p>
      <w:pPr>
        <w:pStyle w:val="8"/>
        <w:spacing w:before="0" w:beforeAutospacing="0" w:after="0" w:afterAutospacing="0" w:line="400" w:lineRule="exact"/>
        <w:rPr>
          <w:color w:val="auto"/>
          <w:highlight w:val="none"/>
          <w:shd w:val="clear" w:color="auto" w:fill="FFFFFF"/>
        </w:rPr>
      </w:pPr>
      <w:r>
        <w:rPr>
          <w:color w:val="auto"/>
          <w:highlight w:val="none"/>
        </w:rPr>
        <w:t>6.</w:t>
      </w:r>
      <w:r>
        <w:rPr>
          <w:rFonts w:hint="eastAsia"/>
          <w:color w:val="auto"/>
          <w:highlight w:val="none"/>
        </w:rPr>
        <w:t>供应商报名期限：</w:t>
      </w:r>
      <w:r>
        <w:rPr>
          <w:color w:val="auto"/>
          <w:highlight w:val="none"/>
        </w:rPr>
        <w:t>20</w:t>
      </w:r>
      <w:r>
        <w:rPr>
          <w:rFonts w:hint="eastAsia"/>
          <w:color w:val="auto"/>
          <w:highlight w:val="none"/>
        </w:rPr>
        <w:t>20年</w:t>
      </w:r>
      <w:r>
        <w:rPr>
          <w:rFonts w:hint="eastAsia"/>
          <w:color w:val="auto"/>
          <w:highlight w:val="none"/>
          <w:lang w:val="en-US" w:eastAsia="zh-CN"/>
        </w:rPr>
        <w:t>07</w:t>
      </w:r>
      <w:r>
        <w:rPr>
          <w:rFonts w:hint="eastAsia"/>
          <w:color w:val="auto"/>
          <w:highlight w:val="none"/>
        </w:rPr>
        <w:t>月</w:t>
      </w:r>
      <w:r>
        <w:rPr>
          <w:rFonts w:hint="eastAsia"/>
          <w:color w:val="auto"/>
          <w:highlight w:val="none"/>
          <w:lang w:val="en-US" w:eastAsia="zh-CN"/>
        </w:rPr>
        <w:t>21</w:t>
      </w:r>
      <w:r>
        <w:rPr>
          <w:rFonts w:hint="eastAsia"/>
          <w:color w:val="auto"/>
          <w:highlight w:val="none"/>
        </w:rPr>
        <w:t>日 至</w:t>
      </w:r>
      <w:r>
        <w:rPr>
          <w:color w:val="auto"/>
          <w:highlight w:val="none"/>
        </w:rPr>
        <w:t>20</w:t>
      </w:r>
      <w:r>
        <w:rPr>
          <w:rFonts w:hint="eastAsia"/>
          <w:color w:val="auto"/>
          <w:highlight w:val="none"/>
        </w:rPr>
        <w:t>20年</w:t>
      </w:r>
      <w:r>
        <w:rPr>
          <w:rFonts w:hint="eastAsia"/>
          <w:color w:val="auto"/>
          <w:highlight w:val="none"/>
          <w:lang w:val="en-US" w:eastAsia="zh-CN"/>
        </w:rPr>
        <w:t>07</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r>
        <w:rPr>
          <w:rFonts w:hint="eastAsia"/>
          <w:color w:val="auto"/>
          <w:highlight w:val="none"/>
          <w:shd w:val="clear" w:color="auto" w:fill="FFFFFF"/>
        </w:rPr>
        <w:t>，每天上午8:00至12:00，下午14:30至18:00。（北京时间，法定节假日除外）。</w:t>
      </w:r>
    </w:p>
    <w:p>
      <w:pPr>
        <w:pStyle w:val="8"/>
        <w:spacing w:before="0" w:beforeAutospacing="0" w:after="0" w:afterAutospacing="0" w:line="400" w:lineRule="exact"/>
        <w:ind w:left="240" w:hanging="240" w:hangingChars="100"/>
        <w:rPr>
          <w:color w:val="auto"/>
          <w:highlight w:val="none"/>
        </w:rPr>
      </w:pPr>
      <w:r>
        <w:rPr>
          <w:color w:val="auto"/>
          <w:highlight w:val="none"/>
        </w:rPr>
        <w:t>6.1</w:t>
      </w:r>
      <w:r>
        <w:rPr>
          <w:rFonts w:hint="eastAsia"/>
          <w:color w:val="auto"/>
          <w:highlight w:val="none"/>
        </w:rPr>
        <w:t>如果采购过程中有发出更正公告，采购人将根据实际情况确定是否延长报名期限，则报名截止时间以更正公告中的约定为准。</w:t>
      </w:r>
    </w:p>
    <w:p>
      <w:pPr>
        <w:widowControl/>
        <w:spacing w:line="400" w:lineRule="exact"/>
        <w:ind w:left="240" w:hanging="240" w:hangingChars="1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6.2</w:t>
      </w:r>
      <w:r>
        <w:rPr>
          <w:rFonts w:hint="eastAsia" w:ascii="宋体" w:hAnsi="宋体" w:eastAsia="宋体" w:cs="宋体"/>
          <w:color w:val="auto"/>
          <w:kern w:val="0"/>
          <w:sz w:val="24"/>
          <w:szCs w:val="24"/>
          <w:highlight w:val="none"/>
        </w:rPr>
        <w:t>报名期限内，供应商应凡有意参加的供应商可按下述地址到福建景鑫招标有限公司购买单一来源采购文件。未报名将导致其不能下载采购文件且响应文件被拒收。</w:t>
      </w:r>
    </w:p>
    <w:p>
      <w:pPr>
        <w:pStyle w:val="8"/>
        <w:spacing w:before="0" w:beforeAutospacing="0" w:after="0" w:afterAutospacing="0" w:line="400" w:lineRule="exact"/>
        <w:rPr>
          <w:color w:val="auto"/>
          <w:highlight w:val="none"/>
        </w:rPr>
      </w:pPr>
      <w:r>
        <w:rPr>
          <w:color w:val="auto"/>
          <w:highlight w:val="none"/>
        </w:rPr>
        <w:t>7.</w:t>
      </w:r>
      <w:r>
        <w:rPr>
          <w:rFonts w:hint="eastAsia"/>
          <w:color w:val="auto"/>
          <w:highlight w:val="none"/>
        </w:rPr>
        <w:t>获取采购文件时间、地点、方式：</w:t>
      </w:r>
    </w:p>
    <w:p>
      <w:pPr>
        <w:pStyle w:val="8"/>
        <w:spacing w:before="0" w:beforeAutospacing="0" w:after="0" w:afterAutospacing="0" w:line="400" w:lineRule="exact"/>
        <w:rPr>
          <w:color w:val="auto"/>
          <w:highlight w:val="none"/>
        </w:rPr>
      </w:pPr>
      <w:r>
        <w:rPr>
          <w:color w:val="auto"/>
          <w:highlight w:val="none"/>
        </w:rPr>
        <w:t>7.1</w:t>
      </w:r>
      <w:r>
        <w:rPr>
          <w:rFonts w:hint="eastAsia"/>
          <w:color w:val="auto"/>
          <w:highlight w:val="none"/>
        </w:rPr>
        <w:t>采购文件的提供期限：</w:t>
      </w:r>
      <w:r>
        <w:rPr>
          <w:color w:val="auto"/>
          <w:highlight w:val="none"/>
        </w:rPr>
        <w:t>20</w:t>
      </w:r>
      <w:r>
        <w:rPr>
          <w:rFonts w:hint="eastAsia"/>
          <w:color w:val="auto"/>
          <w:highlight w:val="none"/>
        </w:rPr>
        <w:t>20年</w:t>
      </w:r>
      <w:r>
        <w:rPr>
          <w:rFonts w:hint="eastAsia"/>
          <w:color w:val="auto"/>
          <w:highlight w:val="none"/>
          <w:lang w:val="en-US" w:eastAsia="zh-CN"/>
        </w:rPr>
        <w:t>07</w:t>
      </w:r>
      <w:r>
        <w:rPr>
          <w:rFonts w:hint="eastAsia"/>
          <w:color w:val="auto"/>
          <w:highlight w:val="none"/>
        </w:rPr>
        <w:t>月</w:t>
      </w:r>
      <w:r>
        <w:rPr>
          <w:rFonts w:hint="eastAsia"/>
          <w:color w:val="auto"/>
          <w:highlight w:val="none"/>
          <w:lang w:val="en-US" w:eastAsia="zh-CN"/>
        </w:rPr>
        <w:t>21</w:t>
      </w:r>
      <w:r>
        <w:rPr>
          <w:rFonts w:hint="eastAsia"/>
          <w:color w:val="auto"/>
          <w:highlight w:val="none"/>
        </w:rPr>
        <w:t>日 至</w:t>
      </w:r>
      <w:r>
        <w:rPr>
          <w:color w:val="auto"/>
          <w:highlight w:val="none"/>
        </w:rPr>
        <w:t>20</w:t>
      </w:r>
      <w:r>
        <w:rPr>
          <w:rFonts w:hint="eastAsia"/>
          <w:color w:val="auto"/>
          <w:highlight w:val="none"/>
        </w:rPr>
        <w:t>20年</w:t>
      </w:r>
      <w:r>
        <w:rPr>
          <w:rFonts w:hint="eastAsia"/>
          <w:color w:val="auto"/>
          <w:highlight w:val="none"/>
          <w:lang w:val="en-US" w:eastAsia="zh-CN"/>
        </w:rPr>
        <w:t>07</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pStyle w:val="8"/>
        <w:spacing w:before="0" w:beforeAutospacing="0" w:after="0" w:afterAutospacing="0" w:line="400" w:lineRule="exact"/>
        <w:ind w:left="240" w:hanging="240" w:hangingChars="100"/>
        <w:rPr>
          <w:color w:val="auto"/>
          <w:highlight w:val="none"/>
        </w:rPr>
      </w:pPr>
      <w:r>
        <w:rPr>
          <w:color w:val="auto"/>
          <w:highlight w:val="none"/>
        </w:rPr>
        <w:t>7.2</w:t>
      </w:r>
      <w:r>
        <w:rPr>
          <w:rFonts w:hint="eastAsia"/>
          <w:color w:val="auto"/>
          <w:highlight w:val="none"/>
        </w:rPr>
        <w:t>获取地点及方式：供应商应凡有意参加的供应商可按下述地址到福建景鑫招标有限公司（泉州市丰泽区东海大街东海湾中心</w:t>
      </w:r>
      <w:r>
        <w:rPr>
          <w:color w:val="auto"/>
          <w:highlight w:val="none"/>
        </w:rPr>
        <w:t>1</w:t>
      </w:r>
      <w:r>
        <w:rPr>
          <w:rFonts w:hint="eastAsia"/>
          <w:color w:val="auto"/>
          <w:highlight w:val="none"/>
        </w:rPr>
        <w:t>号</w:t>
      </w:r>
      <w:r>
        <w:rPr>
          <w:color w:val="auto"/>
          <w:highlight w:val="none"/>
        </w:rPr>
        <w:t>801</w:t>
      </w:r>
      <w:r>
        <w:rPr>
          <w:rFonts w:hint="eastAsia"/>
          <w:color w:val="auto"/>
          <w:highlight w:val="none"/>
        </w:rPr>
        <w:t>室）购买单一来源采购文件。</w:t>
      </w:r>
    </w:p>
    <w:p>
      <w:pPr>
        <w:pStyle w:val="8"/>
        <w:spacing w:before="0" w:beforeAutospacing="0" w:after="0" w:afterAutospacing="0" w:line="400" w:lineRule="exact"/>
        <w:ind w:left="240" w:hanging="240" w:hangingChars="100"/>
        <w:rPr>
          <w:color w:val="auto"/>
          <w:highlight w:val="none"/>
        </w:rPr>
      </w:pPr>
      <w:r>
        <w:rPr>
          <w:color w:val="auto"/>
          <w:highlight w:val="none"/>
        </w:rPr>
        <w:t>8.</w:t>
      </w:r>
      <w:r>
        <w:rPr>
          <w:rFonts w:hint="eastAsia"/>
          <w:color w:val="auto"/>
          <w:highlight w:val="none"/>
        </w:rPr>
        <w:t>采购文件售价：每个合同包2</w:t>
      </w:r>
      <w:r>
        <w:rPr>
          <w:color w:val="auto"/>
          <w:highlight w:val="none"/>
        </w:rPr>
        <w:t>00</w:t>
      </w:r>
      <w:r>
        <w:rPr>
          <w:rFonts w:hint="eastAsia"/>
          <w:color w:val="auto"/>
          <w:highlight w:val="none"/>
        </w:rPr>
        <w:t>元。</w:t>
      </w:r>
      <w:r>
        <w:rPr>
          <w:color w:val="auto"/>
          <w:highlight w:val="none"/>
        </w:rPr>
        <w:t> </w:t>
      </w:r>
    </w:p>
    <w:p>
      <w:pPr>
        <w:pStyle w:val="8"/>
        <w:spacing w:before="0" w:beforeAutospacing="0" w:after="0" w:afterAutospacing="0" w:line="400" w:lineRule="exact"/>
        <w:ind w:left="240" w:hanging="240" w:hangingChars="100"/>
        <w:rPr>
          <w:color w:val="auto"/>
          <w:highlight w:val="none"/>
        </w:rPr>
      </w:pPr>
      <w:r>
        <w:rPr>
          <w:rFonts w:hint="eastAsia"/>
          <w:color w:val="auto"/>
          <w:highlight w:val="none"/>
        </w:rPr>
        <w:t>9</w:t>
      </w:r>
      <w:r>
        <w:rPr>
          <w:color w:val="auto"/>
          <w:highlight w:val="none"/>
        </w:rPr>
        <w:t>、提交响应文件截止时间及提交响应文件地点：20</w:t>
      </w:r>
      <w:r>
        <w:rPr>
          <w:rFonts w:hint="eastAsia"/>
          <w:color w:val="auto"/>
          <w:highlight w:val="none"/>
        </w:rPr>
        <w:t>20年</w:t>
      </w:r>
      <w:r>
        <w:rPr>
          <w:rFonts w:hint="eastAsia"/>
          <w:color w:val="auto"/>
          <w:highlight w:val="none"/>
          <w:lang w:val="en-US" w:eastAsia="zh-CN"/>
        </w:rPr>
        <w:t>07</w:t>
      </w:r>
      <w:r>
        <w:rPr>
          <w:rFonts w:hint="eastAsia"/>
          <w:color w:val="auto"/>
          <w:highlight w:val="none"/>
        </w:rPr>
        <w:t>月</w:t>
      </w:r>
      <w:r>
        <w:rPr>
          <w:rFonts w:hint="eastAsia"/>
          <w:color w:val="auto"/>
          <w:highlight w:val="none"/>
          <w:lang w:val="en-US" w:eastAsia="zh-CN"/>
        </w:rPr>
        <w:t>28</w:t>
      </w:r>
      <w:r>
        <w:rPr>
          <w:rFonts w:hint="eastAsia"/>
          <w:color w:val="auto"/>
          <w:highlight w:val="none"/>
        </w:rPr>
        <w:t xml:space="preserve">日 </w:t>
      </w:r>
      <w:r>
        <w:rPr>
          <w:rFonts w:hint="eastAsia"/>
          <w:color w:val="auto"/>
          <w:highlight w:val="none"/>
          <w:lang w:eastAsia="zh-CN"/>
        </w:rPr>
        <w:t>上午</w:t>
      </w:r>
      <w:r>
        <w:rPr>
          <w:rFonts w:hint="eastAsia"/>
          <w:color w:val="auto"/>
          <w:highlight w:val="none"/>
          <w:lang w:val="en-US" w:eastAsia="zh-CN"/>
        </w:rPr>
        <w:t>9:00</w:t>
      </w:r>
      <w:r>
        <w:rPr>
          <w:rFonts w:hint="eastAsia"/>
          <w:color w:val="auto"/>
          <w:highlight w:val="none"/>
        </w:rPr>
        <w:t>时（北京时间），泉州市丰泽区东海大街东海湾中心</w:t>
      </w:r>
      <w:r>
        <w:rPr>
          <w:color w:val="auto"/>
          <w:highlight w:val="none"/>
        </w:rPr>
        <w:t>1</w:t>
      </w:r>
      <w:r>
        <w:rPr>
          <w:rFonts w:hint="eastAsia"/>
          <w:color w:val="auto"/>
          <w:highlight w:val="none"/>
        </w:rPr>
        <w:t>号</w:t>
      </w:r>
      <w:r>
        <w:rPr>
          <w:color w:val="auto"/>
          <w:highlight w:val="none"/>
        </w:rPr>
        <w:t>801</w:t>
      </w:r>
      <w:r>
        <w:rPr>
          <w:rFonts w:hint="eastAsia"/>
          <w:color w:val="auto"/>
          <w:highlight w:val="none"/>
        </w:rPr>
        <w:t>室。</w:t>
      </w:r>
    </w:p>
    <w:p>
      <w:pPr>
        <w:pStyle w:val="8"/>
        <w:spacing w:before="0" w:beforeAutospacing="0" w:after="0" w:afterAutospacing="0" w:line="400" w:lineRule="exact"/>
        <w:ind w:left="240" w:hanging="240" w:hangingChars="100"/>
        <w:rPr>
          <w:color w:val="auto"/>
          <w:highlight w:val="none"/>
        </w:rPr>
      </w:pPr>
      <w:r>
        <w:rPr>
          <w:rFonts w:hint="eastAsia"/>
          <w:color w:val="auto"/>
          <w:highlight w:val="none"/>
        </w:rPr>
        <w:t>10</w:t>
      </w:r>
      <w:r>
        <w:rPr>
          <w:color w:val="auto"/>
          <w:highlight w:val="none"/>
        </w:rPr>
        <w:t>、协商时间及协商地点：20</w:t>
      </w:r>
      <w:r>
        <w:rPr>
          <w:rFonts w:hint="eastAsia"/>
          <w:color w:val="auto"/>
          <w:highlight w:val="none"/>
        </w:rPr>
        <w:t>20年</w:t>
      </w:r>
      <w:r>
        <w:rPr>
          <w:rFonts w:hint="eastAsia"/>
          <w:color w:val="auto"/>
          <w:highlight w:val="none"/>
          <w:lang w:val="en-US" w:eastAsia="zh-CN"/>
        </w:rPr>
        <w:t>07</w:t>
      </w:r>
      <w:r>
        <w:rPr>
          <w:rFonts w:hint="eastAsia"/>
          <w:color w:val="auto"/>
          <w:highlight w:val="none"/>
        </w:rPr>
        <w:t>月</w:t>
      </w:r>
      <w:r>
        <w:rPr>
          <w:rFonts w:hint="eastAsia"/>
          <w:color w:val="auto"/>
          <w:highlight w:val="none"/>
          <w:lang w:val="en-US" w:eastAsia="zh-CN"/>
        </w:rPr>
        <w:t>28</w:t>
      </w:r>
      <w:r>
        <w:rPr>
          <w:rFonts w:hint="eastAsia"/>
          <w:color w:val="auto"/>
          <w:highlight w:val="none"/>
        </w:rPr>
        <w:t xml:space="preserve">日 </w:t>
      </w:r>
      <w:r>
        <w:rPr>
          <w:rFonts w:hint="eastAsia"/>
          <w:color w:val="auto"/>
          <w:highlight w:val="none"/>
          <w:lang w:eastAsia="zh-CN"/>
        </w:rPr>
        <w:t>上午</w:t>
      </w:r>
      <w:r>
        <w:rPr>
          <w:rFonts w:hint="eastAsia"/>
          <w:color w:val="auto"/>
          <w:highlight w:val="none"/>
          <w:lang w:val="en-US" w:eastAsia="zh-CN"/>
        </w:rPr>
        <w:t>9:00</w:t>
      </w:r>
      <w:r>
        <w:rPr>
          <w:rFonts w:hint="eastAsia"/>
          <w:color w:val="auto"/>
          <w:highlight w:val="none"/>
        </w:rPr>
        <w:t>时（北京时间），泉州市丰泽区东海大街东海湾中心</w:t>
      </w:r>
      <w:r>
        <w:rPr>
          <w:color w:val="auto"/>
          <w:highlight w:val="none"/>
        </w:rPr>
        <w:t>1</w:t>
      </w:r>
      <w:r>
        <w:rPr>
          <w:rFonts w:hint="eastAsia"/>
          <w:color w:val="auto"/>
          <w:highlight w:val="none"/>
        </w:rPr>
        <w:t>号</w:t>
      </w:r>
      <w:r>
        <w:rPr>
          <w:color w:val="auto"/>
          <w:highlight w:val="none"/>
        </w:rPr>
        <w:t>801</w:t>
      </w:r>
      <w:r>
        <w:rPr>
          <w:rFonts w:hint="eastAsia"/>
          <w:color w:val="auto"/>
          <w:highlight w:val="none"/>
        </w:rPr>
        <w:t>室。</w:t>
      </w:r>
    </w:p>
    <w:p>
      <w:pPr>
        <w:pStyle w:val="8"/>
        <w:spacing w:before="0" w:beforeAutospacing="0" w:after="0" w:afterAutospacing="0" w:line="400" w:lineRule="exact"/>
        <w:ind w:left="240" w:hanging="240" w:hangingChars="100"/>
        <w:rPr>
          <w:color w:val="auto"/>
          <w:highlight w:val="none"/>
        </w:rPr>
      </w:pPr>
      <w:r>
        <w:rPr>
          <w:rFonts w:hint="eastAsia"/>
          <w:color w:val="auto"/>
          <w:highlight w:val="none"/>
        </w:rPr>
        <w:t>11</w:t>
      </w:r>
      <w:r>
        <w:rPr>
          <w:color w:val="auto"/>
          <w:highlight w:val="none"/>
        </w:rPr>
        <w:t>、以上如有变更，最后发布的更正公告为准，请供应商关注。</w:t>
      </w:r>
    </w:p>
    <w:p>
      <w:pPr>
        <w:pStyle w:val="8"/>
        <w:spacing w:before="0" w:beforeAutospacing="0" w:after="0" w:afterAutospacing="0" w:line="400" w:lineRule="exact"/>
        <w:rPr>
          <w:color w:val="auto"/>
          <w:highlight w:val="none"/>
        </w:rPr>
      </w:pPr>
      <w:r>
        <w:rPr>
          <w:rFonts w:hint="eastAsia"/>
          <w:color w:val="auto"/>
          <w:highlight w:val="none"/>
        </w:rPr>
        <w:t>12</w:t>
      </w:r>
      <w:r>
        <w:rPr>
          <w:color w:val="auto"/>
          <w:highlight w:val="none"/>
        </w:rPr>
        <w:t>、</w:t>
      </w:r>
      <w:r>
        <w:rPr>
          <w:rFonts w:hint="eastAsia"/>
          <w:color w:val="auto"/>
          <w:highlight w:val="none"/>
        </w:rPr>
        <w:t>采购人：泉州师范学院</w:t>
      </w:r>
    </w:p>
    <w:p>
      <w:pPr>
        <w:pStyle w:val="8"/>
        <w:spacing w:before="0" w:beforeAutospacing="0" w:after="0" w:afterAutospacing="0" w:line="400" w:lineRule="exact"/>
        <w:ind w:firstLine="480"/>
        <w:rPr>
          <w:color w:val="auto"/>
          <w:highlight w:val="none"/>
        </w:rPr>
      </w:pPr>
      <w:r>
        <w:rPr>
          <w:color w:val="auto"/>
          <w:highlight w:val="none"/>
        </w:rPr>
        <w:t> </w:t>
      </w:r>
      <w:r>
        <w:rPr>
          <w:rFonts w:hint="eastAsia"/>
          <w:color w:val="auto"/>
          <w:highlight w:val="none"/>
        </w:rPr>
        <w:t>地</w:t>
      </w:r>
      <w:r>
        <w:rPr>
          <w:color w:val="auto"/>
          <w:highlight w:val="none"/>
        </w:rPr>
        <w:t>  </w:t>
      </w:r>
      <w:r>
        <w:rPr>
          <w:rFonts w:hint="eastAsia"/>
          <w:color w:val="auto"/>
          <w:highlight w:val="none"/>
        </w:rPr>
        <w:t>址：泉州市丰泽区东海大街</w:t>
      </w:r>
      <w:r>
        <w:rPr>
          <w:color w:val="auto"/>
          <w:highlight w:val="none"/>
        </w:rPr>
        <w:t>398</w:t>
      </w:r>
      <w:r>
        <w:rPr>
          <w:rFonts w:hint="eastAsia"/>
          <w:color w:val="auto"/>
          <w:highlight w:val="none"/>
        </w:rPr>
        <w:t>号</w:t>
      </w:r>
    </w:p>
    <w:p>
      <w:pPr>
        <w:pStyle w:val="8"/>
        <w:spacing w:before="0" w:beforeAutospacing="0" w:after="0" w:afterAutospacing="0" w:line="400" w:lineRule="exact"/>
        <w:ind w:firstLine="480"/>
        <w:rPr>
          <w:rFonts w:hint="default" w:eastAsia="宋体"/>
          <w:color w:val="auto"/>
          <w:highlight w:val="none"/>
          <w:lang w:val="en-US" w:eastAsia="zh-CN"/>
        </w:rPr>
      </w:pPr>
      <w:r>
        <w:rPr>
          <w:color w:val="auto"/>
          <w:highlight w:val="none"/>
        </w:rPr>
        <w:t> </w:t>
      </w:r>
      <w:r>
        <w:rPr>
          <w:rFonts w:hint="eastAsia"/>
          <w:color w:val="auto"/>
          <w:highlight w:val="none"/>
        </w:rPr>
        <w:t>联系人：陈</w:t>
      </w:r>
      <w:r>
        <w:rPr>
          <w:rFonts w:hint="eastAsia"/>
          <w:color w:val="auto"/>
          <w:highlight w:val="none"/>
          <w:lang w:eastAsia="zh-CN"/>
        </w:rPr>
        <w:t>老</w:t>
      </w:r>
      <w:r>
        <w:rPr>
          <w:rFonts w:hint="eastAsia"/>
          <w:color w:val="auto"/>
          <w:highlight w:val="none"/>
          <w:lang w:val="en-US" w:eastAsia="zh-CN"/>
        </w:rPr>
        <w:t>师</w:t>
      </w:r>
    </w:p>
    <w:p>
      <w:pPr>
        <w:pStyle w:val="8"/>
        <w:spacing w:before="0" w:beforeAutospacing="0" w:after="0" w:afterAutospacing="0" w:line="400" w:lineRule="exact"/>
        <w:ind w:firstLine="480"/>
        <w:rPr>
          <w:color w:val="auto"/>
          <w:highlight w:val="none"/>
        </w:rPr>
      </w:pPr>
      <w:r>
        <w:rPr>
          <w:color w:val="auto"/>
          <w:highlight w:val="none"/>
        </w:rPr>
        <w:t> </w:t>
      </w:r>
      <w:r>
        <w:rPr>
          <w:rFonts w:hint="eastAsia"/>
          <w:color w:val="auto"/>
          <w:highlight w:val="none"/>
        </w:rPr>
        <w:t>联系方法：</w:t>
      </w:r>
      <w:r>
        <w:rPr>
          <w:color w:val="auto"/>
          <w:highlight w:val="none"/>
        </w:rPr>
        <w:t>0595-22919532</w:t>
      </w:r>
    </w:p>
    <w:p>
      <w:pPr>
        <w:pStyle w:val="8"/>
        <w:spacing w:before="0" w:beforeAutospacing="0" w:after="0" w:afterAutospacing="0" w:line="400" w:lineRule="exact"/>
        <w:ind w:firstLine="720" w:firstLineChars="300"/>
        <w:rPr>
          <w:color w:val="auto"/>
          <w:highlight w:val="none"/>
        </w:rPr>
      </w:pPr>
      <w:r>
        <w:rPr>
          <w:rFonts w:hint="eastAsia"/>
          <w:color w:val="auto"/>
          <w:highlight w:val="none"/>
        </w:rPr>
        <w:t>代理机构：福建景鑫招标有限公司</w:t>
      </w:r>
    </w:p>
    <w:p>
      <w:pPr>
        <w:pStyle w:val="8"/>
        <w:spacing w:before="0" w:beforeAutospacing="0" w:after="0" w:afterAutospacing="0" w:line="400" w:lineRule="exact"/>
        <w:ind w:firstLine="480"/>
        <w:rPr>
          <w:color w:val="auto"/>
          <w:highlight w:val="none"/>
        </w:rPr>
      </w:pPr>
      <w:r>
        <w:rPr>
          <w:color w:val="auto"/>
          <w:highlight w:val="none"/>
        </w:rPr>
        <w:t> </w:t>
      </w:r>
      <w:r>
        <w:rPr>
          <w:rFonts w:hint="eastAsia"/>
          <w:color w:val="auto"/>
          <w:highlight w:val="none"/>
        </w:rPr>
        <w:t>地</w:t>
      </w:r>
      <w:r>
        <w:rPr>
          <w:color w:val="auto"/>
          <w:highlight w:val="none"/>
        </w:rPr>
        <w:t>  </w:t>
      </w:r>
      <w:r>
        <w:rPr>
          <w:rFonts w:hint="eastAsia"/>
          <w:color w:val="auto"/>
          <w:highlight w:val="none"/>
        </w:rPr>
        <w:t>址：泉州市丰泽区东海大街东海湾中心</w:t>
      </w:r>
      <w:r>
        <w:rPr>
          <w:color w:val="auto"/>
          <w:highlight w:val="none"/>
        </w:rPr>
        <w:t>1</w:t>
      </w:r>
      <w:r>
        <w:rPr>
          <w:rFonts w:hint="eastAsia"/>
          <w:color w:val="auto"/>
          <w:highlight w:val="none"/>
        </w:rPr>
        <w:t>号</w:t>
      </w:r>
      <w:r>
        <w:rPr>
          <w:color w:val="auto"/>
          <w:highlight w:val="none"/>
        </w:rPr>
        <w:t>801</w:t>
      </w:r>
      <w:r>
        <w:rPr>
          <w:rFonts w:hint="eastAsia"/>
          <w:color w:val="auto"/>
          <w:highlight w:val="none"/>
        </w:rPr>
        <w:t>室</w:t>
      </w:r>
    </w:p>
    <w:p>
      <w:pPr>
        <w:pStyle w:val="8"/>
        <w:spacing w:before="0" w:beforeAutospacing="0" w:after="0" w:afterAutospacing="0" w:line="400" w:lineRule="exact"/>
        <w:ind w:firstLine="480"/>
        <w:rPr>
          <w:color w:val="auto"/>
          <w:highlight w:val="none"/>
        </w:rPr>
      </w:pPr>
      <w:r>
        <w:rPr>
          <w:color w:val="auto"/>
          <w:highlight w:val="none"/>
        </w:rPr>
        <w:t> </w:t>
      </w:r>
      <w:r>
        <w:rPr>
          <w:rFonts w:hint="eastAsia"/>
          <w:color w:val="auto"/>
          <w:highlight w:val="none"/>
        </w:rPr>
        <w:t>联系人：刘燕珍</w:t>
      </w:r>
    </w:p>
    <w:p>
      <w:pPr>
        <w:pStyle w:val="8"/>
        <w:spacing w:before="0" w:beforeAutospacing="0" w:after="0" w:afterAutospacing="0" w:line="400" w:lineRule="exact"/>
        <w:ind w:firstLine="480"/>
        <w:rPr>
          <w:color w:val="auto"/>
          <w:highlight w:val="none"/>
        </w:rPr>
      </w:pPr>
      <w:r>
        <w:rPr>
          <w:color w:val="auto"/>
          <w:highlight w:val="none"/>
        </w:rPr>
        <w:t> </w:t>
      </w:r>
      <w:r>
        <w:rPr>
          <w:rFonts w:hint="eastAsia"/>
          <w:color w:val="auto"/>
          <w:highlight w:val="none"/>
        </w:rPr>
        <w:t>联系方法：</w:t>
      </w:r>
      <w:r>
        <w:rPr>
          <w:color w:val="auto"/>
          <w:highlight w:val="none"/>
        </w:rPr>
        <w:t>0595-22192139</w:t>
      </w:r>
    </w:p>
    <w:p>
      <w:pPr>
        <w:pStyle w:val="8"/>
        <w:spacing w:before="0" w:beforeAutospacing="0" w:after="0" w:afterAutospacing="0" w:line="400" w:lineRule="exact"/>
        <w:ind w:left="240" w:hanging="240" w:hangingChars="100"/>
        <w:rPr>
          <w:color w:val="auto"/>
          <w:highlight w:val="none"/>
        </w:rPr>
      </w:pPr>
    </w:p>
    <w:p>
      <w:pPr>
        <w:pStyle w:val="8"/>
        <w:spacing w:before="0" w:beforeAutospacing="0" w:after="0" w:afterAutospacing="0" w:line="400" w:lineRule="exact"/>
        <w:ind w:left="240" w:hanging="240" w:hangingChars="100"/>
        <w:rPr>
          <w:color w:val="auto"/>
          <w:highlight w:val="none"/>
        </w:rPr>
      </w:pPr>
    </w:p>
    <w:p>
      <w:pPr>
        <w:pStyle w:val="8"/>
        <w:spacing w:before="0" w:beforeAutospacing="0" w:after="0" w:afterAutospacing="0" w:line="400" w:lineRule="exact"/>
        <w:ind w:left="240" w:hanging="240" w:hangingChars="100"/>
        <w:rPr>
          <w:color w:val="auto"/>
          <w:highlight w:val="none"/>
        </w:rPr>
      </w:pPr>
    </w:p>
    <w:p>
      <w:pPr>
        <w:pStyle w:val="8"/>
        <w:spacing w:before="0" w:beforeAutospacing="0" w:after="0" w:afterAutospacing="0" w:line="400" w:lineRule="exact"/>
        <w:ind w:left="240" w:hanging="240" w:hangingChars="100"/>
        <w:rPr>
          <w:color w:val="auto"/>
          <w:highlight w:val="none"/>
        </w:rPr>
      </w:pPr>
    </w:p>
    <w:p>
      <w:pPr>
        <w:pStyle w:val="8"/>
        <w:spacing w:before="0" w:beforeAutospacing="0" w:after="0" w:afterAutospacing="0" w:line="400" w:lineRule="exact"/>
        <w:ind w:left="240" w:hanging="240" w:hangingChars="100"/>
        <w:rPr>
          <w:color w:val="auto"/>
          <w:highlight w:val="none"/>
        </w:rPr>
      </w:pPr>
    </w:p>
    <w:p>
      <w:pPr>
        <w:pStyle w:val="8"/>
        <w:spacing w:before="0" w:beforeAutospacing="0" w:after="0" w:afterAutospacing="0" w:line="400" w:lineRule="exact"/>
        <w:rPr>
          <w:color w:val="auto"/>
          <w:highlight w:val="none"/>
        </w:rPr>
      </w:pPr>
    </w:p>
    <w:p>
      <w:pPr>
        <w:widowControl/>
        <w:spacing w:before="100" w:beforeAutospacing="1" w:after="100" w:afterAutospacing="1"/>
        <w:jc w:val="left"/>
        <w:rPr>
          <w:rFonts w:ascii="宋体" w:hAnsi="宋体" w:eastAsia="宋体" w:cs="宋体"/>
          <w:color w:val="auto"/>
          <w:kern w:val="0"/>
          <w:sz w:val="24"/>
          <w:szCs w:val="24"/>
          <w:highlight w:val="none"/>
        </w:rPr>
      </w:pP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：采购标的一览表</w:t>
      </w:r>
    </w:p>
    <w:p>
      <w:pPr>
        <w:widowControl/>
        <w:spacing w:before="100" w:beforeAutospacing="1" w:after="100" w:afterAutospacing="1"/>
        <w:jc w:val="righ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金额单位：人民币元 </w:t>
      </w:r>
    </w:p>
    <w:tbl>
      <w:tblPr>
        <w:tblStyle w:val="10"/>
        <w:tblW w:w="870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6"/>
        <w:gridCol w:w="907"/>
        <w:gridCol w:w="2173"/>
        <w:gridCol w:w="773"/>
        <w:gridCol w:w="1174"/>
        <w:gridCol w:w="909"/>
        <w:gridCol w:w="1158"/>
        <w:gridCol w:w="9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70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合同包</w:t>
            </w:r>
          </w:p>
        </w:tc>
        <w:tc>
          <w:tcPr>
            <w:tcW w:w="9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品目号</w:t>
            </w:r>
          </w:p>
        </w:tc>
        <w:tc>
          <w:tcPr>
            <w:tcW w:w="217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采购标的</w:t>
            </w:r>
          </w:p>
        </w:tc>
        <w:tc>
          <w:tcPr>
            <w:tcW w:w="77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数量</w:t>
            </w:r>
          </w:p>
        </w:tc>
        <w:tc>
          <w:tcPr>
            <w:tcW w:w="117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品目号预算</w:t>
            </w:r>
          </w:p>
        </w:tc>
        <w:tc>
          <w:tcPr>
            <w:tcW w:w="90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允许进口</w:t>
            </w:r>
          </w:p>
        </w:tc>
        <w:tc>
          <w:tcPr>
            <w:tcW w:w="115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合同包预算</w:t>
            </w:r>
          </w:p>
        </w:tc>
        <w:tc>
          <w:tcPr>
            <w:tcW w:w="90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投标</w:t>
            </w:r>
            <w:r>
              <w:rPr>
                <w:rFonts w:ascii="宋体" w:hAnsi="宋体" w:eastAsia="宋体" w:cs="宋体"/>
                <w:b/>
                <w:color w:val="auto"/>
                <w:kern w:val="0"/>
                <w:sz w:val="24"/>
                <w:szCs w:val="24"/>
                <w:highlight w:val="none"/>
              </w:rPr>
              <w:t>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9" w:hRule="atLeast"/>
          <w:tblHeader/>
        </w:trPr>
        <w:tc>
          <w:tcPr>
            <w:tcW w:w="70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9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217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泉州师范学院东海校区10部奥的斯电梯维保服务（全包）</w:t>
            </w:r>
          </w:p>
        </w:tc>
        <w:tc>
          <w:tcPr>
            <w:tcW w:w="77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cs="宋体" w:asciiTheme="majorEastAsia" w:hAnsiTheme="majorEastAsia" w:eastAsiaTheme="majorEastAsia"/>
                <w:color w:val="auto"/>
                <w:kern w:val="0"/>
                <w:sz w:val="24"/>
                <w:szCs w:val="24"/>
                <w:highlight w:val="none"/>
              </w:rPr>
              <w:t>1</w:t>
            </w:r>
            <w:r>
              <w:rPr>
                <w:rFonts w:hint="eastAsia" w:cs="宋体" w:asciiTheme="majorEastAsia" w:hAnsiTheme="majorEastAsia" w:eastAsiaTheme="majorEastAsia"/>
                <w:color w:val="auto"/>
                <w:kern w:val="0"/>
                <w:sz w:val="24"/>
                <w:szCs w:val="24"/>
                <w:highlight w:val="none"/>
              </w:rPr>
              <w:t>年</w:t>
            </w:r>
          </w:p>
        </w:tc>
        <w:tc>
          <w:tcPr>
            <w:tcW w:w="117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132000</w:t>
            </w:r>
            <w:r>
              <w:rPr>
                <w:rFonts w:hint="eastAsia" w:ascii="宋体" w:hAnsi="宋体" w:eastAsia="宋体" w:cs="宋体"/>
                <w:color w:val="auto"/>
                <w:kern w:val="0"/>
                <w:sz w:val="24"/>
                <w:szCs w:val="24"/>
                <w:highlight w:val="none"/>
              </w:rPr>
              <w:t>.00</w:t>
            </w:r>
          </w:p>
        </w:tc>
        <w:tc>
          <w:tcPr>
            <w:tcW w:w="90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否</w:t>
            </w:r>
          </w:p>
        </w:tc>
        <w:tc>
          <w:tcPr>
            <w:tcW w:w="115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132000</w:t>
            </w:r>
            <w:r>
              <w:rPr>
                <w:rFonts w:hint="eastAsia" w:ascii="宋体" w:hAnsi="宋体" w:eastAsia="宋体" w:cs="宋体"/>
                <w:color w:val="auto"/>
                <w:kern w:val="0"/>
                <w:sz w:val="24"/>
                <w:szCs w:val="24"/>
                <w:highlight w:val="none"/>
              </w:rPr>
              <w:t>.00</w:t>
            </w:r>
          </w:p>
        </w:tc>
        <w:tc>
          <w:tcPr>
            <w:tcW w:w="90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70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9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217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泉州师范学院东海校区2部富士达电梯维保服务（全包）</w:t>
            </w:r>
          </w:p>
        </w:tc>
        <w:tc>
          <w:tcPr>
            <w:tcW w:w="77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1年</w:t>
            </w:r>
          </w:p>
        </w:tc>
        <w:tc>
          <w:tcPr>
            <w:tcW w:w="117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26400</w:t>
            </w:r>
            <w:r>
              <w:rPr>
                <w:rFonts w:hint="eastAsia" w:ascii="宋体" w:hAnsi="宋体" w:eastAsia="宋体" w:cs="宋体"/>
                <w:color w:val="auto"/>
                <w:kern w:val="0"/>
                <w:sz w:val="24"/>
                <w:szCs w:val="24"/>
                <w:highlight w:val="none"/>
              </w:rPr>
              <w:t>.00</w:t>
            </w:r>
          </w:p>
        </w:tc>
        <w:tc>
          <w:tcPr>
            <w:tcW w:w="90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否</w:t>
            </w:r>
          </w:p>
        </w:tc>
        <w:tc>
          <w:tcPr>
            <w:tcW w:w="115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26400</w:t>
            </w:r>
            <w:r>
              <w:rPr>
                <w:rFonts w:hint="eastAsia" w:ascii="宋体" w:hAnsi="宋体" w:eastAsia="宋体" w:cs="宋体"/>
                <w:color w:val="auto"/>
                <w:kern w:val="0"/>
                <w:sz w:val="24"/>
                <w:szCs w:val="24"/>
                <w:highlight w:val="none"/>
              </w:rPr>
              <w:t>.00</w:t>
            </w:r>
          </w:p>
        </w:tc>
        <w:tc>
          <w:tcPr>
            <w:tcW w:w="90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70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c>
          <w:tcPr>
            <w:tcW w:w="217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泉州师范学院东海校区3部通力电梯维保服务（半包）</w:t>
            </w:r>
          </w:p>
        </w:tc>
        <w:tc>
          <w:tcPr>
            <w:tcW w:w="77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1年</w:t>
            </w:r>
          </w:p>
        </w:tc>
        <w:tc>
          <w:tcPr>
            <w:tcW w:w="117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21600</w:t>
            </w:r>
            <w:r>
              <w:rPr>
                <w:rFonts w:hint="eastAsia" w:ascii="宋体" w:hAnsi="宋体" w:eastAsia="宋体" w:cs="宋体"/>
                <w:color w:val="auto"/>
                <w:kern w:val="0"/>
                <w:sz w:val="24"/>
                <w:szCs w:val="24"/>
                <w:highlight w:val="none"/>
              </w:rPr>
              <w:t>.00</w:t>
            </w:r>
          </w:p>
        </w:tc>
        <w:tc>
          <w:tcPr>
            <w:tcW w:w="90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否</w:t>
            </w:r>
          </w:p>
        </w:tc>
        <w:tc>
          <w:tcPr>
            <w:tcW w:w="115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21600</w:t>
            </w:r>
            <w:r>
              <w:rPr>
                <w:rFonts w:hint="eastAsia" w:ascii="宋体" w:hAnsi="宋体" w:eastAsia="宋体" w:cs="宋体"/>
                <w:color w:val="auto"/>
                <w:kern w:val="0"/>
                <w:sz w:val="24"/>
                <w:szCs w:val="24"/>
                <w:highlight w:val="none"/>
              </w:rPr>
              <w:t>.00</w:t>
            </w:r>
          </w:p>
        </w:tc>
        <w:tc>
          <w:tcPr>
            <w:tcW w:w="90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70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90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w:t>
            </w:r>
          </w:p>
        </w:tc>
        <w:tc>
          <w:tcPr>
            <w:tcW w:w="217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泉州师范学院东海校区2部德奥电梯维保服务（半包）</w:t>
            </w:r>
          </w:p>
        </w:tc>
        <w:tc>
          <w:tcPr>
            <w:tcW w:w="77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1年</w:t>
            </w:r>
          </w:p>
        </w:tc>
        <w:tc>
          <w:tcPr>
            <w:tcW w:w="117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14400</w:t>
            </w:r>
            <w:r>
              <w:rPr>
                <w:rFonts w:hint="eastAsia" w:ascii="宋体" w:hAnsi="宋体" w:eastAsia="宋体" w:cs="宋体"/>
                <w:color w:val="auto"/>
                <w:kern w:val="0"/>
                <w:sz w:val="24"/>
                <w:szCs w:val="24"/>
                <w:highlight w:val="none"/>
              </w:rPr>
              <w:t>.00</w:t>
            </w:r>
          </w:p>
        </w:tc>
        <w:tc>
          <w:tcPr>
            <w:tcW w:w="90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否</w:t>
            </w:r>
          </w:p>
        </w:tc>
        <w:tc>
          <w:tcPr>
            <w:tcW w:w="115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cs="宋体" w:asciiTheme="majorEastAsia" w:hAnsiTheme="majorEastAsia" w:eastAsiaTheme="majorEastAsia"/>
                <w:color w:val="auto"/>
                <w:kern w:val="0"/>
                <w:sz w:val="24"/>
                <w:szCs w:val="24"/>
                <w:highlight w:val="none"/>
              </w:rPr>
              <w:t>14400</w:t>
            </w:r>
            <w:r>
              <w:rPr>
                <w:rFonts w:hint="eastAsia" w:ascii="宋体" w:hAnsi="宋体" w:eastAsia="宋体" w:cs="宋体"/>
                <w:color w:val="auto"/>
                <w:kern w:val="0"/>
                <w:sz w:val="24"/>
                <w:szCs w:val="24"/>
                <w:highlight w:val="none"/>
              </w:rPr>
              <w:t>.00</w:t>
            </w:r>
          </w:p>
        </w:tc>
        <w:tc>
          <w:tcPr>
            <w:tcW w:w="90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0</w:t>
            </w:r>
          </w:p>
        </w:tc>
      </w:tr>
    </w:tbl>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35"/>
          <w:highlight w:val="none"/>
        </w:rPr>
        <w:t>第二章  协商须知前附表</w:t>
      </w:r>
    </w:p>
    <w:p>
      <w:pPr>
        <w:widowControl/>
        <w:spacing w:before="100" w:beforeAutospacing="1" w:after="100" w:afterAutospacing="1" w:line="288" w:lineRule="atLeast"/>
        <w:ind w:firstLine="336"/>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本须知前附表的项号与采购文件内容如有矛盾，应以本须知前附表为准。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表1</w:t>
      </w:r>
    </w:p>
    <w:tbl>
      <w:tblPr>
        <w:tblStyle w:val="10"/>
        <w:tblW w:w="8767"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77"/>
        <w:gridCol w:w="968"/>
        <w:gridCol w:w="7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84"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序号</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采购文件（第三章）</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编   列   内    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20"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line="240" w:lineRule="exac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项目编号：FJJX20</w:t>
            </w:r>
            <w:r>
              <w:rPr>
                <w:rFonts w:hint="eastAsia" w:ascii="宋体" w:hAnsi="宋体" w:eastAsia="宋体" w:cs="宋体"/>
                <w:color w:val="auto"/>
                <w:kern w:val="0"/>
                <w:sz w:val="24"/>
                <w:szCs w:val="24"/>
                <w:highlight w:val="none"/>
              </w:rPr>
              <w:t>20018</w:t>
            </w:r>
          </w:p>
          <w:p>
            <w:pPr>
              <w:widowControl/>
              <w:wordWrap w:val="0"/>
              <w:spacing w:before="100" w:beforeAutospacing="1" w:after="100" w:afterAutospacing="1" w:line="240" w:lineRule="exac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rPr>
              <w:t>泉州师范学院电梯维保服务采购项目</w:t>
            </w:r>
          </w:p>
          <w:p>
            <w:pPr>
              <w:widowControl/>
              <w:wordWrap w:val="0"/>
              <w:spacing w:before="100" w:beforeAutospacing="1" w:after="100" w:afterAutospacing="1" w:line="240" w:lineRule="exac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采购人名称：</w:t>
            </w:r>
            <w:r>
              <w:rPr>
                <w:rFonts w:hint="eastAsia" w:ascii="宋体" w:hAnsi="宋体" w:eastAsia="宋体" w:cs="宋体"/>
                <w:color w:val="auto"/>
                <w:kern w:val="0"/>
                <w:sz w:val="24"/>
                <w:szCs w:val="24"/>
                <w:highlight w:val="none"/>
              </w:rPr>
              <w:t>泉州师范学院</w:t>
            </w:r>
          </w:p>
          <w:p>
            <w:pPr>
              <w:widowControl/>
              <w:wordWrap w:val="0"/>
              <w:spacing w:before="100" w:beforeAutospacing="1" w:after="100" w:afterAutospacing="1" w:line="240" w:lineRule="exac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项目内容：详见采购标的一览表及采购文件第四章。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36"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资格要求：</w:t>
            </w:r>
          </w:p>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 详见第一章《协商邀请》；</w:t>
            </w:r>
          </w:p>
          <w:p>
            <w:pPr>
              <w:widowControl/>
              <w:wordWrap w:val="0"/>
              <w:spacing w:before="100" w:beforeAutospacing="1" w:after="100" w:afterAutospacing="1"/>
              <w:ind w:left="28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 在专家论证阶段是否已审核过供应商资格：否</w:t>
            </w:r>
          </w:p>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注：在专家论证阶段已审核过供应商资格的，在协商阶段协商小组无须重复审查；但供应商自身资格条件出现变化的须作出说明，并向协商小组补充提供相关材料，由协商小组重新进行审查。</w:t>
            </w:r>
          </w:p>
          <w:tbl>
            <w:tblPr>
              <w:tblStyle w:val="10"/>
              <w:tblW w:w="7073"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83"/>
              <w:gridCol w:w="38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明细</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a1投标函</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a2单位负责人授权书</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a3法人或者其他组织的营业执照等证明文件，自然人的身份证明</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a4财务状况报告</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提供会计师事务所出具的上一年度或上一季度财务审计报告，至少包括“资产负债表、利润表、现金流量表”；或者提供开户许可证和投标截止时间前三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a5依法缴纳税收的相关材料</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提供投标截止时间前三个月任一个月的依法缴纳税收的凭据；或者提供依法免税的相应证明文件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a6依法缴纳社会保障资金的相关材料</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提供投标截止时间前三个月任一个月的依法缴纳社会保障资金的凭据；或者提供依法不需要缴纳社会保障资金的相应证明文件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a7具备履行合同所必需的设备和专业技术能力的材料</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a8参加政府采购活动前3年内在经营活动中没有重大违法记录的书面声明</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重大违法记录”指单一来源采购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单一来源采购供应商应按照单一来源采购文件第六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a9信用信息查询结果</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a1</w:t>
                  </w:r>
                  <w:r>
                    <w:rPr>
                      <w:rFonts w:hint="eastAsia" w:ascii="宋体" w:hAnsi="宋体" w:eastAsia="宋体" w:cs="宋体"/>
                      <w:color w:val="auto"/>
                      <w:kern w:val="0"/>
                      <w:sz w:val="24"/>
                      <w:szCs w:val="24"/>
                      <w:highlight w:val="none"/>
                    </w:rPr>
                    <w:t>0</w:t>
                  </w:r>
                  <w:r>
                    <w:rPr>
                      <w:rFonts w:ascii="宋体" w:hAnsi="宋体" w:eastAsia="宋体" w:cs="宋体"/>
                      <w:color w:val="auto"/>
                      <w:kern w:val="0"/>
                      <w:sz w:val="24"/>
                      <w:szCs w:val="24"/>
                      <w:highlight w:val="none"/>
                    </w:rPr>
                    <w:t>投标保证金</w:t>
                  </w:r>
                </w:p>
              </w:tc>
              <w:tc>
                <w:tcPr>
                  <w:tcW w:w="389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p>
              </w:tc>
            </w:tr>
          </w:tbl>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96"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6.4</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响应文件份数：</w:t>
            </w:r>
          </w:p>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正本</w:t>
            </w:r>
            <w:r>
              <w:rPr>
                <w:rFonts w:ascii="宋体" w:hAnsi="宋体" w:eastAsia="宋体" w:cs="宋体"/>
                <w:color w:val="auto"/>
                <w:kern w:val="0"/>
                <w:sz w:val="24"/>
                <w:szCs w:val="24"/>
                <w:highlight w:val="none"/>
                <w:u w:val="single"/>
              </w:rPr>
              <w:t>1</w:t>
            </w:r>
            <w:r>
              <w:rPr>
                <w:rFonts w:ascii="宋体" w:hAnsi="宋体" w:eastAsia="宋体" w:cs="宋体"/>
                <w:color w:val="auto"/>
                <w:kern w:val="0"/>
                <w:sz w:val="24"/>
                <w:szCs w:val="24"/>
                <w:highlight w:val="none"/>
              </w:rPr>
              <w:t>份、副本</w:t>
            </w:r>
            <w:r>
              <w:rPr>
                <w:rFonts w:ascii="宋体" w:hAnsi="宋体" w:eastAsia="宋体" w:cs="宋体"/>
                <w:color w:val="auto"/>
                <w:kern w:val="0"/>
                <w:sz w:val="24"/>
                <w:szCs w:val="24"/>
                <w:highlight w:val="none"/>
                <w:u w:val="single"/>
              </w:rPr>
              <w:t>3</w:t>
            </w:r>
            <w:r>
              <w:rPr>
                <w:rFonts w:ascii="宋体" w:hAnsi="宋体" w:eastAsia="宋体" w:cs="宋体"/>
                <w:color w:val="auto"/>
                <w:kern w:val="0"/>
                <w:sz w:val="24"/>
                <w:szCs w:val="24"/>
                <w:highlight w:val="none"/>
              </w:rPr>
              <w:t>份，电子文本</w:t>
            </w:r>
            <w:r>
              <w:rPr>
                <w:rFonts w:ascii="Calibri" w:hAnsi="Calibri" w:eastAsia="宋体" w:cs="Calibri"/>
                <w:color w:val="auto"/>
                <w:kern w:val="0"/>
                <w:sz w:val="24"/>
                <w:szCs w:val="24"/>
                <w:highlight w:val="none"/>
                <w:u w:val="single"/>
              </w:rPr>
              <w:t>1 </w:t>
            </w:r>
            <w:r>
              <w:rPr>
                <w:rFonts w:ascii="宋体" w:hAnsi="宋体" w:eastAsia="宋体" w:cs="宋体"/>
                <w:color w:val="auto"/>
                <w:kern w:val="0"/>
                <w:sz w:val="24"/>
                <w:szCs w:val="24"/>
                <w:highlight w:val="none"/>
              </w:rPr>
              <w:t>份。</w:t>
            </w:r>
          </w:p>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响应文件的编制要求详见本须知第6.5条“响应文件的格式”；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4"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6.6</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最高限价：</w:t>
            </w:r>
            <w:r>
              <w:rPr>
                <w:rFonts w:ascii="宋体" w:hAnsi="宋体" w:eastAsia="宋体" w:cs="宋体"/>
                <w:color w:val="auto"/>
                <w:kern w:val="0"/>
                <w:sz w:val="24"/>
                <w:szCs w:val="24"/>
                <w:highlight w:val="none"/>
              </w:rPr>
              <w:t>本次采购项目预算金额为最高限价，详见《采购标的一览表》。供应商报价超出最高限价者，按无效报价处理。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4"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6.7</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响应有效期：提交响应文件截止时间结束后</w:t>
            </w:r>
            <w:r>
              <w:rPr>
                <w:rFonts w:ascii="宋体" w:hAnsi="宋体" w:eastAsia="宋体" w:cs="宋体"/>
                <w:color w:val="auto"/>
                <w:kern w:val="0"/>
                <w:sz w:val="24"/>
                <w:szCs w:val="24"/>
                <w:highlight w:val="none"/>
                <w:u w:val="single"/>
              </w:rPr>
              <w:t>90</w:t>
            </w:r>
            <w:r>
              <w:rPr>
                <w:rFonts w:ascii="宋体" w:hAnsi="宋体" w:eastAsia="宋体" w:cs="宋体"/>
                <w:color w:val="auto"/>
                <w:kern w:val="0"/>
                <w:sz w:val="24"/>
                <w:szCs w:val="24"/>
                <w:highlight w:val="none"/>
              </w:rPr>
              <w:t>日历日。</w:t>
            </w:r>
          </w:p>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有效期不足将导致其响应文件被拒绝。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36"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6.8</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协商保证金：无。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11.1</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协商标准和方法：</w:t>
            </w:r>
            <w:r>
              <w:rPr>
                <w:rFonts w:ascii="宋体" w:hAnsi="宋体" w:eastAsia="宋体" w:cs="宋体"/>
                <w:color w:val="auto"/>
                <w:kern w:val="0"/>
                <w:sz w:val="24"/>
                <w:szCs w:val="24"/>
                <w:highlight w:val="none"/>
              </w:rPr>
              <w:t>在保证本项目质量的前提下，与供应商商定合理的成交价格。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40"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12.1</w:t>
            </w: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hint="eastAsia" w:ascii="宋体" w:hAnsi="宋体" w:eastAsia="宋体" w:cs="宋体"/>
                <w:color w:val="auto"/>
                <w:kern w:val="0"/>
                <w:sz w:val="24"/>
                <w:szCs w:val="24"/>
                <w:highlight w:val="none"/>
                <w:lang w:eastAsia="zh-CN"/>
              </w:rPr>
            </w:pPr>
            <w:r>
              <w:rPr>
                <w:rFonts w:ascii="宋体" w:hAnsi="宋体" w:eastAsia="宋体" w:cs="宋体"/>
                <w:b/>
                <w:bCs/>
                <w:color w:val="auto"/>
                <w:kern w:val="0"/>
                <w:sz w:val="24"/>
                <w:szCs w:val="24"/>
                <w:highlight w:val="none"/>
              </w:rPr>
              <w:t>履约保证金：</w:t>
            </w:r>
            <w:r>
              <w:rPr>
                <w:rFonts w:hint="eastAsia" w:ascii="宋体" w:hAnsi="宋体" w:eastAsia="宋体" w:cs="宋体"/>
                <w:b/>
                <w:bCs/>
                <w:color w:val="auto"/>
                <w:kern w:val="0"/>
                <w:sz w:val="24"/>
                <w:szCs w:val="24"/>
                <w:highlight w:val="none"/>
                <w:lang w:eastAsia="zh-CN"/>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8"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监督管理部门：</w:t>
            </w:r>
            <w:r>
              <w:rPr>
                <w:rFonts w:hint="eastAsia" w:ascii="宋体" w:hAnsi="宋体" w:eastAsia="宋体" w:cs="宋体"/>
                <w:b/>
                <w:color w:val="auto"/>
                <w:kern w:val="0"/>
                <w:sz w:val="24"/>
                <w:szCs w:val="24"/>
                <w:highlight w:val="none"/>
              </w:rPr>
              <w:t>泉州师范学院</w:t>
            </w:r>
            <w:r>
              <w:rPr>
                <w:rFonts w:ascii="宋体" w:hAnsi="宋体" w:eastAsia="宋体" w:cs="宋体"/>
                <w:b/>
                <w:bCs/>
                <w:color w:val="auto"/>
                <w:kern w:val="0"/>
                <w:sz w:val="24"/>
                <w:szCs w:val="24"/>
                <w:highlight w: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2"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采购信息发布媒体（以下简称：“指定媒体”）：</w:t>
            </w:r>
          </w:p>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（1）中国政府采购网，网址www.ccgp.gov.cn。</w:t>
            </w:r>
          </w:p>
          <w:p>
            <w:pPr>
              <w:widowControl/>
              <w:wordWrap w:val="0"/>
              <w:spacing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福建景鑫招标有限公司网，网址</w:t>
            </w:r>
            <w:r>
              <w:rPr>
                <w:color w:val="auto"/>
                <w:highlight w:val="none"/>
              </w:rPr>
              <w:fldChar w:fldCharType="begin"/>
            </w:r>
            <w:r>
              <w:rPr>
                <w:color w:val="auto"/>
                <w:highlight w:val="none"/>
              </w:rPr>
              <w:instrText xml:space="preserve"> HYPERLINK "http://www.fjsjxzb.com/" </w:instrText>
            </w:r>
            <w:r>
              <w:rPr>
                <w:color w:val="auto"/>
                <w:highlight w:val="none"/>
              </w:rPr>
              <w:fldChar w:fldCharType="separate"/>
            </w:r>
            <w:r>
              <w:rPr>
                <w:rFonts w:ascii="宋体" w:hAnsi="宋体" w:eastAsia="宋体" w:cs="宋体"/>
                <w:color w:val="auto"/>
                <w:kern w:val="0"/>
                <w:sz w:val="24"/>
                <w:szCs w:val="24"/>
                <w:highlight w:val="none"/>
              </w:rPr>
              <w:t>http://www.jxzbyxgs.com/</w:t>
            </w:r>
            <w:r>
              <w:rPr>
                <w:rFonts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pPr>
              <w:widowControl/>
              <w:wordWrap w:val="0"/>
              <w:spacing w:before="100" w:beforeAutospacing="1" w:after="100" w:afterAutospacing="1"/>
              <w:jc w:val="lef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2"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采购代理服务费：</w:t>
            </w:r>
            <w:r>
              <w:rPr>
                <w:rFonts w:hint="eastAsia" w:ascii="宋体" w:hAnsi="宋体" w:eastAsia="宋体" w:cs="宋体"/>
                <w:color w:val="auto"/>
                <w:kern w:val="0"/>
                <w:sz w:val="24"/>
                <w:szCs w:val="24"/>
                <w:highlight w:val="none"/>
              </w:rPr>
              <w:t>合同包一采购代理服务费为2640元；合同包二采购代理服务费为528元；合同包三采购代理服务费为432元；合同包四采购代理服务费为288元。中标服务费收取账号（开户行：建设银行泉州分行，户名：福建景鑫招标有限公司泉州分公司，账号：3500 1652 4900 5251 6706）。</w:t>
            </w:r>
          </w:p>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u w:val="single"/>
              </w:rPr>
              <w:t>本项目代理费服务费由成交供应商支付。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6" w:hRule="atLeast"/>
          <w:tblCellSpacing w:w="15" w:type="dxa"/>
        </w:trPr>
        <w:tc>
          <w:tcPr>
            <w:tcW w:w="4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w:t>
            </w:r>
          </w:p>
        </w:tc>
        <w:tc>
          <w:tcPr>
            <w:tcW w:w="93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727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wordWrap w:val="0"/>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其他事项：</w:t>
            </w:r>
            <w:r>
              <w:rPr>
                <w:rFonts w:ascii="宋体" w:hAnsi="宋体" w:eastAsia="宋体" w:cs="宋体"/>
                <w:color w:val="auto"/>
                <w:kern w:val="0"/>
                <w:sz w:val="24"/>
                <w:szCs w:val="24"/>
                <w:highlight w:val="none"/>
              </w:rPr>
              <w:t>无。</w:t>
            </w:r>
          </w:p>
        </w:tc>
      </w:tr>
    </w:tbl>
    <w:p>
      <w:pPr>
        <w:widowControl/>
        <w:spacing w:before="100" w:beforeAutospacing="1" w:after="100" w:afterAutospacing="1"/>
        <w:jc w:val="both"/>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35"/>
          <w:highlight w:val="none"/>
        </w:rPr>
        <w:t>第三章  协商须知正文</w:t>
      </w:r>
    </w:p>
    <w:p>
      <w:pPr>
        <w:widowControl/>
        <w:spacing w:before="100" w:beforeAutospacing="1" w:after="100" w:afterAutospacing="1" w:line="32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一、总则</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1、适用范围</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1.1适用于采购文件载明项目的采购活动（以下简称：“本次采购活动”）。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2、定义</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2.1“采购标的”指采购文件载明的需要采购的货物、服务或工程。</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2.2“采购方”指组织采购标的采购活动的采购人（自行采购的）或采购代理机构（代理采购的）。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2.3“供应商”指采购文件第一章第4条被邀请参加本项目特定合同包协商的供应商。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2.4“单位负责人”指单位法定代表人（供应商为法人的）或法律、法规规定代表单位行使职权的主要负责人（供应商为其他组织的）。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2.5“供应商代表”指供应商（供应商为法人或其他组织的）的单位负责人或由其授权的委托代理人，即单位负责人授权书中载明的接受授权方。</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2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二、供应商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3、合格供应商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3.1一般规定</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（1）供应商除了应遵守政府采购法及实施条例、政府采购非招标采购方式管理办法及财政部、福建省财政厅有关政府采购文件的规定外，还应遵守有关法律、法规和规章的强制性规定。</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（2）供应商的资格要求：详见采购文件第一章《协商邀请》。</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4、参与协商的费用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4.1 除采购文件另有规定外，无论协商的结果如何，供应商应自行承担其参加本项目协商所涉及的一切费用。</w:t>
      </w:r>
    </w:p>
    <w:p>
      <w:pPr>
        <w:widowControl/>
        <w:spacing w:before="100" w:beforeAutospacing="1" w:after="100" w:afterAutospacing="1" w:line="32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三、采购文件</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5、采购文件的组成</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5.1采购文件用以阐明所需项目协商程序和合同主要条款，由下列部分及在采购过程中发出的澄清或者修改文件组成：</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第一章 协商邀请</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第二章 协商须知前附表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第三章 协商须知正文</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第四章 采购标的及要求</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第五章 政府采购合同</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第六章 响应文件格式</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5.2 采购文件的澄清或者修改</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5.2.1采购方对已发出的采购文件进行必要澄清或者修改的，将以更正公告通知供应商。澄清或者修改文件作为采购文件的组成部分。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2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四、响应文件的编写</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6、响应文件</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6.1响应文件的编制</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（1）供应商应仔细阅读采购文件的所有内容，按照采购文件的要求编制响应文件。</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（2）响应文件应按照本章第6.2条规定编制其组成部分。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（3）响应文件应满足采购文件提出的实质性要求和条件，并保证其所提交的全部资料是不可割离且真实、有效、准确、完整和不具有任何误导性的，否则造成不利后果由供应商承担责任。</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6.2 响应文件的组成：详见采购文件第六章《响应文件格式》。</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6.3响应文件的语言</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（1）除采购文件另有规定外，响应文件应使用中文文本，若有不同文本，以中文文本为准。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6.4响应文件的份数：详见采购文件第二章《协商须知前附表》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6.5响应文件的格式</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（1）除采购文件另有规定外，响应文件应使用采购文件第六章规定的格式。</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（2）除采购文件另有规定外，响应文件的正本和全部副本均应使用不能擦去的墨料或墨水打印、书写或复印，其中副本可用正本的完整复印件，并与正本保持一致（若不一致，以正本为准）。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（3）除采购文件另有规定外，响应文件应使用我国法定计量单位，未列明时默认为我国法定计量单位。</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（4）响应文件应由供应商代表签字并加盖供应商的单位公章。若供应商代表为单位负责人授权的委托代理人，应提供“单位负责人授权书”。</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（5）响应文件应没有涂改或行间插字，除非这些改动是根据采购方的指示进行的，或是为改正响应人造成的应修改的错误而进行的。若有前述改动，应按照下列规定之一对改动处进行处理：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①供应商代表签字确认；</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②加盖供应商的单位公章或校正章。</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6.6供应商报价</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（1）预算价作为最高限价。供应商报价超出最高限价者，按无效报价处理。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（2）除采购文件另有规定外，响应文件应使用人民币作为计量货币。</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（3）除采购文件另有规定外，响应文件不能出现任何选择性的报价，即每一个合同包和品目号的采购标的都只能有一个报价。任何选择性的报价将导致响应文件无效。</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（4）供应商报价仅作为协商的参考，不得未经协商直接确定为成交价格。最后的成交价格应以协商后确定的价格为准。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6.7响应有效期</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（1）响应文件从采购文件第一章所规定的提交响应文件截止时间之后开始生效，在协商须知前附表第5项所规定的期限内保持有效。</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（1）采购文件载明的响应有效期：详见采购文件第二章《协商须知前附表》。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（2）响应文件承诺的响应有效期不得少于采购文件载明的响应有效期，否则响应文件无效。</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6.8 协商保证金：协商须知前附表若有要求提交协商保证金的，则按照下列条款执行</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（1）协商保证金作为供应商按照采购文件要求履行相应协商义务的约束及担保。</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（2）协商保证金的有效期与响应文件承诺的投标有效期保持一致。</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（3）提交</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①供应商应从其银行账户（基本户）按照采购文件第二章《协商须知前附表》规定的方式向采购文件载明的协商保证金账户提交协商保证金，具体金额详见采购文件第一章。</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②协商保证金应于提交响应文件截止时间前到达采购文件载明的协商保证金账户，否则视为协商保证金未提交。</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（4）退还</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②成交的协商保证金将在政府采购合同签订之日起5个工作日内退回原账户；签订之日以</w:t>
      </w:r>
      <w:r>
        <w:rPr>
          <w:rFonts w:hint="eastAsia" w:ascii="宋体" w:hAnsi="宋体" w:eastAsia="宋体" w:cs="宋体"/>
          <w:color w:val="auto"/>
          <w:kern w:val="0"/>
          <w:sz w:val="24"/>
          <w:szCs w:val="24"/>
          <w:highlight w:val="none"/>
          <w:u w:val="single"/>
        </w:rPr>
        <w:t>合同</w:t>
      </w:r>
      <w:r>
        <w:rPr>
          <w:rFonts w:ascii="宋体" w:hAnsi="宋体" w:eastAsia="宋体" w:cs="宋体"/>
          <w:color w:val="auto"/>
          <w:kern w:val="0"/>
          <w:sz w:val="24"/>
          <w:szCs w:val="24"/>
          <w:highlight w:val="none"/>
        </w:rPr>
        <w:t>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（6）有下列情形之一的，协商保证金将不予退还：</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①供应商提供虚假材料的；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②除因不可抗力或本采购文件认可的情形以外，供应商不与采购人签订合同的；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③未按照采购文件、响应文件的约定签订政府采购合同或提交履约保证金的；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④法律、法规或其他规章制度或本采购文件中规定的其他没收保证金的情形；</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※若上述协商保证金不予退还情形给采购方造成损失，则供应商还要承担相应的赔偿责任。</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2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五、响应文件的提交</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 响应文件的递交</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7.1 供应商应按照协商第一章规定的时间和地点递交响应文件。</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7.2 响应文件须由单位负责人或单位负责人正式授权的供应商代表递交，并由其参与本项目协商。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7.3 供应商在提交响应文件截止时间前，可以对所提交的响应文件进行修改或者撤回，并书面通知采购方。修改的内容和撤回通知作为响应文件的组成部分。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 响应文件未在协商邀请规定的截止时间前送达的，采购方将根据项目情况依法另行组织采购或延长响应文件提交截止时间。</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2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六、协商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 协商小组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9.1 采购方根据采购项目的特点依法组织具有相关经验的专业人员组建协商小组并在提交响应文件截止时间后的适当时间里对响应文件进行审查、评估、和供应商进行协商，并做出授予合同的建议。</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9.2协商小组由</w:t>
      </w:r>
      <w:r>
        <w:rPr>
          <w:rFonts w:hint="eastAsia" w:ascii="宋体" w:hAnsi="宋体" w:eastAsia="宋体" w:cs="宋体"/>
          <w:color w:val="auto"/>
          <w:kern w:val="0"/>
          <w:sz w:val="24"/>
          <w:szCs w:val="24"/>
          <w:highlight w:val="none"/>
          <w:u w:val="single"/>
        </w:rPr>
        <w:t>3</w:t>
      </w:r>
      <w:r>
        <w:rPr>
          <w:rFonts w:ascii="宋体" w:hAnsi="宋体" w:eastAsia="宋体" w:cs="宋体"/>
          <w:color w:val="auto"/>
          <w:kern w:val="0"/>
          <w:sz w:val="24"/>
          <w:szCs w:val="24"/>
          <w:highlight w:val="none"/>
        </w:rPr>
        <w:t>人组成，其中采购人专业人员代表</w:t>
      </w:r>
      <w:r>
        <w:rPr>
          <w:rFonts w:ascii="宋体" w:hAnsi="宋体" w:eastAsia="宋体" w:cs="宋体"/>
          <w:color w:val="auto"/>
          <w:kern w:val="0"/>
          <w:sz w:val="24"/>
          <w:szCs w:val="24"/>
          <w:highlight w:val="none"/>
          <w:u w:val="single"/>
        </w:rPr>
        <w:t>1</w:t>
      </w:r>
      <w:r>
        <w:rPr>
          <w:rFonts w:ascii="宋体" w:hAnsi="宋体" w:eastAsia="宋体" w:cs="宋体"/>
          <w:color w:val="auto"/>
          <w:kern w:val="0"/>
          <w:sz w:val="24"/>
          <w:szCs w:val="24"/>
          <w:highlight w:val="none"/>
        </w:rPr>
        <w:t>人，专家</w:t>
      </w:r>
      <w:r>
        <w:rPr>
          <w:rFonts w:hint="eastAsia" w:ascii="宋体" w:hAnsi="宋体" w:eastAsia="宋体" w:cs="宋体"/>
          <w:color w:val="auto"/>
          <w:kern w:val="0"/>
          <w:sz w:val="24"/>
          <w:szCs w:val="24"/>
          <w:highlight w:val="none"/>
          <w:u w:val="single"/>
        </w:rPr>
        <w:t>2</w:t>
      </w:r>
      <w:r>
        <w:rPr>
          <w:rFonts w:ascii="宋体" w:hAnsi="宋体" w:eastAsia="宋体" w:cs="宋体"/>
          <w:color w:val="auto"/>
          <w:kern w:val="0"/>
          <w:sz w:val="24"/>
          <w:szCs w:val="24"/>
          <w:highlight w:val="none"/>
        </w:rPr>
        <w:t>人。</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 文件审查</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10.1 协商小组对响应文件进行审查。</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 协商并确定成交价格</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11.1 在项目预算范围内，协商小组与供应商就价格进行协商，在保证采购项目质量的前提下，确定合理的成交价格。</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 协商终止</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12.1 出现下列情形之一的，采购方应当终止采购活动，发布项目终止公告并说明原因，重新开展采购活动：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(1)因情况变化，不再符合规定的单一来源采购方式适用情形的；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(2)出现影响采购公正的违法、违规行为的；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(3)报价超过采购预算。</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 项目取消</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在采购活动中因重大变故，采购任务取消的，采购方应当终止采购活动，通知所有参加采购活动的供应商，并将项目实施情况和采购任务取消原因报送本级财政部门。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 保密要求</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14.1 协商小组以及与协商工作有关的人员对协商情况以及协商过程中获悉的国家秘密、商业秘密应当保密。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24"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七、成交与政府采购合同</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 成交</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14.1 成交结果信息的公布</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 成交供应商确定后2个工作日内，采购方应将成交结果信息（含采购文件）在采购文件载明的指定媒体上以结果公告的形式发布成交结果。</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 结果公告的公告期限为１个工作日。</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14.2 成交通知</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 结果公告发布的同时，采购方将以书面形式向成交供应商发出成交通知书。</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 成交通知书对采购人和成交供应商具有同等法律效力。成交通知书发出后，成交供应商放弃成交的，应依法承担法律责任。</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 成交通知书是合同文件的组成部分。</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 政府采购合同</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15.1履约保证金（若有）：成交供应商在收到成交通知书后，应按照采购文件的规定，向采购人提交履约保证金，具体见协商须知前附表。成交供应商没有按照本章规定提交履约保证金的，视为放弃成交资格。</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15.3 签订时限：自成交通知书发出之日起30个日历日内。</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w:t>
      </w:r>
      <w:r>
        <w:rPr>
          <w:rFonts w:hint="eastAsia" w:ascii="宋体" w:hAnsi="宋体" w:eastAsia="宋体" w:cs="宋体"/>
          <w:color w:val="auto"/>
          <w:kern w:val="0"/>
          <w:sz w:val="24"/>
          <w:szCs w:val="24"/>
          <w:highlight w:val="none"/>
        </w:rPr>
        <w:t>5</w:t>
      </w:r>
      <w:r>
        <w:rPr>
          <w:rFonts w:ascii="宋体" w:hAnsi="宋体" w:eastAsia="宋体" w:cs="宋体"/>
          <w:color w:val="auto"/>
          <w:kern w:val="0"/>
          <w:sz w:val="24"/>
          <w:szCs w:val="24"/>
          <w:highlight w:val="none"/>
        </w:rPr>
        <w:t>政府采购合同的履行、违约责任和解决争议的方法等适用合同法。</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w:t>
      </w:r>
      <w:r>
        <w:rPr>
          <w:rFonts w:hint="eastAsia" w:ascii="宋体" w:hAnsi="宋体" w:eastAsia="宋体" w:cs="宋体"/>
          <w:color w:val="auto"/>
          <w:kern w:val="0"/>
          <w:sz w:val="24"/>
          <w:szCs w:val="24"/>
          <w:highlight w:val="none"/>
        </w:rPr>
        <w:t>6</w:t>
      </w:r>
      <w:r>
        <w:rPr>
          <w:rFonts w:ascii="宋体" w:hAnsi="宋体" w:eastAsia="宋体" w:cs="宋体"/>
          <w:color w:val="auto"/>
          <w:kern w:val="0"/>
          <w:sz w:val="24"/>
          <w:szCs w:val="24"/>
          <w:highlight w:val="none"/>
        </w:rPr>
        <w:t>成交供应商在政府采购合同履行过程中应遵守有关法律、法规和规章的强制性规定（即使前述强制性规定有可能在采购文件中未予列明）。</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w:t>
      </w:r>
      <w:r>
        <w:rPr>
          <w:rFonts w:hint="eastAsia" w:ascii="宋体" w:hAnsi="宋体" w:eastAsia="宋体" w:cs="宋体"/>
          <w:color w:val="auto"/>
          <w:kern w:val="0"/>
          <w:sz w:val="24"/>
          <w:szCs w:val="24"/>
          <w:highlight w:val="none"/>
        </w:rPr>
        <w:t>7</w:t>
      </w:r>
      <w:r>
        <w:rPr>
          <w:rFonts w:ascii="宋体" w:hAnsi="宋体" w:eastAsia="宋体" w:cs="宋体"/>
          <w:color w:val="auto"/>
          <w:kern w:val="0"/>
          <w:sz w:val="24"/>
          <w:szCs w:val="24"/>
          <w:highlight w:val="none"/>
        </w:rPr>
        <w:t>成交供应商有下列情形之一的，应依法承担违约责任：</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（1）在成交后，无正当理由不与采购人签订合同的；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（2）在履行期限届满前，明确表示或以自己的行为表明不履行合同义务的；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（3）迟延履行合同，经催告后在合理期限内仍未履行；</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（4）有违反法律、法规相关规定的其他违约行为致使不能实现合同目的；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（5）将合同转包，或采取分包方式履行合同的。</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16.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widowControl/>
        <w:spacing w:before="100" w:beforeAutospacing="1" w:after="100" w:afterAutospacing="1" w:line="348"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第四章 采购标的及要求</w:t>
      </w:r>
      <w:r>
        <w:rPr>
          <w:rFonts w:ascii="宋体" w:hAnsi="宋体" w:eastAsia="宋体" w:cs="宋体"/>
          <w:color w:val="auto"/>
          <w:kern w:val="0"/>
          <w:sz w:val="17"/>
          <w:szCs w:val="17"/>
          <w:highlight w:val="none"/>
        </w:rPr>
        <w:t> </w:t>
      </w:r>
    </w:p>
    <w:p>
      <w:pPr>
        <w:widowControl/>
        <w:spacing w:line="400" w:lineRule="exac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一、项目概况</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1.1泉州师范学院东海校区17部电梯（10部奥的斯电梯、2部富士达电梯，3部通力电梯，2部德奥电梯），需进行电梯维保采购（2020年7月1日至2021年6月30日）。</w:t>
      </w:r>
    </w:p>
    <w:p>
      <w:pPr>
        <w:pStyle w:val="2"/>
        <w:rPr>
          <w:rFonts w:ascii="宋体" w:hAnsi="宋体" w:cs="宋体"/>
          <w:color w:val="auto"/>
          <w:highlight w:val="none"/>
        </w:rPr>
      </w:pPr>
      <w:r>
        <w:rPr>
          <w:rFonts w:hint="eastAsia" w:ascii="宋体" w:hAnsi="宋体" w:cs="宋体"/>
          <w:color w:val="auto"/>
          <w:highlight w:val="none"/>
        </w:rPr>
        <w:t>1.2泉州师范学院东海校区17部电梯</w:t>
      </w:r>
    </w:p>
    <w:p>
      <w:pPr>
        <w:pStyle w:val="2"/>
        <w:rPr>
          <w:color w:val="auto"/>
          <w:highlight w:val="none"/>
        </w:rPr>
      </w:pPr>
    </w:p>
    <w:tbl>
      <w:tblPr>
        <w:tblStyle w:val="10"/>
        <w:tblW w:w="8855" w:type="dxa"/>
        <w:jc w:val="center"/>
        <w:tblLayout w:type="fixed"/>
        <w:tblCellMar>
          <w:top w:w="0" w:type="dxa"/>
          <w:left w:w="108" w:type="dxa"/>
          <w:bottom w:w="0" w:type="dxa"/>
          <w:right w:w="108" w:type="dxa"/>
        </w:tblCellMar>
      </w:tblPr>
      <w:tblGrid>
        <w:gridCol w:w="598"/>
        <w:gridCol w:w="893"/>
        <w:gridCol w:w="1002"/>
        <w:gridCol w:w="1042"/>
        <w:gridCol w:w="923"/>
        <w:gridCol w:w="692"/>
        <w:gridCol w:w="1293"/>
        <w:gridCol w:w="937"/>
        <w:gridCol w:w="1475"/>
      </w:tblGrid>
      <w:tr>
        <w:tblPrEx>
          <w:tblCellMar>
            <w:top w:w="0" w:type="dxa"/>
            <w:left w:w="108" w:type="dxa"/>
            <w:bottom w:w="0" w:type="dxa"/>
            <w:right w:w="108" w:type="dxa"/>
          </w:tblCellMar>
        </w:tblPrEx>
        <w:trPr>
          <w:trHeight w:val="960" w:hRule="atLeast"/>
          <w:jc w:val="center"/>
        </w:trPr>
        <w:tc>
          <w:tcPr>
            <w:tcW w:w="59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合同包</w:t>
            </w:r>
          </w:p>
        </w:tc>
        <w:tc>
          <w:tcPr>
            <w:tcW w:w="8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电梯品牌</w:t>
            </w:r>
          </w:p>
        </w:tc>
        <w:tc>
          <w:tcPr>
            <w:tcW w:w="100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电梯编号</w:t>
            </w:r>
          </w:p>
        </w:tc>
        <w:tc>
          <w:tcPr>
            <w:tcW w:w="104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电梯型号</w:t>
            </w:r>
          </w:p>
        </w:tc>
        <w:tc>
          <w:tcPr>
            <w:tcW w:w="92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安装地点</w:t>
            </w:r>
          </w:p>
        </w:tc>
        <w:tc>
          <w:tcPr>
            <w:tcW w:w="69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层数</w:t>
            </w:r>
          </w:p>
        </w:tc>
        <w:tc>
          <w:tcPr>
            <w:tcW w:w="12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投入使用</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日期</w:t>
            </w:r>
          </w:p>
        </w:tc>
        <w:tc>
          <w:tcPr>
            <w:tcW w:w="93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维保服务方案</w:t>
            </w:r>
          </w:p>
        </w:tc>
        <w:tc>
          <w:tcPr>
            <w:tcW w:w="147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维保服务期</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2020.7.1-</w:t>
            </w:r>
          </w:p>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2021.6.30</w:t>
            </w:r>
          </w:p>
        </w:tc>
      </w:tr>
      <w:tr>
        <w:tblPrEx>
          <w:tblCellMar>
            <w:top w:w="0" w:type="dxa"/>
            <w:left w:w="108" w:type="dxa"/>
            <w:bottom w:w="0" w:type="dxa"/>
            <w:right w:w="108" w:type="dxa"/>
          </w:tblCellMar>
        </w:tblPrEx>
        <w:trPr>
          <w:trHeight w:val="720" w:hRule="atLeast"/>
          <w:jc w:val="center"/>
        </w:trPr>
        <w:tc>
          <w:tcPr>
            <w:tcW w:w="598"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奥的斯</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D6NE9576</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OTIS3200</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荣茂楼</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2003.11.5</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color w:val="auto"/>
                <w:kern w:val="0"/>
                <w:sz w:val="24"/>
                <w:szCs w:val="24"/>
                <w:highlight w:val="none"/>
              </w:rPr>
            </w:pP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奥的斯</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D6NE9577</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OTIS3200</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荣茂楼</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2003.11.5</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color w:val="auto"/>
                <w:kern w:val="0"/>
                <w:sz w:val="24"/>
                <w:szCs w:val="24"/>
                <w:highlight w:val="none"/>
              </w:rPr>
            </w:pP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奥的斯</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D6NE9578</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OTIS3200</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行政楼</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2004.1.14</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color w:val="auto"/>
                <w:kern w:val="0"/>
                <w:sz w:val="24"/>
                <w:szCs w:val="24"/>
                <w:highlight w:val="none"/>
              </w:rPr>
            </w:pP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奥的斯</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D6NE9579</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OTIS3200</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行政楼</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2004.1.14</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color w:val="auto"/>
                <w:kern w:val="0"/>
                <w:sz w:val="24"/>
                <w:szCs w:val="24"/>
                <w:highlight w:val="none"/>
              </w:rPr>
            </w:pP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奥的斯</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D6NE9580</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OTIS3200</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图书馆</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2004.12.7</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color w:val="auto"/>
                <w:kern w:val="0"/>
                <w:sz w:val="24"/>
                <w:szCs w:val="24"/>
                <w:highlight w:val="none"/>
              </w:rPr>
            </w:pP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奥的斯</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D6NE9581</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OTIS3200</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图书馆</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2004.12.7</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color w:val="auto"/>
                <w:kern w:val="0"/>
                <w:sz w:val="24"/>
                <w:szCs w:val="24"/>
                <w:highlight w:val="none"/>
              </w:rPr>
            </w:pP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奥的斯</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D6NE9582</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OTIS3200</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图书馆</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2004.12.7</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color w:val="auto"/>
                <w:kern w:val="0"/>
                <w:sz w:val="24"/>
                <w:szCs w:val="24"/>
                <w:highlight w:val="none"/>
              </w:rPr>
            </w:pP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奥的斯</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D6NE9583</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OTIS3200</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图书馆</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2004.12.7</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color w:val="auto"/>
                <w:kern w:val="0"/>
                <w:sz w:val="24"/>
                <w:szCs w:val="24"/>
                <w:highlight w:val="none"/>
              </w:rPr>
            </w:pP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奥的斯</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D6NF4656</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OTIS3200</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实验楼</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2006.3.14</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color w:val="auto"/>
                <w:kern w:val="0"/>
                <w:sz w:val="24"/>
                <w:szCs w:val="24"/>
                <w:highlight w:val="none"/>
              </w:rPr>
            </w:pP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奥的斯</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D6NF4657</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OTIS3200</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实验楼</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2006.3.14</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富士达</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RLA1010</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EXCEL-MLVF-II</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俊秀文学院</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2008.5.18</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color w:val="auto"/>
                <w:kern w:val="0"/>
                <w:sz w:val="24"/>
                <w:szCs w:val="24"/>
                <w:highlight w:val="none"/>
              </w:rPr>
            </w:pP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富士达</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RLA1011</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EXCEL-MLVF-II</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俊秀文学院</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2008.5.18</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全包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通力</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36801735</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KONE Minispace</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青年公寓</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2015.4.1</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半包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color w:val="auto"/>
                <w:kern w:val="0"/>
                <w:sz w:val="24"/>
                <w:szCs w:val="24"/>
                <w:highlight w:val="none"/>
              </w:rPr>
            </w:pP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通力</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36801736</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KONE Minispace</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青年公寓</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2015.4.1</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半包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color w:val="auto"/>
                <w:kern w:val="0"/>
                <w:sz w:val="24"/>
                <w:szCs w:val="24"/>
                <w:highlight w:val="none"/>
              </w:rPr>
            </w:pP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通力</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36801737</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KONE Minispace</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青年公寓</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12</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2015.4.1</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半包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德奥</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201507092</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DP35(1000/1.75-JXW-VVVF)</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特教大楼</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2016.9.18</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半包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r>
        <w:tblPrEx>
          <w:tblCellMar>
            <w:top w:w="0" w:type="dxa"/>
            <w:left w:w="108" w:type="dxa"/>
            <w:bottom w:w="0" w:type="dxa"/>
            <w:right w:w="108" w:type="dxa"/>
          </w:tblCellMar>
        </w:tblPrEx>
        <w:trPr>
          <w:trHeight w:val="720" w:hRule="atLeast"/>
          <w:jc w:val="center"/>
        </w:trPr>
        <w:tc>
          <w:tcPr>
            <w:tcW w:w="598"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hAnsi="宋体" w:cs="宋体"/>
                <w:color w:val="auto"/>
                <w:kern w:val="0"/>
                <w:sz w:val="24"/>
                <w:szCs w:val="24"/>
                <w:highlight w:val="none"/>
              </w:rPr>
            </w:pPr>
          </w:p>
        </w:tc>
        <w:tc>
          <w:tcPr>
            <w:tcW w:w="8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德奥</w:t>
            </w:r>
          </w:p>
        </w:tc>
        <w:tc>
          <w:tcPr>
            <w:tcW w:w="10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201507093</w:t>
            </w:r>
          </w:p>
        </w:tc>
        <w:tc>
          <w:tcPr>
            <w:tcW w:w="104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DP35(1000/1.75-JXW-VVVF)</w:t>
            </w:r>
          </w:p>
        </w:tc>
        <w:tc>
          <w:tcPr>
            <w:tcW w:w="92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特教大楼</w:t>
            </w:r>
          </w:p>
        </w:tc>
        <w:tc>
          <w:tcPr>
            <w:tcW w:w="69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293"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2016.9.18</w:t>
            </w:r>
          </w:p>
        </w:tc>
        <w:tc>
          <w:tcPr>
            <w:tcW w:w="93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半包</w:t>
            </w:r>
          </w:p>
        </w:tc>
        <w:tc>
          <w:tcPr>
            <w:tcW w:w="147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一年</w:t>
            </w:r>
          </w:p>
        </w:tc>
      </w:tr>
    </w:tbl>
    <w:p>
      <w:pPr>
        <w:pStyle w:val="2"/>
        <w:rPr>
          <w:rFonts w:ascii="宋体" w:hAnsi="宋体" w:cs="宋体"/>
          <w:color w:val="auto"/>
          <w:highlight w:val="none"/>
        </w:rPr>
      </w:pPr>
    </w:p>
    <w:p>
      <w:pPr>
        <w:widowControl/>
        <w:numPr>
          <w:ilvl w:val="0"/>
          <w:numId w:val="1"/>
        </w:numPr>
        <w:spacing w:line="400" w:lineRule="exact"/>
        <w:jc w:val="left"/>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技术要求</w:t>
      </w:r>
    </w:p>
    <w:p>
      <w:pPr>
        <w:pStyle w:val="2"/>
        <w:spacing w:line="400" w:lineRule="exact"/>
        <w:rPr>
          <w:rFonts w:ascii="宋体" w:hAnsi="宋体" w:cs="宋体"/>
          <w:b/>
          <w:bCs/>
          <w:color w:val="auto"/>
          <w:highlight w:val="none"/>
        </w:rPr>
      </w:pPr>
      <w:r>
        <w:rPr>
          <w:rFonts w:hint="eastAsia" w:ascii="宋体" w:hAnsi="宋体" w:cs="宋体"/>
          <w:b/>
          <w:bCs/>
          <w:color w:val="auto"/>
          <w:highlight w:val="none"/>
        </w:rPr>
        <w:t>2.1合同包1泉州师范学院东海校区10部奥的斯电梯维保服务（全包）技术服务要求</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（1）、按照TSG T5002-2017《电梯维护保养规则》并根据电梯的使用情况和设备状况，经双方协商确认后，提供全年保养计划和各项定期保养计划的具体实施时间表。每台每次保养时间不得少于合同约定的相应最少保养时间。如需调整原保养计划，应提前 </w:t>
      </w:r>
      <w:r>
        <w:rPr>
          <w:rFonts w:hint="eastAsia" w:ascii="宋体" w:hAnsi="宋体" w:eastAsia="宋体" w:cs="宋体"/>
          <w:color w:val="auto"/>
          <w:kern w:val="0"/>
          <w:sz w:val="24"/>
          <w:szCs w:val="24"/>
          <w:highlight w:val="none"/>
          <w:u w:val="single"/>
        </w:rPr>
        <w:t xml:space="preserve"> 7  </w:t>
      </w:r>
      <w:r>
        <w:rPr>
          <w:rFonts w:hint="eastAsia" w:ascii="宋体" w:hAnsi="宋体" w:eastAsia="宋体" w:cs="宋体"/>
          <w:color w:val="auto"/>
          <w:kern w:val="0"/>
          <w:sz w:val="24"/>
          <w:szCs w:val="24"/>
          <w:highlight w:val="none"/>
        </w:rPr>
        <w:t>日通知采购人并经采购人同意后方可调整，但应保证保养时间间隔不得超过</w:t>
      </w:r>
      <w:r>
        <w:rPr>
          <w:rFonts w:hint="eastAsia"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 xml:space="preserve">日； </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实施日常维护保养后的电梯应当符合《电梯维修规范》（GB/T18775）、《电梯制造与安装安全规范》（GB 7588）和《自动扶梯、垃圾梯和自动人行道的制造与安装安全规范》（GB 16899）的相关规定。</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提供24小时的紧急救援服务。当电梯发生困人故障，</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应在接到采购人通知后30分钟内赶赴现场实施紧急救援；电梯发生其他故障，</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应在接到采购人通知后  30  分钟内赶到现场实施抢修。若未在规定时间内赶赴现场，产生的后果由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承担法定责任。</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（4）、现场作业人员应当取得相应的《特种设备作业人员证》。为有效实施保养计划，</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应安排熟悉所维保电梯原理、结构、性能、安全要求的特种设备作业人员负责维保工作，并督促其严格按照产品工艺要求、安全及技术规范进行维保。</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（5）、作业过程中应服从采购人现场安全管理，落实现场安全防护措施，保证作业安全。需要安全监护作业的内容应书面告知采购人，作业时，作业人员必须持证上岗，且不得少于2人。</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（6）、现场需采取停梯措施时，应立即通知采购人并及时组织抢修。</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（7）、根据采购人的故障统计记录，</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应至少每季度一次提出故障分析报告。报告中应包含电梯故障的统计分析、整改措施和预防措施，以及有关电梯使用管理的合理化建议。</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本合同签订后对电梯进行一次全面的年度自检，将已发现上个维保周期中电梯存在的安全隐患，并报送使用单位，及时进行维修。应当配合电梯检验检测机构对电梯的定期检验，并参与电梯安全管理活动。负责完成年检中发生的属于本合同范围内的整改工作。维保后的电梯应当符合相应的安全技术规范，并且处于正常的运行状态。负责完成每年办理政府部门的电梯年度安全检查“年检”手续，并协助政府部门进行年度安全检查，并完成定期检验（年检）中发生的属本合同范围内的整改工作，直至取得电梯使用合格证。</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应在维保后3日内将规定格式的电梯维保记录，张贴在电梯轿厢，接受用户监督。此外，需将维保记录公示情况拍照留存备查。</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应当妥善保管电梯图纸及相关资料，并在合同终止后交还采购人。应当协助采购人建立健全安全管理制度、安全技术档案、应急救援预案，配合采购人开展应急救援演练。</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不得以任何形式将维保工作非法分包、转包。否则，采购人有权终止合同，并由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赔偿采购人合同总金额10%的违约金。</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提供假冒、劣质或以次充好的产品，一经证实，</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必须承担由于产品质量、安装不当等引发的事故（财产损失、人身伤亡）责任和全部费用。</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应为维修保养和施工人员购买保险（如：高空作业险和人身事故险等）；维修保养和施工人员在工作过程中造成的人身事故，由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承担全部负责。</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在作业中应当负责落实现场安全防护措施，保证作业安全，并做好相关警示标志，防止乘客进入正在维保的电梯，若因此导致的不良后果由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法定承担。</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应完成半月、月、季度、半年、年保养项目，并做好记录。</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电梯定期检验前进行安全性能自行检查，出具自行检查报告。负责完成每年办理政府部门的电梯年度安全检查“年检”手续，并协助政府部门进行年度安全检查，并完成定期检验（年检）中发生的属本合同范围内的整改工作，直至取得电梯使用合格证。政府部门每年定期检验的年检费用由采购人负责承担。</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对合同范围内的设备每季度调整一次并每年进行一次“年度安全检查”及“负荷调整试验”，确保设备得到必要的检查、测试、调整和校验。“年度安全检查”可结合政府部门的“年检”同时进行。每次例行维护保养和维修后，维保单位须填写《电梯保养报告书》交校方签字确认。</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应确保每台电梯均应当建立独立的维护保养记录。维护保养记录应当一式两份，</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、采购人双方各保存一份，维修、重大维修、改造协议与抢修记录均应当与维护保养记录一并保存。</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需定期清理井底，如电梯井底受水淹时，</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应及时清除，必要时采购人给予配合。</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（18）、电梯在正常使用中发生故障时，</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应在接到报修通知30分钟内派员到达现场进行维修。如发生电梯困人事故，</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必须在接到通知30分钟内派员到达现场放人并进行维修。</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（19）、保养期内，</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保证采购人电梯的正常运行。因</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违反操作规程而造成电梯损坏，其维修费由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全额承担。因</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保养不善而引起的事故责任和造成采购人的直接经济损失，由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负责承担，与采购人无关。</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（20）、保养期内，电梯出现紧急状况或采购人提出特殊紧急的维护、保养、检查要求时，</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必须立即作出响应并采取相应措施，确保电梯的正常运行。</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（21）、保养期内，采购人有重大活动或特殊情况，</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应按采购人要求派遣2个专业维修人员到达现场，免费提供全程监护服务，确保电梯的正常运行。</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应张贴电梯日常维护保养标志，标明应急救援电话。建立电梯的日常维护保养记录和安全技术档案。在电梯维修、保养工作期间，</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必须放置醒目的标牌提示、现场安全警示标志或张贴告示通知、标语。</w:t>
      </w:r>
    </w:p>
    <w:p>
      <w:pPr>
        <w:widowControl/>
        <w:spacing w:line="400" w:lineRule="exact"/>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（23）、全包方案要求</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（一）全包方案提供维保所需工具和劳务，并免费提供大部分电梯零部件。</w:t>
      </w:r>
    </w:p>
    <w:p>
      <w:pPr>
        <w:widowControl/>
        <w:spacing w:line="40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下列外围设备和辅助周边设备将不在范围之内：</w:t>
      </w:r>
    </w:p>
    <w:p>
      <w:pPr>
        <w:widowControl/>
        <w:spacing w:line="40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梯及液压梯：轿厢围壁、包括固定或可移动的面板、门面板、轿门、吊顶、光线散射屏、扶手、镜子、地面装饰、地毯及其它建筑装饰和配件；厅门、门框及地坎、沉箱、液缸和管道，从配电房至机房的供电装置、通讯设备、音乐装置、保安系统等非奥的斯提供的设备及电梯井道机房之外的电线。</w:t>
      </w:r>
    </w:p>
    <w:p>
      <w:pPr>
        <w:widowControl/>
        <w:spacing w:line="40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扶梯：扶梯照明、扶手带、楔块护板、桁架包层、桁架内照明。</w:t>
      </w:r>
    </w:p>
    <w:p>
      <w:pPr>
        <w:widowControl/>
        <w:spacing w:line="40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涉及需向技监局报开工的修理项目（如控制柜、曵引轮、抱闸、主机、限速器、安全钳、上行保护装置等），政府所需收取的监检费由采购人负责承担。</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（二）一般故障，</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必须在24小时内修好以保证电梯正常运行；大故障（如更换变频器、主板等），</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应无条件提供配件替代品，并在12天内恢复电梯正常运行。</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需储存合理数量的电梯原厂备件，并且24小时可随时取用，以备及时的更换，电梯配件要求更换的零部件必须使用厂家正品部件和配件，不能用仿制品和维修翻新品取代。维保期间必须免费提供电梯主板的软件升级服务。</w:t>
      </w:r>
    </w:p>
    <w:p>
      <w:pPr>
        <w:pStyle w:val="2"/>
        <w:spacing w:line="400" w:lineRule="exact"/>
        <w:rPr>
          <w:rFonts w:ascii="宋体" w:hAnsi="宋体" w:cs="宋体"/>
          <w:b/>
          <w:bCs/>
          <w:color w:val="auto"/>
          <w:highlight w:val="none"/>
        </w:rPr>
      </w:pPr>
    </w:p>
    <w:p>
      <w:pPr>
        <w:pStyle w:val="2"/>
        <w:spacing w:line="400" w:lineRule="exact"/>
        <w:rPr>
          <w:rFonts w:ascii="宋体" w:hAnsi="宋体" w:cs="宋体"/>
          <w:b/>
          <w:bCs/>
          <w:color w:val="auto"/>
          <w:highlight w:val="none"/>
        </w:rPr>
      </w:pPr>
      <w:r>
        <w:rPr>
          <w:rFonts w:hint="eastAsia" w:ascii="宋体" w:hAnsi="宋体" w:cs="宋体"/>
          <w:b/>
          <w:bCs/>
          <w:color w:val="auto"/>
          <w:highlight w:val="none"/>
        </w:rPr>
        <w:t>2.2合同包2泉州师范学院东海校区2部富士达电梯维保服务（全包）技术服务要求</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（1）、按照TSG T5002-2017《电梯维护保养规则》并根据电梯的使用情况和设备状况，经双方协商确认后，提供全年保养计划和各项定期保养计划的具体实施时间表。每台每次保养时间不得少于合同约定的相应最少保养时间。如需调整原保养计划，应提前 </w:t>
      </w:r>
      <w:r>
        <w:rPr>
          <w:rFonts w:hint="eastAsia" w:ascii="宋体" w:hAnsi="宋体" w:eastAsia="宋体" w:cs="宋体"/>
          <w:color w:val="auto"/>
          <w:kern w:val="0"/>
          <w:sz w:val="24"/>
          <w:szCs w:val="24"/>
          <w:highlight w:val="none"/>
          <w:u w:val="single"/>
        </w:rPr>
        <w:t xml:space="preserve"> 7  </w:t>
      </w:r>
      <w:r>
        <w:rPr>
          <w:rFonts w:hint="eastAsia" w:ascii="宋体" w:hAnsi="宋体" w:eastAsia="宋体" w:cs="宋体"/>
          <w:color w:val="auto"/>
          <w:kern w:val="0"/>
          <w:sz w:val="24"/>
          <w:szCs w:val="24"/>
          <w:highlight w:val="none"/>
        </w:rPr>
        <w:t>日通知采购人并经采购人同意后方可调整，但应保证保养时间间隔不得超过</w:t>
      </w:r>
      <w:r>
        <w:rPr>
          <w:rFonts w:hint="eastAsia"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 xml:space="preserve">日； </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实施日常维护保养后的电梯应当符合《电梯维修规范》（GB/T18775）、《电梯制造与安装安全规范》（GB 7588）和《自动扶梯、垃圾梯和自动人行道的制造与安装安全规范》（GB 16899）的相关规定。</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提供24小时的紧急救援服务。当电梯发生困人故障，</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应在接到采购人通知后30分钟内赶赴现场实施紧急救援；电梯发生其他故障，</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应在接到采购人通知后  30  分钟内赶到现场实施抢修。若未在规定时间内赶赴现场，产生的后果由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承担法定责任。</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（4）、现场作业人员应当取得相应的《特种设备作业人员证》。为有效实施保养计划，</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应安排熟悉所维保电梯原理、结构、性能、安全要求的特种设备作业人员负责维保工作，并督促其严格按照产品工艺要求、安全及技术规范进行维保。</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（5）、作业过程中应服从采购人现场安全管理，落实现场安全防护措施，保证作业安全。需要安全监护作业的内容应书面告知采购人，作业时，作业人员必须持证上岗，且不得少于2人。</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（6）、现场需采取停梯措施时，应立即通知采购人并及时组织抢修。</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（7）、根据采购人的故障统计记录，</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应至少每季度一次提出故障分析报告。报告中应包含电梯故障的统计分析、整改措施和预防措施，以及有关电梯使用管理的合理化建议。</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本合同签订后对电梯进行一次全面的年度自检，将已发现上个维保周期中电梯存在的安全隐患，并报送使用单位，及时进行维修。应当配合电梯检验检测机构对电梯的定期检验，并参与电梯安全管理活动。负责完成年检中发生的属于本合同范围内的整改工作。维保后的电梯应当符合相应的安全技术规范，并且处于正常的运行状态。负责完成每年办理政府部门的电梯年度安全检查“年检”手续，并协助政府部门进行年度安全检查，并完成定期检验（年检）中发生的属本合同范围内的整改工作，直至取得电梯使用合格证。</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应在维保后3日内将规定格式的电梯维保记录，张贴在电梯轿厢，接受用户监督。此外，需将维保记录公示情况拍照留存备查。</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应当妥善保管电梯图纸及相关资料，并在合同终止后交还采购人。应当协助采购人建立健全安全管理制度、安全技术档案、应急救援预案，配合采购人开展应急救援演练。</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不得以任何形式将维保工作非法分包、转包。否则，采购人有权终止合同，并由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赔偿采购人合同总金额10%的违约金。</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提供假冒、劣质或以次充好的产品，一经证实，</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必须承担由于产品质量、安装不当等引发的事故（财产损失、人身伤亡）责任和全部费用。</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应为维修保养和施工人员购买保险（如：高空作业险和人身事故险等）；维修保养和施工人员在工作过程中造成的人身事故，由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承担全部负责。</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在作业中应当负责落实现场安全防护措施，保证作业安全，并做好相关警示标志，防止乘客进入正在维保的电梯，若因此导致的不良后果由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法定承担。</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应完成半月、月、季度、半年、年保养项目，并做好记录。</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电梯定期检验前进行安全性能自行检查，出具自行检查报告。负责完成每年办理政府部门的电梯年度安全检查“年检”手续，并协助政府部门进行年度安全检查，并完成定期检验（年检）中发生的属本合同范围内的整改工作，直至取得电梯使用合格证。政府部门每年定期检验的年检费用由采购人负责承担。</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对合同范围内的设备每季度调整一次并每年进行一次“年度安全检查”及“负荷调整试验”，确保设备得到必要的检查、测试、调整和校验。“年度安全检查”可结合政府部门的“年检”同时进行。每次例行维护保养和维修后，维保单位须填写《电梯保养报告书》交校方签字确认。</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应确保每台电梯均应当建立独立的维护保养记录。维护保养记录应当一式两份，</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、采购人双方各保存一份，维修、重大维修、改造协议与抢修记录均应当与维护保养记录一并保存。</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需定期清理井底，如电梯井底受水淹时，</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应及时清除，必要时采购人给予配合。</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（18）、电梯在正常使用中发生故障时，</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应在接到报修通知30分钟内派员到达现场进行维修。如发生电梯困人事故，</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必须在接到通知30分钟内派员到达现场放人并进行维修。</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（19）、保养期内，</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保证采购人电梯的正常运行。因</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违反操作规程而造成电梯损坏，其维修费由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全额承担。因</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保养不善而引起的事故责任和造成采购人的直接经济损失，由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负责承担，与采购人无关。</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（20）、保养期内，电梯出现紧急状况或采购人提出特殊紧急的维护、保养、检查要求时，</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必须立即作出响应并采取相应措施，确保电梯的正常运行。</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（21）、保养期内，采购人有重大活动或特殊情况，</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应按采购人要求派遣2个专业维修人员到达现场，免费提供全程监护服务，确保电梯的正常运行。</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应张贴电梯日常维护保养标志，标明应急救援电话。建立电梯的日常维护保养记录和安全技术档案。在电梯维修、保养工作期间，</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必须放置醒目的标牌提示、现场安全警示标志或张贴告示通知、标语。</w:t>
      </w:r>
    </w:p>
    <w:p>
      <w:pPr>
        <w:widowControl/>
        <w:spacing w:line="400" w:lineRule="exact"/>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（23）、全包方案要求</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（一）全包方案提供维保所需工具和劳务，并免费提供大部分电梯零部件。</w:t>
      </w:r>
    </w:p>
    <w:p>
      <w:pPr>
        <w:widowControl/>
        <w:spacing w:line="40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下列外围设备和辅助周边设备将不在范围之内：</w:t>
      </w:r>
    </w:p>
    <w:p>
      <w:pPr>
        <w:widowControl/>
        <w:spacing w:line="40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梯及液压梯：轿厢围壁、包括固定或可移动的面板、门面板、轿门、吊顶、光线散射屏、扶手、镜子、地面装饰、地毯及其它建筑装饰和配件；厅门、门框及地坎、沉箱、液缸和管道，从配电房至机房的供电装置、通讯设备、音乐装置、保安系统等</w:t>
      </w:r>
      <w:r>
        <w:rPr>
          <w:rFonts w:hint="eastAsia" w:ascii="宋体" w:hAnsi="宋体" w:eastAsia="宋体" w:cs="宋体"/>
          <w:color w:val="auto"/>
          <w:kern w:val="0"/>
          <w:sz w:val="24"/>
          <w:szCs w:val="24"/>
          <w:highlight w:val="none"/>
          <w:lang w:eastAsia="zh-CN"/>
        </w:rPr>
        <w:t>非</w:t>
      </w:r>
      <w:r>
        <w:rPr>
          <w:rFonts w:hint="eastAsia" w:ascii="宋体" w:hAnsi="宋体" w:eastAsia="宋体" w:cs="宋体"/>
          <w:color w:val="auto"/>
          <w:kern w:val="0"/>
          <w:sz w:val="24"/>
          <w:szCs w:val="24"/>
          <w:highlight w:val="none"/>
          <w:lang w:val="en-US" w:eastAsia="zh-CN"/>
        </w:rPr>
        <w:t>华升富士达</w:t>
      </w:r>
      <w:r>
        <w:rPr>
          <w:rFonts w:hint="eastAsia" w:ascii="宋体" w:hAnsi="宋体" w:eastAsia="宋体" w:cs="宋体"/>
          <w:color w:val="auto"/>
          <w:kern w:val="0"/>
          <w:sz w:val="24"/>
          <w:szCs w:val="24"/>
          <w:highlight w:val="none"/>
        </w:rPr>
        <w:t>提供的设备及电梯井道机房之外的电线。</w:t>
      </w:r>
    </w:p>
    <w:p>
      <w:pPr>
        <w:widowControl/>
        <w:spacing w:line="40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扶梯：扶梯照明、扶手带、楔块护板、桁架包层、桁架内照明。</w:t>
      </w:r>
    </w:p>
    <w:p>
      <w:pPr>
        <w:widowControl/>
        <w:spacing w:line="40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涉及需向技监局报开工的修理项目（如控制柜、曵引轮、抱闸、主机、限速器、安全钳、上行保护装置等），政府所需收取的监检费由采购人负责承担。</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（二）一般故障，</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必须在24小时内修好以保证电梯正常运行；大故障（如更换变频器、主板等），</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应无条件提供配件替代品，并在12天内恢复电梯正常运行。</w:t>
      </w:r>
    </w:p>
    <w:p>
      <w:pPr>
        <w:widowControl/>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需储存合理数量的电梯原厂备件，并且24小时可随时取用，以备及时的更换，电梯配件要求更换的零部件必须使用厂家正品部件和配件，不能用仿制品和维修翻新品取代。维保期间必须免费提供电梯主板的软件升级服务。</w:t>
      </w:r>
    </w:p>
    <w:p>
      <w:pPr>
        <w:pStyle w:val="2"/>
        <w:rPr>
          <w:rFonts w:hint="eastAsia" w:eastAsia="宋体"/>
          <w:color w:val="auto"/>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lang w:eastAsia="zh-CN"/>
        </w:rPr>
        <w:t>）由人为破坏因素及天灾等不可抗力因素导致电梯损坏的零部件不含。</w:t>
      </w:r>
    </w:p>
    <w:p>
      <w:pPr>
        <w:pStyle w:val="2"/>
        <w:spacing w:line="400" w:lineRule="exact"/>
        <w:rPr>
          <w:rFonts w:ascii="宋体" w:hAnsi="宋体" w:cs="宋体"/>
          <w:b/>
          <w:bCs/>
          <w:color w:val="auto"/>
          <w:highlight w:val="none"/>
        </w:rPr>
      </w:pPr>
    </w:p>
    <w:p>
      <w:pPr>
        <w:pStyle w:val="2"/>
        <w:spacing w:line="400" w:lineRule="exact"/>
        <w:rPr>
          <w:rFonts w:ascii="宋体" w:hAnsi="宋体" w:cs="宋体"/>
          <w:b/>
          <w:bCs/>
          <w:color w:val="auto"/>
          <w:highlight w:val="none"/>
        </w:rPr>
      </w:pPr>
      <w:r>
        <w:rPr>
          <w:rFonts w:hint="eastAsia" w:ascii="宋体" w:hAnsi="宋体" w:cs="宋体"/>
          <w:b/>
          <w:bCs/>
          <w:color w:val="auto"/>
          <w:highlight w:val="none"/>
        </w:rPr>
        <w:t>2.3合同包3泉州师范学院东海校区3部通力电梯维保服务（半包）技术服务要求</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（1）、按照TSG T5002-2017《电梯维护保养规则》并根据电梯的使用情况和设备状况，经双方协商确认后，提供全年保养计划和各项定期保养计划的具体实施时间表。每台每次保养时间不得少于合同约定的相应最少保养时间。如需调整原保养计划，应提前 </w:t>
      </w:r>
      <w:r>
        <w:rPr>
          <w:rFonts w:hint="eastAsia" w:ascii="宋体" w:hAnsi="宋体" w:eastAsia="宋体" w:cs="宋体"/>
          <w:color w:val="auto"/>
          <w:kern w:val="0"/>
          <w:sz w:val="24"/>
          <w:szCs w:val="24"/>
          <w:highlight w:val="none"/>
          <w:u w:val="single"/>
        </w:rPr>
        <w:t xml:space="preserve"> 7  </w:t>
      </w:r>
      <w:r>
        <w:rPr>
          <w:rFonts w:hint="eastAsia" w:ascii="宋体" w:hAnsi="宋体" w:eastAsia="宋体" w:cs="宋体"/>
          <w:color w:val="auto"/>
          <w:kern w:val="0"/>
          <w:sz w:val="24"/>
          <w:szCs w:val="24"/>
          <w:highlight w:val="none"/>
        </w:rPr>
        <w:t>日通知采购人并经采购人同意后方可调整，但应保证保养时间间隔不得超过</w:t>
      </w:r>
      <w:r>
        <w:rPr>
          <w:rFonts w:hint="eastAsia"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 xml:space="preserve">日； </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实施日常维护保养后的电梯应当符合《电梯维修规范》（GB/T18775）、《电梯制造与安装安全规范》（GB 7588）和《自动扶梯、垃圾梯和自动人行道的制造与安装安全规范》（GB 16899）的相关规定。</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提供24小时的紧急救援服务。当电梯发生困人故障，</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应在接到采购人通知后30分钟内赶赴现场实施紧急救援；电梯发生其他故障，</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应在接到采购人通知后  30  分钟内赶到现场实施抢修。若未在规定时间内赶赴现场，产生的后果由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承担法定责任。</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（4）、现场作业人员应当取得相应的《特种设备作业人员证》。为有效实施保养计划，</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应安排熟悉所维保电梯原理、结构、性能、安全要求的特种设备作业人员负责维保工作，并督促其严格按照产品工艺要求、安全及技术规范进行维保。</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（5）、作业过程中应服从采购人现场安全管理，落实现场安全防护措施，保证作业安全。需要安全监护作业的内容应书面告知采购人，作业时，作业人员必须持证上岗，且不得少于2人。</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（6）、现场需采取停梯措施时，应立即通知采购人并及时组织抢修。</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（7）、根据采购人的故障统计记录，</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应至少每季度一次提出故障分析报告。报告中应包含电梯故障的统计分析、整改措施和预防措施，以及有关电梯使用管理的合理化建议。</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本合同签订后对电梯进行一次全面的年度自检，将已发现上个维保周期中电梯存在的安全隐患，并报送使用单位，及时进行维修。应当配合电梯检验检测机构对电梯的定期检验，并参与电梯安全管理活动。负责完成年检中发生的属于本合同范围内的整改工作。维保后的电梯应当符合相应的安全技术规范，并且处于正常的运行状态。负责完成每年办理政府部门的电梯年度安全检查“年检”手续，并协助政府部门进行年度安全检查，并完成定期检验（年检）中发生的属本合同范围内的整改工作，直至取得电梯使用合格证。</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应在维保后3日内将规定格式的电梯维保记录，张贴在电梯轿厢，接受用户监督。此外，需将维保记录公示情况拍照留存备查。</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应当妥善保管电梯图纸及相关资料，并在合同终止后交还采购人。应当协助采购人建立健全安全管理制度、安全技术档案、应急救援预案，配合采购人开展应急救援演练。</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不得以任何形式将维保工作非法分包、转包。否则，采购人有权终止合同，并由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赔偿采购人合同总金额10%的违约金。</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提供假冒、劣质或以次充好的产品，一经证实，</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必须承担由于产品质量、安装不当等引发的事故（财产损失、人身伤亡）责任和全部费用。</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应为维修保养和施工人员购买保险（如：高空作业险和人身事故险等）；维修保养和施工人员在工作过程中造成的人身事故，由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承担全部负责。</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在作业中应当负责落实现场安全防护措施，保证作业安全，并做好相关警示标志，防止乘客进入正在维保的电梯，若因此导致的不良后果由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法定承担。</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应完成半月、月、季度、半年、年保养项目，并做好记录。</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电梯定期检验前进行安全性能自行检查，出具自行检查报告。负责完成每年办理政府部门的电梯年度安全检查“年检”手续，并协助政府部门进行年度安全检查，并完成定期检验（年检）中发生的属本合同范围内的整改工作，直至取得电梯使用合格证。政府部门每年定期检验的年检费用由采购人负责承担。</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对合同范围内的设备每季度调整一次并每年进行一次“年度安全检查”及“负荷调整试验”，确保设备得到必要的检查、测试、调整和校验。“年度安全检查”可结合政府部门的“年检”同时进行。每次例行维护保养和维修后，维保单位须填写《电梯保养报告书》交校方签字确认。</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应确保每台电梯均应当建立独立的维护保养记录。维护保养记录应当一式两份，</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、采购人双方各保存一份，维修、重大维修、改造协议与抢修记录均应当与维护保养记录一并保存。</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需定期清理井底，如电梯井底受水淹时，</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应及时清除，必要时采购人给予配合。</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（18）、电梯在正常使用中发生故障时，</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应在接到报修通知30分钟内派员到达现场进行维修。如发生电梯困人事故，</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必须在接到通知30分钟内派员到达现场放人并进行维修。</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（19）、保养期内，</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保证采购人电梯的正常运行。因</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违反操作规程而造成电梯损坏，其维修费由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全额承担。因</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保养不善而引起的事故责任和造成采购人的直接经济损失，由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负责承担，与采购人无关。</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（20）、保养期内，电梯出现紧急状况或采购人提出特殊紧急的维护、保养、检查要求时，</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必须立即作出响应并采取相应措施，确保电梯的正常运行。</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（21）、保养期内，采购人有重大活动或特殊情况，</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应按采购人要求派遣2个专业维修人员到达现场，免费提供全程监护服务，确保电梯的正常运行。</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应张贴电梯日常维护保养标志，标明应急救援电话。建立电梯的日常维护保养记录和安全技术档案。在电梯维修、保养工作期间，</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必须放置醒目的标牌提示、现场安全警示标志或张贴告示通知、标语。</w:t>
      </w:r>
    </w:p>
    <w:p>
      <w:pPr>
        <w:widowControl/>
        <w:spacing w:line="400" w:lineRule="exact"/>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（23）、半包方案要求</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（一）半包方案提供维保所需工具和劳务，并免费提供单价在人民币300 元以下（含本数）电梯零部件。</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（二）一般故障，</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必须在24小时内修好以保证电梯正常运行；大故障（如更换变频器、主板等），在采购人书面确认配件报价单后进行更换，</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需及时提供备用配件尽快恢复电梯正常运行。</w:t>
      </w:r>
    </w:p>
    <w:p>
      <w:pPr>
        <w:pStyle w:val="2"/>
        <w:spacing w:line="400" w:lineRule="exact"/>
        <w:rPr>
          <w:rFonts w:ascii="宋体" w:hAnsi="宋体" w:cs="宋体"/>
          <w:b/>
          <w:bCs/>
          <w:color w:val="auto"/>
          <w:highlight w:val="none"/>
        </w:rPr>
      </w:pPr>
    </w:p>
    <w:p>
      <w:pPr>
        <w:pStyle w:val="2"/>
        <w:spacing w:line="400" w:lineRule="exact"/>
        <w:rPr>
          <w:rFonts w:ascii="宋体" w:hAnsi="宋体" w:cs="宋体"/>
          <w:b/>
          <w:bCs/>
          <w:color w:val="auto"/>
          <w:highlight w:val="none"/>
        </w:rPr>
      </w:pPr>
      <w:r>
        <w:rPr>
          <w:rFonts w:hint="eastAsia" w:ascii="宋体" w:hAnsi="宋体" w:cs="宋体"/>
          <w:b/>
          <w:bCs/>
          <w:color w:val="auto"/>
          <w:highlight w:val="none"/>
        </w:rPr>
        <w:t>2.4合同包4泉州师范学院东海校区2部德奥电梯维保服务（半包）技术服务要求</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（1）、按照TSG T5002-2017《电梯维护保养规则》并根据电梯的使用情况和设备状况，经双方协商确认后，提供全年保养计划和各项定期保养计划的具体实施时间表。每台每次保养时间不得少于合同约定的相应最少保养时间。如需调整原保养计划，应提前 </w:t>
      </w:r>
      <w:r>
        <w:rPr>
          <w:rFonts w:hint="eastAsia" w:ascii="宋体" w:hAnsi="宋体" w:eastAsia="宋体" w:cs="宋体"/>
          <w:color w:val="auto"/>
          <w:kern w:val="0"/>
          <w:sz w:val="24"/>
          <w:szCs w:val="24"/>
          <w:highlight w:val="none"/>
          <w:u w:val="single"/>
        </w:rPr>
        <w:t xml:space="preserve"> 7  </w:t>
      </w:r>
      <w:r>
        <w:rPr>
          <w:rFonts w:hint="eastAsia" w:ascii="宋体" w:hAnsi="宋体" w:eastAsia="宋体" w:cs="宋体"/>
          <w:color w:val="auto"/>
          <w:kern w:val="0"/>
          <w:sz w:val="24"/>
          <w:szCs w:val="24"/>
          <w:highlight w:val="none"/>
        </w:rPr>
        <w:t>日通知采购人并经采购人同意后方可调整，但应保证保养时间间隔不得超过</w:t>
      </w:r>
      <w:r>
        <w:rPr>
          <w:rFonts w:hint="eastAsia" w:ascii="宋体" w:hAnsi="宋体" w:eastAsia="宋体" w:cs="宋体"/>
          <w:color w:val="auto"/>
          <w:kern w:val="0"/>
          <w:sz w:val="24"/>
          <w:szCs w:val="24"/>
          <w:highlight w:val="none"/>
          <w:u w:val="single"/>
        </w:rPr>
        <w:t>15</w:t>
      </w:r>
      <w:r>
        <w:rPr>
          <w:rFonts w:hint="eastAsia" w:ascii="宋体" w:hAnsi="宋体" w:eastAsia="宋体" w:cs="宋体"/>
          <w:color w:val="auto"/>
          <w:kern w:val="0"/>
          <w:sz w:val="24"/>
          <w:szCs w:val="24"/>
          <w:highlight w:val="none"/>
        </w:rPr>
        <w:t xml:space="preserve">日； </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实施日常维护保养后的电梯应当符合《电梯维修规范》（GB/T18775）、《电梯制造与安装安全规范》（GB 7588）和《自动扶梯、垃圾梯和自动人行道的制造与安装安全规范》（GB 16899）的相关规定。</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提供24小时的紧急救援服务。当电梯发生困人故障，</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应在接到采购人通知后30分钟内赶赴现场实施紧急救援；电梯发生其他故障，</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应在接到采购人通知后  30  分钟内赶到现场实施抢修。若未在规定时间内赶赴现场，产生的后果由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承担法定责任。</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（4）、现场作业人员应当取得相应的《特种设备作业人员证》。为有效实施保养计划，</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应安排熟悉所维保电梯原理、结构、性能、安全要求的特种设备作业人员负责维保工作，并督促其严格按照产品工艺要求、安全及技术规范进行维保。</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（5）、作业过程中应服从采购人现场安全管理，落实现场安全防护措施，保证作业安全。需要安全监护作业的内容应书面告知采购人，作业时，作业人员必须持证上岗，且不得少于2人。</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（6）、现场需采取停梯措施时，应立即通知采购人并及时组织抢修。</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（7）、根据采购人的故障统计记录，</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应至少每季度一次提出故障分析报告。报告中应包含电梯故障的统计分析、整改措施和预防措施，以及有关电梯使用管理的合理化建议。</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本合同签订后对电梯进行一次全面的年度自检，将已发现上个维保周期中电梯存在的安全隐患，并报送使用单位，及时进行维修。应当配合电梯检验检测机构对电梯的定期检验，并参与电梯安全管理活动。负责完成年检中发生的属于本合同范围内的整改工作。维保后的电梯应当符合相应的安全技术规范，并且处于正常的运行状态。负责完成每年办理政府部门的电梯年度安全检查“年检”手续，并协助政府部门进行年度安全检查，并完成定期检验（年检）中发生的属本合同范围内的整改工作，直至取得电梯使用合格证。</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应在维保后3日内将规定格式的电梯维保记录，张贴在电梯轿厢，接受用户监督。此外，需将维保记录公示情况拍照留存备查。</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应当妥善保管电梯图纸及相关资料，并在合同终止后交还采购人。应当协助采购人建立健全安全管理制度、安全技术档案、应急救援预案，配合采购人开展应急救援演练。</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不得以任何形式将维保工作非法分包、转包。否则，采购人有权终止合同，并由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赔偿采购人合同总金额10%的违约金。</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提供假冒、劣质或以次充好的产品，一经证实，</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必须承担由于产品质量、安装不当等引发的事故（财产损失、人身伤亡）责任和全部费用。</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应为维修保养和施工人员购买保险（如：高空作业险和人身事故险等）；维修保养和施工人员在工作过程中造成的人身事故，由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承担全部负责。</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在作业中应当负责落实现场安全防护措施，保证作业安全，并做好相关警示标志，防止乘客进入正在维保的电梯，若因此导致的不良后果由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法定承担。</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应完成半月、月、季度、半年、年保养项目，并做好记录。</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电梯定期检验前进行安全性能自行检查，出具自行检查报告。负责完成每年办理政府部门的电梯年度安全检查“年检”手续，并协助政府部门进行年度安全检查，并完成定期检验（年检）中发生的属本合同范围内的整改工作，直至取得电梯使用合格证。政府部门每年定期检验的年检费用由采购人负责承担。</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对合同范围内的设备每季度调整一次并每年进行一次“年度安全检查”及“负荷调整试验”，确保设备得到必要的检查、测试、调整和校验。“年度安全检查”可结合政府部门的“年检”同时进行。每次例行维护保养和维修后，维保单位须填写《电梯保养报告书》交校方签字确认。</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应确保每台电梯均应当建立独立的维护保养记录。维护保养记录应当一式两份，</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、采购人双方各保存一份，维修、重大维修、改造协议与抢修记录均应当与维护保养记录一并保存。</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需定期清理井底，如电梯井底受水淹时，</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应及时清除，必要时采购人给予配合。</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（18）、电梯在正常使用中发生故障时，</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应在接到报修通知30分钟内派员到达现场进行维修。如发生电梯困人事故，</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必须在接到通知30分钟内派员到达现场放人并进行维修。</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（19）、保养期内，</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保证采购人电梯的正常运行。因</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违反操作规程而造成电梯损坏，其维修费由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全额承担。因</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保养不善而引起的事故责任和造成采购人的直接经济损失，由</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负责承担，与采购人无关。</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（20）、保养期内，电梯出现紧急状况或采购人提出特殊紧急的维护、保养、检查要求时，</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必须立即作出响应并采取相应措施，确保电梯的正常运行。</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（21）、保养期内，采购人有重大活动或特殊情况，</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应按采购人要求派遣2个专业维修人员到达现场，免费提供全程监护服务，确保电梯的正常运行。</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应张贴电梯日常维护保养标志，标明应急救援电话。建立电梯的日常维护保养记录和安全技术档案。在电梯维修、保养工作期间，</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必须放置醒目的标牌提示、现场安全警示标志或张贴告示通知、标语。</w:t>
      </w:r>
    </w:p>
    <w:p>
      <w:pPr>
        <w:widowControl/>
        <w:spacing w:line="400" w:lineRule="exact"/>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（23）、半包方案要求</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（一）半包方案提供维保所需工具和劳务，并免费提供单价在人民币300 元以下（含本数）电梯零部件。</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（二）一般故障，</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必须在24小时内修好以保证电梯正常运行；大故障（如更换变频器、主板等），在采购人书面确认配件报价单后进行更换，</w:t>
      </w:r>
      <w:r>
        <w:rPr>
          <w:rFonts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rPr>
        <w:t>需及时提供备用配件尽快恢复电梯正常运行。</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rPr>
        <w:t>合同包1、合同包2、合同包3、合同包4</w:t>
      </w:r>
      <w:r>
        <w:rPr>
          <w:rFonts w:ascii="宋体" w:hAnsi="宋体" w:eastAsia="宋体" w:cs="宋体"/>
          <w:b/>
          <w:bCs/>
          <w:color w:val="auto"/>
          <w:kern w:val="0"/>
          <w:sz w:val="24"/>
          <w:szCs w:val="24"/>
          <w:highlight w:val="none"/>
        </w:rPr>
        <w:t>商务条件</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rPr>
        <w:t>服务</w:t>
      </w:r>
      <w:r>
        <w:rPr>
          <w:rFonts w:ascii="宋体" w:hAnsi="宋体" w:eastAsia="宋体" w:cs="宋体"/>
          <w:color w:val="auto"/>
          <w:kern w:val="0"/>
          <w:sz w:val="24"/>
          <w:szCs w:val="24"/>
          <w:highlight w:val="none"/>
        </w:rPr>
        <w:t>地点：</w:t>
      </w:r>
      <w:r>
        <w:rPr>
          <w:rFonts w:hint="eastAsia" w:ascii="宋体" w:hAnsi="宋体" w:eastAsia="宋体" w:cs="宋体"/>
          <w:color w:val="auto"/>
          <w:kern w:val="0"/>
          <w:sz w:val="24"/>
          <w:szCs w:val="24"/>
          <w:highlight w:val="none"/>
        </w:rPr>
        <w:t>福建省泉州市丰泽区泉州师范学院</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服务</w:t>
      </w:r>
      <w:r>
        <w:rPr>
          <w:rFonts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rPr>
        <w:t>1年</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服务</w:t>
      </w:r>
      <w:r>
        <w:rPr>
          <w:rFonts w:ascii="宋体" w:hAnsi="宋体" w:eastAsia="宋体" w:cs="宋体"/>
          <w:color w:val="auto"/>
          <w:kern w:val="0"/>
          <w:sz w:val="24"/>
          <w:szCs w:val="24"/>
          <w:highlight w:val="none"/>
        </w:rPr>
        <w:t>条件：</w:t>
      </w:r>
      <w:r>
        <w:rPr>
          <w:rFonts w:hint="eastAsia" w:ascii="宋体" w:hAnsi="宋体" w:eastAsia="宋体" w:cs="宋体"/>
          <w:color w:val="auto"/>
          <w:kern w:val="0"/>
          <w:sz w:val="24"/>
          <w:szCs w:val="24"/>
          <w:highlight w:val="none"/>
        </w:rPr>
        <w:t>按合同要求</w:t>
      </w:r>
      <w:r>
        <w:rPr>
          <w:rFonts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4、是否收取履约保证金：</w:t>
      </w:r>
      <w:r>
        <w:rPr>
          <w:rFonts w:hint="eastAsia" w:ascii="宋体" w:hAnsi="宋体" w:eastAsia="宋体" w:cs="宋体"/>
          <w:color w:val="auto"/>
          <w:kern w:val="0"/>
          <w:sz w:val="24"/>
          <w:szCs w:val="24"/>
          <w:highlight w:val="none"/>
          <w:lang w:eastAsia="zh-CN"/>
        </w:rPr>
        <w:t>否。</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5、是否邀请投标人参与验收：否</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xml:space="preserve">6、验收方式数据表格 </w:t>
      </w:r>
    </w:p>
    <w:tbl>
      <w:tblPr>
        <w:tblStyle w:val="10"/>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验收说明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67" w:hRule="atLeast"/>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numPr>
                <w:ilvl w:val="0"/>
                <w:numId w:val="2"/>
              </w:numPr>
              <w:spacing w:line="360" w:lineRule="auto"/>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日常维护保养后的电梯应当符合《电梯维修规范》（GB/T18775）、《电梯制造与安装安全规范》（GB 7588）和《自动扶梯、垃圾梯和自动人行道的制造与安装安全规范》（GB 16899）的相关规定。</w:t>
            </w:r>
          </w:p>
          <w:p>
            <w:pPr>
              <w:pStyle w:val="2"/>
              <w:rPr>
                <w:rFonts w:ascii="宋体" w:hAnsi="宋体" w:eastAsia="宋体" w:cs="宋体"/>
                <w:bCs/>
                <w:color w:val="auto"/>
                <w:kern w:val="0"/>
                <w:sz w:val="24"/>
                <w:szCs w:val="24"/>
                <w:highlight w:val="none"/>
              </w:rPr>
            </w:pPr>
            <w:r>
              <w:rPr>
                <w:rFonts w:hint="eastAsia"/>
                <w:color w:val="auto"/>
                <w:highlight w:val="none"/>
              </w:rPr>
              <w:t>2、采购文件及合同要求。</w:t>
            </w:r>
          </w:p>
        </w:tc>
      </w:tr>
    </w:tbl>
    <w:p>
      <w:pPr>
        <w:widowControl/>
        <w:jc w:val="left"/>
        <w:rPr>
          <w:rFonts w:ascii="宋体" w:hAnsi="宋体" w:eastAsia="宋体" w:cs="宋体"/>
          <w:color w:val="auto"/>
          <w:kern w:val="0"/>
          <w:sz w:val="24"/>
          <w:szCs w:val="24"/>
          <w:highlight w:val="none"/>
        </w:rPr>
      </w:pPr>
    </w:p>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7、支付方式数据表格 </w:t>
      </w:r>
    </w:p>
    <w:tbl>
      <w:tblPr>
        <w:tblStyle w:val="10"/>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支付期次</w:t>
            </w:r>
          </w:p>
        </w:tc>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支付比例(%)</w:t>
            </w:r>
          </w:p>
        </w:tc>
        <w:tc>
          <w:tcPr>
            <w:tcW w:w="500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667" w:type="dxa"/>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center"/>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25</w:t>
            </w:r>
          </w:p>
        </w:tc>
        <w:tc>
          <w:tcPr>
            <w:tcW w:w="5002" w:type="dxa"/>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电梯维保服务费由</w:t>
            </w:r>
            <w:r>
              <w:rPr>
                <w:rFonts w:hint="eastAsia" w:ascii="宋体" w:hAnsi="宋体" w:eastAsia="宋体" w:cs="宋体"/>
                <w:color w:val="auto"/>
                <w:kern w:val="0"/>
                <w:sz w:val="24"/>
                <w:szCs w:val="24"/>
                <w:highlight w:val="none"/>
              </w:rPr>
              <w:t>采购人</w:t>
            </w:r>
            <w:r>
              <w:rPr>
                <w:rFonts w:hint="eastAsia" w:ascii="宋体" w:hAnsi="宋体" w:eastAsia="宋体" w:cs="宋体"/>
                <w:bCs/>
                <w:color w:val="auto"/>
                <w:kern w:val="0"/>
                <w:sz w:val="24"/>
                <w:szCs w:val="24"/>
                <w:highlight w:val="none"/>
              </w:rPr>
              <w:t xml:space="preserve">支付；付款周期为每季度（3个月）一付，共分 4期支付， </w:t>
            </w:r>
            <w:r>
              <w:rPr>
                <w:rFonts w:hint="eastAsia" w:ascii="宋体" w:hAnsi="宋体" w:eastAsia="宋体" w:cs="宋体"/>
                <w:color w:val="auto"/>
                <w:kern w:val="0"/>
                <w:sz w:val="24"/>
                <w:szCs w:val="24"/>
                <w:highlight w:val="none"/>
              </w:rPr>
              <w:t>采购人</w:t>
            </w:r>
            <w:r>
              <w:rPr>
                <w:rFonts w:hint="eastAsia" w:ascii="宋体" w:hAnsi="宋体" w:eastAsia="宋体" w:cs="宋体"/>
                <w:bCs/>
                <w:color w:val="auto"/>
                <w:kern w:val="0"/>
                <w:sz w:val="24"/>
                <w:szCs w:val="24"/>
                <w:highlight w:val="none"/>
              </w:rPr>
              <w:t>根据</w:t>
            </w:r>
            <w:r>
              <w:rPr>
                <w:rFonts w:ascii="宋体" w:hAnsi="宋体" w:eastAsia="宋体" w:cs="宋体"/>
                <w:color w:val="auto"/>
                <w:kern w:val="0"/>
                <w:sz w:val="24"/>
                <w:szCs w:val="24"/>
                <w:highlight w:val="none"/>
              </w:rPr>
              <w:t>供应商</w:t>
            </w:r>
            <w:r>
              <w:rPr>
                <w:rFonts w:hint="eastAsia" w:ascii="宋体" w:hAnsi="宋体" w:eastAsia="宋体" w:cs="宋体"/>
                <w:bCs/>
                <w:color w:val="auto"/>
                <w:kern w:val="0"/>
                <w:sz w:val="24"/>
                <w:szCs w:val="24"/>
                <w:highlight w:val="none"/>
              </w:rPr>
              <w:t>开据的</w:t>
            </w:r>
            <w:r>
              <w:rPr>
                <w:rFonts w:hint="eastAsia" w:ascii="宋体" w:hAnsi="宋体" w:eastAsia="宋体" w:cs="宋体"/>
                <w:bCs/>
                <w:color w:val="auto"/>
                <w:kern w:val="0"/>
                <w:sz w:val="24"/>
                <w:szCs w:val="24"/>
                <w:highlight w:val="none"/>
                <w:lang w:eastAsia="zh-CN"/>
              </w:rPr>
              <w:t>正式</w:t>
            </w:r>
            <w:r>
              <w:rPr>
                <w:rFonts w:hint="eastAsia" w:ascii="宋体" w:hAnsi="宋体" w:eastAsia="宋体" w:cs="宋体"/>
                <w:bCs/>
                <w:color w:val="auto"/>
                <w:kern w:val="0"/>
                <w:sz w:val="24"/>
                <w:szCs w:val="24"/>
                <w:highlight w:val="none"/>
              </w:rPr>
              <w:t>发票按季度支付维保费，每季度保养期满后，一个月内支付维保费用。</w:t>
            </w:r>
          </w:p>
        </w:tc>
      </w:tr>
    </w:tbl>
    <w:p>
      <w:pPr>
        <w:widowControl/>
        <w:shd w:val="clear" w:color="auto" w:fill="FFFFFF"/>
        <w:spacing w:after="96"/>
        <w:jc w:val="left"/>
        <w:rPr>
          <w:rFonts w:ascii="宋体" w:hAnsi="宋体" w:eastAsia="宋体" w:cs="宋体"/>
          <w:b/>
          <w:bCs/>
          <w:color w:val="auto"/>
          <w:kern w:val="0"/>
          <w:sz w:val="24"/>
          <w:szCs w:val="24"/>
          <w:highlight w:val="none"/>
        </w:rPr>
      </w:pPr>
    </w:p>
    <w:p>
      <w:pPr>
        <w:pStyle w:val="2"/>
        <w:numPr>
          <w:ilvl w:val="0"/>
          <w:numId w:val="3"/>
        </w:numPr>
        <w:rPr>
          <w:rFonts w:ascii="宋体" w:hAnsi="宋体" w:cs="宋体"/>
          <w:b/>
          <w:bCs/>
          <w:color w:val="auto"/>
          <w:highlight w:val="none"/>
        </w:rPr>
      </w:pPr>
      <w:r>
        <w:rPr>
          <w:rFonts w:hint="eastAsia" w:ascii="宋体" w:hAnsi="宋体" w:cs="宋体"/>
          <w:b/>
          <w:bCs/>
          <w:color w:val="auto"/>
          <w:highlight w:val="none"/>
        </w:rPr>
        <w:t>其它商务要求</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（1）、供应商应符合《中华人民共和国特种设备安全法》、《福建省电梯安全管理办法》（福建省人民政府令第115号）中关于“电梯日常维护保养单位”的相关要求。</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（1）、供应商应当在特种设备安装改造维修许可的范围内开展业务，不得将电梯日常维护保养业务转包或者分包。</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（1）、供应商应当按照国家相关技术规范的要求进行作业，维保项目、内容、操作应符合《特种设备安全监察条例》、《电梯监督检验和定期检验规则-曳引与强制驱动电梯(TSG T7001-2009)》、《电梯使用管理与维护保养规则(TSGT5001-2009)》《电梯、自动扶梯和自动人行道维修规范(GB/T18775-2009)》中的相关规定。当国家有关电梯安全的法规或标准发生改变时，按改变后的法规或标准执行。</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需投保维保工作人员的人身意外保险，需严格执行有关安全技术操作规程和规章制度。供应商所属维保人员在维修保养中所导致的质量事故和在维保场地内、外导致的安全事故，与采购人无关，由供应商负责。</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所属维保人员应当取得相应的《特种设备作业人员证》，具有24小时接待电梯报修服务能力，供应商应具备电梯维保资质的工程技术人员组成的维保队伍（投标时要求提供维保人员的名单及相关证明材料）。供应商负责投保供应商现场作业人员的人身安全意外保险，供应商现场作业人员必须按规定操作，现场作业人员的一切安全责任由供应商负责。</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（1）、供应商须制定应急救援预案，设立24小时值班电话，保证在电梯出故障时及时反应，24小时全天候响应维修或救援。提供全天候24小时的应急召修服务。</w:t>
      </w:r>
    </w:p>
    <w:p>
      <w:pPr>
        <w:widowControl/>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（1）、供应商负责在维护保养合同生效之日起15日内，到负责电梯使用登记的特种设备安全监督管理部门或者其委托的特种设备检验检测机构办理变更电梯日常维护保养单位手续。</w:t>
      </w:r>
    </w:p>
    <w:p>
      <w:pPr>
        <w:pStyle w:val="2"/>
        <w:rPr>
          <w:rFonts w:ascii="宋体" w:hAnsi="宋体" w:cs="宋体"/>
          <w:b/>
          <w:bCs/>
          <w:color w:val="auto"/>
          <w:highlight w:val="none"/>
        </w:rPr>
      </w:pPr>
    </w:p>
    <w:p>
      <w:pPr>
        <w:widowControl/>
        <w:spacing w:before="100" w:beforeAutospacing="1" w:after="100" w:afterAutospacing="1" w:line="380" w:lineRule="exac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四、其他事项</w:t>
      </w:r>
    </w:p>
    <w:p>
      <w:pPr>
        <w:widowControl/>
        <w:spacing w:before="100" w:beforeAutospacing="1" w:after="100" w:afterAutospacing="1" w:line="380" w:lineRule="exact"/>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除采购文件另有规定外，若出现有关法律、法规、规章等相关政策文件有强制性规定但采购文件未列明的情形，则投标人应按照有关法律、法规、规章等相关政策文件强制性规定执行。</w:t>
      </w: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rPr>
          <w:rFonts w:ascii="宋体" w:hAnsi="宋体" w:eastAsia="宋体" w:cs="宋体"/>
          <w:b/>
          <w:bCs/>
          <w:color w:val="auto"/>
          <w:kern w:val="0"/>
          <w:sz w:val="35"/>
          <w:highlight w:val="none"/>
        </w:rPr>
      </w:pPr>
    </w:p>
    <w:p>
      <w:pPr>
        <w:pStyle w:val="2"/>
        <w:rPr>
          <w:rFonts w:ascii="宋体" w:hAnsi="宋体" w:cs="宋体"/>
          <w:b/>
          <w:bCs/>
          <w:color w:val="auto"/>
          <w:sz w:val="35"/>
          <w:highlight w:val="none"/>
        </w:rPr>
      </w:pPr>
    </w:p>
    <w:p>
      <w:pPr>
        <w:pStyle w:val="2"/>
        <w:rPr>
          <w:rFonts w:ascii="宋体" w:hAnsi="宋体" w:cs="宋体"/>
          <w:b/>
          <w:bCs/>
          <w:color w:val="auto"/>
          <w:sz w:val="35"/>
          <w:highlight w:val="none"/>
        </w:rPr>
      </w:pPr>
    </w:p>
    <w:p>
      <w:pPr>
        <w:pStyle w:val="2"/>
        <w:rPr>
          <w:rFonts w:ascii="宋体" w:hAnsi="宋体" w:cs="宋体"/>
          <w:b/>
          <w:bCs/>
          <w:color w:val="auto"/>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pStyle w:val="2"/>
        <w:rPr>
          <w:rFonts w:ascii="宋体" w:hAnsi="宋体" w:eastAsia="宋体" w:cs="宋体"/>
          <w:b/>
          <w:bCs/>
          <w:color w:val="auto"/>
          <w:kern w:val="0"/>
          <w:sz w:val="35"/>
          <w:highlight w:val="none"/>
        </w:rPr>
      </w:pPr>
    </w:p>
    <w:p>
      <w:pPr>
        <w:pStyle w:val="2"/>
        <w:rPr>
          <w:rFonts w:ascii="宋体" w:hAnsi="宋体" w:eastAsia="宋体" w:cs="宋体"/>
          <w:b/>
          <w:bCs/>
          <w:color w:val="auto"/>
          <w:kern w:val="0"/>
          <w:sz w:val="35"/>
          <w:highlight w:val="none"/>
        </w:rPr>
      </w:pPr>
    </w:p>
    <w:p>
      <w:pPr>
        <w:pStyle w:val="2"/>
        <w:rPr>
          <w:rFonts w:ascii="宋体" w:hAnsi="宋体" w:eastAsia="宋体" w:cs="宋体"/>
          <w:b/>
          <w:bCs/>
          <w:color w:val="auto"/>
          <w:kern w:val="0"/>
          <w:sz w:val="35"/>
          <w:highlight w:val="none"/>
        </w:rPr>
      </w:pPr>
    </w:p>
    <w:p>
      <w:pPr>
        <w:pStyle w:val="2"/>
        <w:rPr>
          <w:rFonts w:ascii="宋体" w:hAnsi="宋体" w:eastAsia="宋体" w:cs="宋体"/>
          <w:b/>
          <w:bCs/>
          <w:color w:val="auto"/>
          <w:kern w:val="0"/>
          <w:sz w:val="35"/>
          <w:highlight w:val="none"/>
        </w:rPr>
      </w:pPr>
    </w:p>
    <w:p>
      <w:pPr>
        <w:pStyle w:val="2"/>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35"/>
          <w:highlight w:val="none"/>
        </w:rPr>
        <w:t>第五章  政府采购合同</w:t>
      </w:r>
    </w:p>
    <w:p>
      <w:pPr>
        <w:widowControl/>
        <w:spacing w:before="96"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17"/>
          <w:szCs w:val="17"/>
          <w:highlight w:val="none"/>
        </w:rPr>
        <w:t> </w:t>
      </w:r>
    </w:p>
    <w:p>
      <w:pPr>
        <w:widowControl/>
        <w:spacing w:before="96"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17"/>
          <w:szCs w:val="17"/>
          <w:highlight w:val="none"/>
        </w:rPr>
        <w:t> </w:t>
      </w:r>
    </w:p>
    <w:p>
      <w:pPr>
        <w:pStyle w:val="8"/>
        <w:rPr>
          <w:color w:val="auto"/>
          <w:highlight w:val="none"/>
        </w:rPr>
      </w:pPr>
      <w:r>
        <w:rPr>
          <w:color w:val="auto"/>
          <w:highlight w:val="none"/>
        </w:rPr>
        <w:t>编制说明</w:t>
      </w:r>
    </w:p>
    <w:p>
      <w:pPr>
        <w:pStyle w:val="8"/>
        <w:rPr>
          <w:color w:val="auto"/>
          <w:highlight w:val="none"/>
        </w:rPr>
      </w:pPr>
      <w:r>
        <w:rPr>
          <w:color w:val="auto"/>
          <w:highlight w:val="none"/>
        </w:rPr>
        <w:t>1、签订合同应遵守《中华人民共和国政府采购法》、《中华人民共和国合同法》。</w:t>
      </w:r>
    </w:p>
    <w:p>
      <w:pPr>
        <w:pStyle w:val="8"/>
        <w:rPr>
          <w:color w:val="auto"/>
          <w:highlight w:val="none"/>
        </w:rPr>
      </w:pPr>
      <w:r>
        <w:rPr>
          <w:color w:val="auto"/>
          <w:highlight w:val="none"/>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8"/>
        <w:rPr>
          <w:color w:val="auto"/>
          <w:highlight w:val="none"/>
        </w:rPr>
      </w:pPr>
      <w:r>
        <w:rPr>
          <w:color w:val="auto"/>
          <w:highlight w:val="none"/>
        </w:rPr>
        <w:t> </w:t>
      </w:r>
    </w:p>
    <w:p>
      <w:pPr>
        <w:pStyle w:val="8"/>
        <w:rPr>
          <w:color w:val="auto"/>
          <w:highlight w:val="none"/>
        </w:rPr>
      </w:pPr>
      <w:r>
        <w:rPr>
          <w:color w:val="auto"/>
          <w:highlight w:val="none"/>
        </w:rPr>
        <w:t>甲方：（采购人全称）</w:t>
      </w:r>
    </w:p>
    <w:p>
      <w:pPr>
        <w:pStyle w:val="8"/>
        <w:rPr>
          <w:color w:val="auto"/>
          <w:highlight w:val="none"/>
        </w:rPr>
      </w:pPr>
      <w:r>
        <w:rPr>
          <w:color w:val="auto"/>
          <w:highlight w:val="none"/>
        </w:rPr>
        <w:t>乙方：（中标人全称）</w:t>
      </w:r>
    </w:p>
    <w:p>
      <w:pPr>
        <w:pStyle w:val="8"/>
        <w:rPr>
          <w:color w:val="auto"/>
          <w:highlight w:val="none"/>
        </w:rPr>
      </w:pPr>
      <w:r>
        <w:rPr>
          <w:color w:val="auto"/>
          <w:highlight w:val="none"/>
        </w:rPr>
        <w:t> </w:t>
      </w:r>
    </w:p>
    <w:p>
      <w:pPr>
        <w:pStyle w:val="8"/>
        <w:rPr>
          <w:color w:val="auto"/>
          <w:highlight w:val="none"/>
        </w:rPr>
      </w:pPr>
      <w:r>
        <w:rPr>
          <w:color w:val="auto"/>
          <w:highlight w:val="none"/>
        </w:rPr>
        <w:t>根据招标编号为            的（填写“项目名称”）项目（以下简称：“本项目”）的招标结果，乙方为中标人。现经甲乙双方友好协商，就以下事项达成一致并签订本合同：</w:t>
      </w:r>
    </w:p>
    <w:p>
      <w:pPr>
        <w:pStyle w:val="8"/>
        <w:rPr>
          <w:color w:val="auto"/>
          <w:highlight w:val="none"/>
        </w:rPr>
      </w:pPr>
      <w:r>
        <w:rPr>
          <w:color w:val="auto"/>
          <w:highlight w:val="none"/>
        </w:rPr>
        <w:t>1、下列合同文件是构成本合同不可分割的部分：</w:t>
      </w:r>
    </w:p>
    <w:p>
      <w:pPr>
        <w:pStyle w:val="8"/>
        <w:rPr>
          <w:color w:val="auto"/>
          <w:highlight w:val="none"/>
        </w:rPr>
      </w:pPr>
      <w:r>
        <w:rPr>
          <w:color w:val="auto"/>
          <w:highlight w:val="none"/>
        </w:rPr>
        <w:t>1.1合同条款；</w:t>
      </w:r>
    </w:p>
    <w:p>
      <w:pPr>
        <w:pStyle w:val="8"/>
        <w:rPr>
          <w:color w:val="auto"/>
          <w:highlight w:val="none"/>
        </w:rPr>
      </w:pPr>
      <w:r>
        <w:rPr>
          <w:color w:val="auto"/>
          <w:highlight w:val="none"/>
        </w:rPr>
        <w:t>1.2招标文件、乙方的投标文件；</w:t>
      </w:r>
    </w:p>
    <w:p>
      <w:pPr>
        <w:pStyle w:val="8"/>
        <w:rPr>
          <w:color w:val="auto"/>
          <w:highlight w:val="none"/>
        </w:rPr>
      </w:pPr>
      <w:r>
        <w:rPr>
          <w:color w:val="auto"/>
          <w:highlight w:val="none"/>
        </w:rPr>
        <w:t>1.3其他文件或材料：□无。□（根据实际情况填写需要增加的内容）。</w:t>
      </w:r>
    </w:p>
    <w:p>
      <w:pPr>
        <w:pStyle w:val="8"/>
        <w:rPr>
          <w:color w:val="auto"/>
          <w:highlight w:val="none"/>
        </w:rPr>
      </w:pPr>
      <w:r>
        <w:rPr>
          <w:color w:val="auto"/>
          <w:highlight w:val="none"/>
        </w:rPr>
        <w:t>2、合同标的</w:t>
      </w:r>
    </w:p>
    <w:p>
      <w:pPr>
        <w:pStyle w:val="8"/>
        <w:rPr>
          <w:color w:val="auto"/>
          <w:highlight w:val="none"/>
        </w:rPr>
      </w:pPr>
      <w:r>
        <w:rPr>
          <w:color w:val="auto"/>
          <w:highlight w:val="none"/>
        </w:rPr>
        <w:t>（根据实际情况填写，可以是表格或文字描述）。</w:t>
      </w:r>
    </w:p>
    <w:p>
      <w:pPr>
        <w:pStyle w:val="8"/>
        <w:rPr>
          <w:color w:val="auto"/>
          <w:highlight w:val="none"/>
        </w:rPr>
      </w:pPr>
      <w:r>
        <w:rPr>
          <w:color w:val="auto"/>
          <w:highlight w:val="none"/>
        </w:rPr>
        <w:t>3、合同总金额</w:t>
      </w:r>
    </w:p>
    <w:p>
      <w:pPr>
        <w:pStyle w:val="8"/>
        <w:rPr>
          <w:color w:val="auto"/>
          <w:highlight w:val="none"/>
        </w:rPr>
      </w:pPr>
      <w:r>
        <w:rPr>
          <w:color w:val="auto"/>
          <w:highlight w:val="none"/>
        </w:rPr>
        <w:t>3.1合同总金额为人民币大写：              元（￥              ）。</w:t>
      </w:r>
    </w:p>
    <w:p>
      <w:pPr>
        <w:pStyle w:val="8"/>
        <w:rPr>
          <w:color w:val="auto"/>
          <w:highlight w:val="none"/>
        </w:rPr>
      </w:pPr>
      <w:r>
        <w:rPr>
          <w:color w:val="auto"/>
          <w:highlight w:val="none"/>
        </w:rPr>
        <w:t>4、合同标的交付时间、地点和条件</w:t>
      </w:r>
    </w:p>
    <w:p>
      <w:pPr>
        <w:pStyle w:val="8"/>
        <w:rPr>
          <w:color w:val="auto"/>
          <w:highlight w:val="none"/>
        </w:rPr>
      </w:pPr>
      <w:r>
        <w:rPr>
          <w:color w:val="auto"/>
          <w:highlight w:val="none"/>
        </w:rPr>
        <w:t>4.1交付时间：                     ；</w:t>
      </w:r>
    </w:p>
    <w:p>
      <w:pPr>
        <w:pStyle w:val="8"/>
        <w:rPr>
          <w:color w:val="auto"/>
          <w:highlight w:val="none"/>
        </w:rPr>
      </w:pPr>
      <w:r>
        <w:rPr>
          <w:color w:val="auto"/>
          <w:highlight w:val="none"/>
        </w:rPr>
        <w:t>4.2交付地点：                     ；</w:t>
      </w:r>
    </w:p>
    <w:p>
      <w:pPr>
        <w:pStyle w:val="8"/>
        <w:rPr>
          <w:color w:val="auto"/>
          <w:highlight w:val="none"/>
        </w:rPr>
      </w:pPr>
      <w:r>
        <w:rPr>
          <w:color w:val="auto"/>
          <w:highlight w:val="none"/>
        </w:rPr>
        <w:t>4.3交付条件：                     。</w:t>
      </w:r>
    </w:p>
    <w:p>
      <w:pPr>
        <w:pStyle w:val="8"/>
        <w:rPr>
          <w:color w:val="auto"/>
          <w:highlight w:val="none"/>
        </w:rPr>
      </w:pPr>
      <w:r>
        <w:rPr>
          <w:color w:val="auto"/>
          <w:highlight w:val="none"/>
        </w:rPr>
        <w:t>5、合同标的应符合招标文件、乙方投标文件的规定或约定，具体如下：</w:t>
      </w:r>
    </w:p>
    <w:p>
      <w:pPr>
        <w:pStyle w:val="8"/>
        <w:rPr>
          <w:color w:val="auto"/>
          <w:highlight w:val="none"/>
        </w:rPr>
      </w:pPr>
      <w:r>
        <w:rPr>
          <w:color w:val="auto"/>
          <w:highlight w:val="none"/>
        </w:rPr>
        <w:t>（根据实际情况填写，可以是表格或文字描述）。</w:t>
      </w:r>
    </w:p>
    <w:p>
      <w:pPr>
        <w:pStyle w:val="8"/>
        <w:rPr>
          <w:color w:val="auto"/>
          <w:highlight w:val="none"/>
        </w:rPr>
      </w:pPr>
      <w:r>
        <w:rPr>
          <w:color w:val="auto"/>
          <w:highlight w:val="none"/>
        </w:rPr>
        <w:t>6、验收</w:t>
      </w:r>
    </w:p>
    <w:p>
      <w:pPr>
        <w:pStyle w:val="8"/>
        <w:rPr>
          <w:color w:val="auto"/>
          <w:highlight w:val="none"/>
        </w:rPr>
      </w:pPr>
      <w:r>
        <w:rPr>
          <w:color w:val="auto"/>
          <w:highlight w:val="none"/>
        </w:rPr>
        <w:t>6.1验收应按照招标文件、乙方投标文件的规定或约定进行，具体如下：</w:t>
      </w:r>
    </w:p>
    <w:p>
      <w:pPr>
        <w:pStyle w:val="8"/>
        <w:rPr>
          <w:color w:val="auto"/>
          <w:highlight w:val="none"/>
        </w:rPr>
      </w:pPr>
      <w:r>
        <w:rPr>
          <w:color w:val="auto"/>
          <w:highlight w:val="none"/>
        </w:rPr>
        <w:t>（根据实际情况填写，可以是表格或文字描述）。</w:t>
      </w:r>
    </w:p>
    <w:p>
      <w:pPr>
        <w:pStyle w:val="8"/>
        <w:rPr>
          <w:color w:val="auto"/>
          <w:highlight w:val="none"/>
        </w:rPr>
      </w:pPr>
      <w:r>
        <w:rPr>
          <w:color w:val="auto"/>
          <w:highlight w:val="none"/>
        </w:rPr>
        <w:t>6.2本项目是否邀请其他投标人参与验收：</w:t>
      </w:r>
    </w:p>
    <w:p>
      <w:pPr>
        <w:pStyle w:val="8"/>
        <w:rPr>
          <w:color w:val="auto"/>
          <w:highlight w:val="none"/>
        </w:rPr>
      </w:pPr>
      <w:r>
        <w:rPr>
          <w:color w:val="auto"/>
          <w:highlight w:val="none"/>
        </w:rPr>
        <w:t>□不邀请。□邀请，具体如下：（按照招标文件规定填写）。</w:t>
      </w:r>
    </w:p>
    <w:p>
      <w:pPr>
        <w:pStyle w:val="8"/>
        <w:rPr>
          <w:color w:val="auto"/>
          <w:highlight w:val="none"/>
        </w:rPr>
      </w:pPr>
      <w:r>
        <w:rPr>
          <w:color w:val="auto"/>
          <w:highlight w:val="none"/>
        </w:rPr>
        <w:t>7、合同款项的支付应按照招标文件的规定进行，具体如下：</w:t>
      </w:r>
    </w:p>
    <w:p>
      <w:pPr>
        <w:pStyle w:val="8"/>
        <w:rPr>
          <w:color w:val="auto"/>
          <w:highlight w:val="none"/>
        </w:rPr>
      </w:pPr>
      <w:r>
        <w:rPr>
          <w:color w:val="auto"/>
          <w:highlight w:val="none"/>
        </w:rPr>
        <w:t>（根据实际情况填写，可以是表格或文字描述，包括一次性支付或分期支付等）。</w:t>
      </w:r>
    </w:p>
    <w:p>
      <w:pPr>
        <w:pStyle w:val="8"/>
        <w:rPr>
          <w:color w:val="auto"/>
          <w:highlight w:val="none"/>
        </w:rPr>
      </w:pPr>
      <w:r>
        <w:rPr>
          <w:color w:val="auto"/>
          <w:highlight w:val="none"/>
        </w:rPr>
        <w:t>8、履约保证金</w:t>
      </w:r>
    </w:p>
    <w:p>
      <w:pPr>
        <w:pStyle w:val="8"/>
        <w:rPr>
          <w:color w:val="auto"/>
          <w:highlight w:val="none"/>
        </w:rPr>
      </w:pPr>
      <w:r>
        <w:rPr>
          <w:color w:val="auto"/>
          <w:highlight w:val="none"/>
        </w:rPr>
        <w:t>□无。□有，具体如下：（按照招标文件规定填写）。</w:t>
      </w:r>
    </w:p>
    <w:p>
      <w:pPr>
        <w:pStyle w:val="8"/>
        <w:rPr>
          <w:color w:val="auto"/>
          <w:highlight w:val="none"/>
        </w:rPr>
      </w:pPr>
      <w:r>
        <w:rPr>
          <w:color w:val="auto"/>
          <w:highlight w:val="none"/>
        </w:rPr>
        <w:t>9、合同有效期</w:t>
      </w:r>
    </w:p>
    <w:p>
      <w:pPr>
        <w:pStyle w:val="8"/>
        <w:rPr>
          <w:color w:val="auto"/>
          <w:highlight w:val="none"/>
        </w:rPr>
      </w:pPr>
      <w:r>
        <w:rPr>
          <w:color w:val="auto"/>
          <w:highlight w:val="none"/>
        </w:rPr>
        <w:t>（根据实际情况填写，可以是表格或文字描述）。</w:t>
      </w:r>
    </w:p>
    <w:p>
      <w:pPr>
        <w:pStyle w:val="8"/>
        <w:rPr>
          <w:color w:val="auto"/>
          <w:highlight w:val="none"/>
        </w:rPr>
      </w:pPr>
      <w:r>
        <w:rPr>
          <w:color w:val="auto"/>
          <w:highlight w:val="none"/>
        </w:rPr>
        <w:t>10、违约责任</w:t>
      </w:r>
    </w:p>
    <w:p>
      <w:pPr>
        <w:pStyle w:val="8"/>
        <w:rPr>
          <w:color w:val="auto"/>
          <w:highlight w:val="none"/>
        </w:rPr>
      </w:pPr>
      <w:r>
        <w:rPr>
          <w:color w:val="auto"/>
          <w:highlight w:val="none"/>
        </w:rPr>
        <w:t>（根据实际情况填写，可以是表格或文字描述）。</w:t>
      </w:r>
    </w:p>
    <w:p>
      <w:pPr>
        <w:pStyle w:val="8"/>
        <w:rPr>
          <w:color w:val="auto"/>
          <w:highlight w:val="none"/>
        </w:rPr>
      </w:pPr>
      <w:r>
        <w:rPr>
          <w:color w:val="auto"/>
          <w:highlight w:val="none"/>
        </w:rPr>
        <w:t>11、知识产权</w:t>
      </w:r>
    </w:p>
    <w:p>
      <w:pPr>
        <w:pStyle w:val="8"/>
        <w:rPr>
          <w:color w:val="auto"/>
          <w:highlight w:val="none"/>
        </w:rPr>
      </w:pPr>
      <w:r>
        <w:rPr>
          <w:color w:val="auto"/>
          <w:highlight w:val="none"/>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rPr>
          <w:color w:val="auto"/>
          <w:highlight w:val="none"/>
        </w:rPr>
      </w:pPr>
      <w:r>
        <w:rPr>
          <w:color w:val="auto"/>
          <w:highlight w:val="none"/>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rPr>
          <w:color w:val="auto"/>
          <w:highlight w:val="none"/>
        </w:rPr>
      </w:pPr>
      <w:r>
        <w:rPr>
          <w:color w:val="auto"/>
          <w:highlight w:val="none"/>
        </w:rPr>
        <w:t>12、解决争议的方法</w:t>
      </w:r>
    </w:p>
    <w:p>
      <w:pPr>
        <w:pStyle w:val="8"/>
        <w:rPr>
          <w:color w:val="auto"/>
          <w:highlight w:val="none"/>
        </w:rPr>
      </w:pPr>
      <w:r>
        <w:rPr>
          <w:color w:val="auto"/>
          <w:highlight w:val="none"/>
        </w:rPr>
        <w:t>12.1甲、乙双方协商解决。</w:t>
      </w:r>
    </w:p>
    <w:p>
      <w:pPr>
        <w:pStyle w:val="8"/>
        <w:rPr>
          <w:color w:val="auto"/>
          <w:highlight w:val="none"/>
        </w:rPr>
      </w:pPr>
      <w:r>
        <w:rPr>
          <w:color w:val="auto"/>
          <w:highlight w:val="none"/>
        </w:rPr>
        <w:t>12.2若协商解决不成，则通过下列途径之一解决：</w:t>
      </w:r>
    </w:p>
    <w:p>
      <w:pPr>
        <w:pStyle w:val="8"/>
        <w:rPr>
          <w:color w:val="auto"/>
          <w:highlight w:val="none"/>
        </w:rPr>
      </w:pPr>
      <w:r>
        <w:rPr>
          <w:color w:val="auto"/>
          <w:highlight w:val="none"/>
        </w:rPr>
        <w:t>□提交仲裁委员会仲裁，具体如下：（根据实际情况填写）。</w:t>
      </w:r>
    </w:p>
    <w:p>
      <w:pPr>
        <w:pStyle w:val="8"/>
        <w:rPr>
          <w:color w:val="auto"/>
          <w:highlight w:val="none"/>
        </w:rPr>
      </w:pPr>
      <w:r>
        <w:rPr>
          <w:color w:val="auto"/>
          <w:highlight w:val="none"/>
        </w:rPr>
        <w:t>□向人民法院提起诉讼，具体如下：（根据实际情况填写）。</w:t>
      </w:r>
    </w:p>
    <w:p>
      <w:pPr>
        <w:pStyle w:val="8"/>
        <w:rPr>
          <w:color w:val="auto"/>
          <w:highlight w:val="none"/>
        </w:rPr>
      </w:pPr>
      <w:r>
        <w:rPr>
          <w:color w:val="auto"/>
          <w:highlight w:val="none"/>
        </w:rPr>
        <w:t>13、不可抗力</w:t>
      </w:r>
    </w:p>
    <w:p>
      <w:pPr>
        <w:pStyle w:val="8"/>
        <w:rPr>
          <w:color w:val="auto"/>
          <w:highlight w:val="none"/>
        </w:rPr>
      </w:pPr>
      <w:r>
        <w:rPr>
          <w:color w:val="auto"/>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8"/>
        <w:rPr>
          <w:color w:val="auto"/>
          <w:highlight w:val="none"/>
        </w:rPr>
      </w:pPr>
      <w:r>
        <w:rPr>
          <w:color w:val="auto"/>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8"/>
        <w:rPr>
          <w:color w:val="auto"/>
          <w:highlight w:val="none"/>
        </w:rPr>
      </w:pPr>
      <w:r>
        <w:rPr>
          <w:color w:val="auto"/>
          <w:highlight w:val="none"/>
        </w:rPr>
        <w:t>14、合同条款</w:t>
      </w:r>
    </w:p>
    <w:p>
      <w:pPr>
        <w:pStyle w:val="8"/>
        <w:rPr>
          <w:color w:val="auto"/>
          <w:highlight w:val="none"/>
        </w:rPr>
      </w:pPr>
      <w:r>
        <w:rPr>
          <w:color w:val="auto"/>
          <w:highlight w:val="none"/>
        </w:rPr>
        <w:t>（根据实际情况填写。招标文件第五章已有规定的，双方均不得对规定进行变更或调整；招标文件第五章未作规定的，双方可通过友好协商进行约定）。</w:t>
      </w:r>
    </w:p>
    <w:p>
      <w:pPr>
        <w:pStyle w:val="8"/>
        <w:rPr>
          <w:color w:val="auto"/>
          <w:highlight w:val="none"/>
        </w:rPr>
      </w:pPr>
      <w:r>
        <w:rPr>
          <w:color w:val="auto"/>
          <w:highlight w:val="none"/>
        </w:rPr>
        <w:t>15、其他约定</w:t>
      </w:r>
    </w:p>
    <w:p>
      <w:pPr>
        <w:pStyle w:val="8"/>
        <w:rPr>
          <w:color w:val="auto"/>
          <w:highlight w:val="none"/>
        </w:rPr>
      </w:pPr>
      <w:r>
        <w:rPr>
          <w:color w:val="auto"/>
          <w:highlight w:val="none"/>
        </w:rPr>
        <w:t>15.1合同文件与本合同具有同等法律效力。</w:t>
      </w:r>
    </w:p>
    <w:p>
      <w:pPr>
        <w:pStyle w:val="8"/>
        <w:rPr>
          <w:color w:val="auto"/>
          <w:highlight w:val="none"/>
        </w:rPr>
      </w:pPr>
      <w:r>
        <w:rPr>
          <w:color w:val="auto"/>
          <w:highlight w:val="none"/>
        </w:rPr>
        <w:t>15.2本合同未尽事宜，双方可另行补充。</w:t>
      </w:r>
    </w:p>
    <w:p>
      <w:pPr>
        <w:pStyle w:val="8"/>
        <w:rPr>
          <w:color w:val="auto"/>
          <w:highlight w:val="none"/>
        </w:rPr>
      </w:pPr>
      <w:r>
        <w:rPr>
          <w:color w:val="auto"/>
          <w:highlight w:val="none"/>
        </w:rPr>
        <w:t>15.3本合同自签订之日起生效。</w:t>
      </w:r>
    </w:p>
    <w:p>
      <w:pPr>
        <w:pStyle w:val="8"/>
        <w:rPr>
          <w:color w:val="auto"/>
          <w:highlight w:val="none"/>
        </w:rPr>
      </w:pPr>
      <w:r>
        <w:rPr>
          <w:color w:val="auto"/>
          <w:highlight w:val="none"/>
        </w:rPr>
        <w:t>15.4本合同一式（填写具体份数）份，经双方授权代表签字并盖章后生效。甲方、乙方各执（填写具体份数）份，送（填写需要备案的监管部门的全称）备案（填写具体份数）份，具有同等效力。</w:t>
      </w:r>
    </w:p>
    <w:p>
      <w:pPr>
        <w:pStyle w:val="8"/>
        <w:rPr>
          <w:color w:val="auto"/>
          <w:highlight w:val="none"/>
        </w:rPr>
      </w:pPr>
      <w:r>
        <w:rPr>
          <w:color w:val="auto"/>
          <w:highlight w:val="none"/>
        </w:rPr>
        <w:t>15.5其他：□无。□（根据实际情况填写需要增加的内容）。</w:t>
      </w:r>
    </w:p>
    <w:p>
      <w:pPr>
        <w:pStyle w:val="8"/>
        <w:rPr>
          <w:rFonts w:ascii="仿宋" w:hAnsi="仿宋" w:eastAsia="仿宋"/>
          <w:color w:val="auto"/>
          <w:spacing w:val="-6"/>
          <w:szCs w:val="21"/>
          <w:highlight w:val="none"/>
        </w:rPr>
      </w:pPr>
      <w:r>
        <w:rPr>
          <w:color w:val="auto"/>
          <w:highlight w:val="none"/>
        </w:rPr>
        <w:t>（以下无正文）</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甲方：                      乙方：</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住所：                   住所：</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单位负责人：                  单位负责人：</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委托代理人：                 委托代理人：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联系方法：                   联系方法：</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开户银行：                   开户银行：</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账号：                      账号：</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签订地点：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签订日期：    年   月   日</w:t>
      </w:r>
    </w:p>
    <w:p>
      <w:pPr>
        <w:widowControl/>
        <w:spacing w:before="96" w:after="100" w:afterAutospacing="1"/>
        <w:jc w:val="left"/>
        <w:rPr>
          <w:rFonts w:ascii="宋体" w:hAnsi="宋体" w:eastAsia="宋体" w:cs="宋体"/>
          <w:color w:val="auto"/>
          <w:kern w:val="0"/>
          <w:sz w:val="24"/>
          <w:szCs w:val="24"/>
          <w:highlight w:val="none"/>
        </w:rPr>
      </w:pPr>
    </w:p>
    <w:p>
      <w:pPr>
        <w:widowControl/>
        <w:spacing w:before="96" w:after="100" w:afterAutospacing="1"/>
        <w:jc w:val="left"/>
        <w:rPr>
          <w:rFonts w:ascii="宋体" w:hAnsi="宋体" w:eastAsia="宋体" w:cs="宋体"/>
          <w:color w:val="auto"/>
          <w:kern w:val="0"/>
          <w:sz w:val="24"/>
          <w:szCs w:val="24"/>
          <w:highlight w:val="none"/>
        </w:rPr>
      </w:pPr>
    </w:p>
    <w:p>
      <w:pPr>
        <w:widowControl/>
        <w:spacing w:before="96" w:after="100" w:afterAutospacing="1"/>
        <w:jc w:val="left"/>
        <w:rPr>
          <w:rFonts w:ascii="宋体" w:hAnsi="宋体" w:eastAsia="宋体" w:cs="宋体"/>
          <w:color w:val="auto"/>
          <w:kern w:val="0"/>
          <w:sz w:val="24"/>
          <w:szCs w:val="24"/>
          <w:highlight w:val="none"/>
        </w:rPr>
      </w:pPr>
    </w:p>
    <w:p>
      <w:pPr>
        <w:widowControl/>
        <w:spacing w:before="96" w:after="100" w:afterAutospacing="1"/>
        <w:jc w:val="left"/>
        <w:rPr>
          <w:rFonts w:ascii="宋体" w:hAnsi="宋体" w:eastAsia="宋体" w:cs="宋体"/>
          <w:color w:val="auto"/>
          <w:kern w:val="0"/>
          <w:sz w:val="24"/>
          <w:szCs w:val="24"/>
          <w:highlight w:val="none"/>
        </w:rPr>
      </w:pPr>
    </w:p>
    <w:p>
      <w:pPr>
        <w:widowControl/>
        <w:spacing w:before="96" w:after="100" w:afterAutospacing="1"/>
        <w:jc w:val="left"/>
        <w:rPr>
          <w:rFonts w:ascii="宋体" w:hAnsi="宋体" w:eastAsia="宋体" w:cs="宋体"/>
          <w:color w:val="auto"/>
          <w:kern w:val="0"/>
          <w:sz w:val="24"/>
          <w:szCs w:val="24"/>
          <w:highlight w:val="none"/>
        </w:rPr>
      </w:pPr>
    </w:p>
    <w:p>
      <w:pPr>
        <w:widowControl/>
        <w:spacing w:before="96" w:after="100" w:afterAutospacing="1"/>
        <w:jc w:val="left"/>
        <w:rPr>
          <w:rFonts w:ascii="宋体" w:hAnsi="宋体" w:eastAsia="宋体" w:cs="宋体"/>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b/>
          <w:bCs/>
          <w:color w:val="auto"/>
          <w:kern w:val="0"/>
          <w:sz w:val="35"/>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35"/>
          <w:highlight w:val="none"/>
        </w:rPr>
        <w:t>第六章  响应文件格式</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60" w:lineRule="auto"/>
        <w:ind w:firstLine="384"/>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注:本附件所有格式为响应文件的组成部分仅供制作响应文件时参考,供应商应根据行业特点,结合本次协商要求，对有关表格进行补充或修改,但不得减少响应文件的格式内容。</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color w:val="auto"/>
          <w:kern w:val="0"/>
          <w:sz w:val="25"/>
          <w:szCs w:val="25"/>
          <w:highlight w:val="none"/>
        </w:rPr>
        <w:br w:type="textWrapping"/>
      </w:r>
    </w:p>
    <w:p>
      <w:pPr>
        <w:widowControl/>
        <w:spacing w:before="100" w:beforeAutospacing="1" w:after="100" w:afterAutospacing="1"/>
        <w:jc w:val="center"/>
        <w:rPr>
          <w:rFonts w:ascii="宋体" w:hAnsi="宋体" w:eastAsia="宋体" w:cs="宋体"/>
          <w:b/>
          <w:bCs/>
          <w:color w:val="auto"/>
          <w:kern w:val="0"/>
          <w:sz w:val="58"/>
          <w:highlight w:val="none"/>
        </w:rPr>
      </w:pPr>
    </w:p>
    <w:p>
      <w:pPr>
        <w:widowControl/>
        <w:spacing w:before="100" w:beforeAutospacing="1" w:after="100" w:afterAutospacing="1"/>
        <w:jc w:val="center"/>
        <w:rPr>
          <w:rFonts w:ascii="宋体" w:hAnsi="宋体" w:eastAsia="宋体" w:cs="宋体"/>
          <w:b/>
          <w:bCs/>
          <w:color w:val="auto"/>
          <w:kern w:val="0"/>
          <w:sz w:val="58"/>
          <w:highlight w:val="none"/>
        </w:rPr>
      </w:pPr>
    </w:p>
    <w:p>
      <w:pPr>
        <w:widowControl/>
        <w:spacing w:before="100" w:beforeAutospacing="1" w:after="100" w:afterAutospacing="1"/>
        <w:jc w:val="center"/>
        <w:rPr>
          <w:rFonts w:ascii="宋体" w:hAnsi="宋体" w:eastAsia="宋体" w:cs="宋体"/>
          <w:b/>
          <w:bCs/>
          <w:color w:val="auto"/>
          <w:kern w:val="0"/>
          <w:sz w:val="58"/>
          <w:highlight w:val="none"/>
        </w:rPr>
      </w:pPr>
    </w:p>
    <w:p>
      <w:pPr>
        <w:widowControl/>
        <w:spacing w:before="100" w:beforeAutospacing="1" w:after="100" w:afterAutospacing="1"/>
        <w:jc w:val="center"/>
        <w:rPr>
          <w:rFonts w:ascii="宋体" w:hAnsi="宋体" w:eastAsia="宋体" w:cs="宋体"/>
          <w:b/>
          <w:bCs/>
          <w:color w:val="auto"/>
          <w:kern w:val="0"/>
          <w:sz w:val="58"/>
          <w:highlight w:val="none"/>
        </w:rPr>
      </w:pPr>
    </w:p>
    <w:p>
      <w:pPr>
        <w:widowControl/>
        <w:spacing w:before="100" w:beforeAutospacing="1" w:after="100" w:afterAutospacing="1"/>
        <w:jc w:val="center"/>
        <w:rPr>
          <w:rFonts w:ascii="宋体" w:hAnsi="宋体" w:eastAsia="宋体" w:cs="宋体"/>
          <w:b/>
          <w:bCs/>
          <w:color w:val="auto"/>
          <w:kern w:val="0"/>
          <w:sz w:val="58"/>
          <w:highlight w:val="none"/>
        </w:rPr>
      </w:pPr>
    </w:p>
    <w:p>
      <w:pPr>
        <w:widowControl/>
        <w:spacing w:before="100" w:beforeAutospacing="1" w:after="100" w:afterAutospacing="1"/>
        <w:jc w:val="center"/>
        <w:rPr>
          <w:rFonts w:ascii="宋体" w:hAnsi="宋体" w:eastAsia="宋体" w:cs="宋体"/>
          <w:b/>
          <w:bCs/>
          <w:color w:val="auto"/>
          <w:kern w:val="0"/>
          <w:sz w:val="58"/>
          <w:highlight w:val="none"/>
        </w:rPr>
      </w:pPr>
    </w:p>
    <w:p>
      <w:pPr>
        <w:widowControl/>
        <w:spacing w:before="100" w:beforeAutospacing="1" w:after="100" w:afterAutospacing="1"/>
        <w:rPr>
          <w:rFonts w:ascii="宋体" w:hAnsi="宋体" w:eastAsia="宋体" w:cs="宋体"/>
          <w:color w:val="auto"/>
          <w:kern w:val="0"/>
          <w:sz w:val="25"/>
          <w:szCs w:val="25"/>
          <w:highlight w:val="none"/>
        </w:rPr>
      </w:pPr>
    </w:p>
    <w:p>
      <w:pPr>
        <w:widowControl/>
        <w:spacing w:before="100" w:beforeAutospacing="1" w:after="100" w:afterAutospacing="1"/>
        <w:jc w:val="left"/>
        <w:rPr>
          <w:rFonts w:ascii="宋体" w:hAnsi="宋体" w:eastAsia="宋体" w:cs="宋体"/>
          <w:color w:val="auto"/>
          <w:kern w:val="0"/>
          <w:sz w:val="25"/>
          <w:szCs w:val="25"/>
          <w:highlight w:val="none"/>
        </w:rPr>
      </w:pPr>
    </w:p>
    <w:p>
      <w:pPr>
        <w:widowControl/>
        <w:spacing w:before="100" w:beforeAutospacing="1" w:after="100" w:afterAutospacing="1"/>
        <w:jc w:val="left"/>
        <w:rPr>
          <w:rFonts w:ascii="宋体" w:hAnsi="宋体" w:eastAsia="宋体" w:cs="宋体"/>
          <w:b/>
          <w:bCs/>
          <w:color w:val="auto"/>
          <w:kern w:val="0"/>
          <w:sz w:val="58"/>
          <w:highlight w:val="none"/>
        </w:rPr>
      </w:pPr>
      <w:r>
        <w:rPr>
          <w:rFonts w:ascii="宋体" w:hAnsi="宋体" w:eastAsia="宋体" w:cs="宋体"/>
          <w:color w:val="auto"/>
          <w:kern w:val="0"/>
          <w:sz w:val="25"/>
          <w:szCs w:val="25"/>
          <w:highlight w:val="none"/>
        </w:rPr>
        <w:t>封面格式：</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58"/>
          <w:highlight w:val="none"/>
        </w:rPr>
        <w:t>单一来源采购项目</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响  应  文  件</w:t>
      </w:r>
    </w:p>
    <w:p>
      <w:pPr>
        <w:widowControl/>
        <w:spacing w:before="192"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u w:val="single"/>
        </w:rPr>
        <w:t>（填写正本或副本）</w:t>
      </w:r>
    </w:p>
    <w:p>
      <w:pPr>
        <w:widowControl/>
        <w:spacing w:before="100" w:beforeAutospacing="1" w:after="100" w:afterAutospacing="1" w:line="348"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92"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ind w:firstLine="864"/>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项 目 名 称：</w:t>
      </w:r>
      <w:r>
        <w:rPr>
          <w:rFonts w:ascii="宋体" w:hAnsi="宋体" w:eastAsia="宋体" w:cs="宋体"/>
          <w:b/>
          <w:bCs/>
          <w:color w:val="auto"/>
          <w:kern w:val="0"/>
          <w:sz w:val="29"/>
          <w:highlight w:val="none"/>
          <w:u w:val="single"/>
        </w:rPr>
        <w:t>               </w:t>
      </w:r>
    </w:p>
    <w:p>
      <w:pPr>
        <w:widowControl/>
        <w:spacing w:before="100" w:beforeAutospacing="1" w:after="100" w:afterAutospacing="1"/>
        <w:ind w:firstLine="864"/>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项 目 编 号：</w:t>
      </w:r>
      <w:r>
        <w:rPr>
          <w:rFonts w:ascii="宋体" w:hAnsi="宋体" w:eastAsia="宋体" w:cs="宋体"/>
          <w:b/>
          <w:bCs/>
          <w:color w:val="auto"/>
          <w:kern w:val="0"/>
          <w:sz w:val="29"/>
          <w:highlight w:val="none"/>
          <w:u w:val="single"/>
        </w:rPr>
        <w:t>               </w:t>
      </w:r>
    </w:p>
    <w:p>
      <w:pPr>
        <w:widowControl/>
        <w:spacing w:before="100" w:beforeAutospacing="1" w:after="100" w:afterAutospacing="1"/>
        <w:ind w:firstLine="864"/>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合 同 包 号：</w:t>
      </w:r>
      <w:r>
        <w:rPr>
          <w:rFonts w:ascii="宋体" w:hAnsi="宋体" w:eastAsia="宋体" w:cs="宋体"/>
          <w:b/>
          <w:bCs/>
          <w:color w:val="auto"/>
          <w:kern w:val="0"/>
          <w:sz w:val="29"/>
          <w:highlight w:val="none"/>
          <w:u w:val="singl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供应商名称 ：</w:t>
      </w:r>
      <w:r>
        <w:rPr>
          <w:rFonts w:ascii="宋体" w:hAnsi="宋体" w:eastAsia="宋体" w:cs="宋体"/>
          <w:b/>
          <w:bCs/>
          <w:color w:val="auto"/>
          <w:kern w:val="0"/>
          <w:sz w:val="29"/>
          <w:highlight w:val="none"/>
          <w:u w:val="single"/>
        </w:rPr>
        <w:t>               （加盖公章）</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日      期 ：</w:t>
      </w:r>
      <w:r>
        <w:rPr>
          <w:rFonts w:ascii="宋体" w:hAnsi="宋体" w:eastAsia="宋体" w:cs="宋体"/>
          <w:b/>
          <w:bCs/>
          <w:color w:val="auto"/>
          <w:kern w:val="0"/>
          <w:sz w:val="29"/>
          <w:highlight w:val="none"/>
          <w:u w:val="singl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单位负责人名称：</w:t>
      </w:r>
      <w:r>
        <w:rPr>
          <w:rFonts w:ascii="宋体" w:hAnsi="宋体" w:eastAsia="宋体" w:cs="宋体"/>
          <w:b/>
          <w:bCs/>
          <w:color w:val="auto"/>
          <w:kern w:val="0"/>
          <w:sz w:val="29"/>
          <w:highlight w:val="none"/>
          <w:u w:val="single"/>
        </w:rPr>
        <w:t>            </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授权代表名称：</w:t>
      </w:r>
      <w:r>
        <w:rPr>
          <w:rFonts w:ascii="宋体" w:hAnsi="宋体" w:eastAsia="宋体" w:cs="宋体"/>
          <w:b/>
          <w:bCs/>
          <w:color w:val="auto"/>
          <w:kern w:val="0"/>
          <w:sz w:val="29"/>
          <w:highlight w:val="none"/>
          <w:u w:val="single"/>
        </w:rPr>
        <w:t>              </w:t>
      </w:r>
    </w:p>
    <w:p>
      <w:pPr>
        <w:widowControl/>
        <w:spacing w:before="100" w:beforeAutospacing="1" w:after="100" w:afterAutospacing="1"/>
        <w:ind w:firstLine="996"/>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联 系 电 话：</w:t>
      </w:r>
      <w:r>
        <w:rPr>
          <w:rFonts w:ascii="宋体" w:hAnsi="宋体" w:eastAsia="宋体" w:cs="宋体"/>
          <w:b/>
          <w:bCs/>
          <w:color w:val="auto"/>
          <w:kern w:val="0"/>
          <w:sz w:val="29"/>
          <w:highlight w:val="none"/>
          <w:u w:val="single"/>
        </w:rPr>
        <w:t>               </w:t>
      </w:r>
    </w:p>
    <w:p>
      <w:pPr>
        <w:widowControl/>
        <w:spacing w:before="100" w:beforeAutospacing="1" w:after="100" w:afterAutospacing="1"/>
        <w:ind w:firstLine="996"/>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联 系 地 址：</w:t>
      </w:r>
      <w:r>
        <w:rPr>
          <w:rFonts w:ascii="宋体" w:hAnsi="宋体" w:eastAsia="宋体" w:cs="宋体"/>
          <w:b/>
          <w:bCs/>
          <w:color w:val="auto"/>
          <w:kern w:val="0"/>
          <w:sz w:val="29"/>
          <w:highlight w:val="none"/>
          <w:u w:val="single"/>
        </w:rPr>
        <w:t>              </w:t>
      </w:r>
    </w:p>
    <w:p>
      <w:pPr>
        <w:widowControl/>
        <w:spacing w:before="100" w:beforeAutospacing="1" w:after="100" w:afterAutospacing="1" w:line="348"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br w:type="textWrapping"/>
      </w:r>
      <w:r>
        <w:rPr>
          <w:rFonts w:ascii="宋体" w:hAnsi="宋体" w:eastAsia="宋体" w:cs="宋体"/>
          <w:b/>
          <w:bCs/>
          <w:color w:val="auto"/>
          <w:kern w:val="0"/>
          <w:sz w:val="24"/>
          <w:szCs w:val="24"/>
          <w:highlight w:val="none"/>
        </w:rPr>
        <w:t>目录</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一、协商……………………………………………………………………（页码）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附件1、《单位负责人身份证明复……………………………………（页码）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附件2、《单位负责人授权书》(单位负责人参加协商的可无须提供本函) …（页码）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二、供应商基本情况…………………………………………………………（页码）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附件3、供应商基本资质材……………………………………………（页码）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附件4、协商保证金银行汇款凭证复</w:t>
      </w:r>
      <w:r>
        <w:rPr>
          <w:rFonts w:hint="eastAsia" w:ascii="宋体" w:hAnsi="宋体" w:eastAsia="宋体" w:cs="宋体"/>
          <w:color w:val="auto"/>
          <w:kern w:val="0"/>
          <w:sz w:val="24"/>
          <w:szCs w:val="24"/>
          <w:highlight w:val="none"/>
          <w:lang w:eastAsia="zh-CN"/>
        </w:rPr>
        <w:t>（若有）</w:t>
      </w:r>
      <w:r>
        <w:rPr>
          <w:rFonts w:ascii="宋体" w:hAnsi="宋体" w:eastAsia="宋体" w:cs="宋体"/>
          <w:color w:val="auto"/>
          <w:kern w:val="0"/>
          <w:sz w:val="24"/>
          <w:szCs w:val="24"/>
          <w:highlight w:val="none"/>
        </w:rPr>
        <w:t>……………………（页码）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附件5、采购文件要求的供应商其……………………………………（页码）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三、单一来源报价资料……………………………………………………（页码）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附件6、报价一览表…………………………………………………（页码）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附件7、采购标的成本说明(格式自定)……………………………（页码）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附件8、同类项目合同价格说明(格式自定)………………………（页码）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附件9、供应商相关专利、专有技术情况说明(格式自定)………（页码）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四、技术商务条款响应情……………………………………………（页码）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附件10、标的说明、施工组织设计、技术方案或服务方…………（页码）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附件11、协商内容及要求响应………………………………………（页码）</w:t>
      </w:r>
    </w:p>
    <w:p>
      <w:pPr>
        <w:widowControl/>
        <w:spacing w:before="100" w:beforeAutospacing="1" w:after="100" w:afterAutospacing="1" w:line="34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附件12、供应商认为需要提供的其他技术资………………………（页码）</w:t>
      </w:r>
    </w:p>
    <w:p>
      <w:pPr>
        <w:widowControl/>
        <w:spacing w:before="100" w:beforeAutospacing="1" w:after="100" w:afterAutospacing="1"/>
        <w:jc w:val="center"/>
        <w:rPr>
          <w:rFonts w:ascii="宋体" w:hAnsi="宋体" w:eastAsia="宋体" w:cs="宋体"/>
          <w:b/>
          <w:bCs/>
          <w:color w:val="auto"/>
          <w:kern w:val="0"/>
          <w:sz w:val="29"/>
          <w:highlight w:val="none"/>
        </w:rPr>
      </w:pPr>
      <w:r>
        <w:rPr>
          <w:rFonts w:ascii="宋体" w:hAnsi="宋体" w:eastAsia="宋体" w:cs="宋体"/>
          <w:color w:val="auto"/>
          <w:kern w:val="0"/>
          <w:sz w:val="24"/>
          <w:szCs w:val="24"/>
          <w:highlight w:val="none"/>
        </w:rPr>
        <w:br w:type="textWrapping"/>
      </w:r>
    </w:p>
    <w:p>
      <w:pPr>
        <w:widowControl/>
        <w:spacing w:before="100" w:beforeAutospacing="1" w:after="100" w:afterAutospacing="1"/>
        <w:jc w:val="center"/>
        <w:rPr>
          <w:rFonts w:ascii="宋体" w:hAnsi="宋体" w:eastAsia="宋体" w:cs="宋体"/>
          <w:b/>
          <w:bCs/>
          <w:color w:val="auto"/>
          <w:kern w:val="0"/>
          <w:sz w:val="29"/>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一、协商响应声明</w:t>
      </w:r>
    </w:p>
    <w:p>
      <w:pPr>
        <w:widowControl/>
        <w:spacing w:before="100" w:beforeAutospacing="1" w:after="100" w:afterAutospacing="1"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w:t>
      </w:r>
      <w:r>
        <w:rPr>
          <w:rFonts w:ascii="宋体" w:hAnsi="宋体" w:eastAsia="宋体" w:cs="宋体"/>
          <w:color w:val="auto"/>
          <w:kern w:val="0"/>
          <w:sz w:val="24"/>
          <w:szCs w:val="24"/>
          <w:highlight w:val="none"/>
          <w:u w:val="single"/>
        </w:rPr>
        <w:t>____________</w:t>
      </w:r>
      <w:r>
        <w:rPr>
          <w:rFonts w:ascii="宋体" w:hAnsi="宋体" w:eastAsia="宋体" w:cs="宋体"/>
          <w:color w:val="auto"/>
          <w:kern w:val="0"/>
          <w:sz w:val="24"/>
          <w:szCs w:val="24"/>
          <w:highlight w:val="none"/>
        </w:rPr>
        <w:t>(采购人或采购代理机构)：</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兹收到贵单位关于</w:t>
      </w:r>
      <w:r>
        <w:rPr>
          <w:rFonts w:ascii="宋体" w:hAnsi="宋体" w:eastAsia="宋体" w:cs="宋体"/>
          <w:color w:val="auto"/>
          <w:kern w:val="0"/>
          <w:sz w:val="24"/>
          <w:szCs w:val="24"/>
          <w:highlight w:val="none"/>
          <w:u w:val="single"/>
        </w:rPr>
        <w:t>（填写“项目名称”）</w:t>
      </w:r>
      <w:r>
        <w:rPr>
          <w:rFonts w:ascii="宋体" w:hAnsi="宋体" w:eastAsia="宋体" w:cs="宋体"/>
          <w:color w:val="auto"/>
          <w:kern w:val="0"/>
          <w:sz w:val="24"/>
          <w:szCs w:val="24"/>
          <w:highlight w:val="none"/>
        </w:rPr>
        <w:t>项目（项目编号：</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）的协商邀请，本供应商代表</w:t>
      </w:r>
      <w:r>
        <w:rPr>
          <w:rFonts w:ascii="宋体" w:hAnsi="宋体" w:eastAsia="宋体" w:cs="宋体"/>
          <w:color w:val="auto"/>
          <w:kern w:val="0"/>
          <w:sz w:val="24"/>
          <w:szCs w:val="24"/>
          <w:highlight w:val="none"/>
          <w:u w:val="single"/>
        </w:rPr>
        <w:t>（填写“全名”）</w:t>
      </w:r>
      <w:r>
        <w:rPr>
          <w:rFonts w:ascii="宋体" w:hAnsi="宋体" w:eastAsia="宋体" w:cs="宋体"/>
          <w:color w:val="auto"/>
          <w:kern w:val="0"/>
          <w:sz w:val="24"/>
          <w:szCs w:val="24"/>
          <w:highlight w:val="none"/>
        </w:rPr>
        <w:t>已获得我方正式授权并代表供应商</w:t>
      </w:r>
      <w:r>
        <w:rPr>
          <w:rFonts w:ascii="宋体" w:hAnsi="宋体" w:eastAsia="宋体" w:cs="宋体"/>
          <w:color w:val="auto"/>
          <w:kern w:val="0"/>
          <w:sz w:val="24"/>
          <w:szCs w:val="24"/>
          <w:highlight w:val="none"/>
          <w:u w:val="single"/>
        </w:rPr>
        <w:t>（填写“全称”）</w:t>
      </w:r>
      <w:r>
        <w:rPr>
          <w:rFonts w:ascii="宋体" w:hAnsi="宋体" w:eastAsia="宋体" w:cs="宋体"/>
          <w:color w:val="auto"/>
          <w:kern w:val="0"/>
          <w:sz w:val="24"/>
          <w:szCs w:val="24"/>
          <w:highlight w:val="none"/>
        </w:rPr>
        <w:t>参加协商，并提交采购文件规定份数的响应文件正本和副本。</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根据本函，本供应商代表宣布我方保证遵守采购文件的全部规定，同时：</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r>
        <w:rPr>
          <w:rFonts w:ascii="宋体" w:hAnsi="宋体" w:eastAsia="宋体" w:cs="宋体"/>
          <w:b/>
          <w:bCs/>
          <w:color w:val="auto"/>
          <w:kern w:val="0"/>
          <w:sz w:val="24"/>
          <w:szCs w:val="24"/>
          <w:highlight w:val="none"/>
        </w:rPr>
        <w:t>确认：</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1.1所投合同包的报价详见“报价一览表”，最终成交价格以双方协商一致的有效报价为准。</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1.2我方已详细审查全部采购文件及其附件（若有），包括其澄清或修改（若有），并将自行承担因对全部采购文件理解不正确或误解而产生的相应后果。</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ascii="宋体" w:hAnsi="宋体" w:eastAsia="宋体" w:cs="宋体"/>
          <w:b/>
          <w:bCs/>
          <w:color w:val="auto"/>
          <w:kern w:val="0"/>
          <w:sz w:val="24"/>
          <w:szCs w:val="24"/>
          <w:highlight w:val="none"/>
        </w:rPr>
        <w:t>承诺：</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2.1采购文件各组成部分的内容及其所提交的全部资料是不可割离且真实、有效、准确、完整和不具有任何误导性的，否则造成不利后果由我方承担责任。</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2.2协商保证金：若出现采购文件第三章规定的情形，同意贵单位不予退还。</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2.3协商有效期：按照采购文件第三章规定执行，并在采购文件第二章载明的期限内保持有效。</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2.4 若成交，则按照采购文件、我方响应文件及政府采购合同的约定履行责任和义务。</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2.5若贵单位要求，我方同意提供与本项目采购有关的一切资料、数据或文件，并完全理解贵单位不一定要接受我方的报价。</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ascii="宋体" w:hAnsi="宋体" w:eastAsia="宋体" w:cs="宋体"/>
          <w:b/>
          <w:bCs/>
          <w:color w:val="auto"/>
          <w:kern w:val="0"/>
          <w:sz w:val="24"/>
          <w:szCs w:val="24"/>
          <w:highlight w:val="none"/>
        </w:rPr>
        <w:t>声明：</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3.2与本项目协商过程中有关的一切正式往来通讯请寄：</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u w:val="single"/>
        </w:rPr>
      </w:pPr>
      <w:r>
        <w:rPr>
          <w:rFonts w:ascii="宋体" w:hAnsi="宋体" w:eastAsia="宋体" w:cs="宋体"/>
          <w:color w:val="auto"/>
          <w:kern w:val="0"/>
          <w:sz w:val="24"/>
          <w:szCs w:val="24"/>
          <w:highlight w:val="none"/>
        </w:rPr>
        <w:t>地址：</w:t>
      </w:r>
      <w:r>
        <w:rPr>
          <w:rFonts w:ascii="宋体" w:hAnsi="宋体" w:eastAsia="宋体" w:cs="宋体"/>
          <w:color w:val="auto"/>
          <w:kern w:val="0"/>
          <w:sz w:val="24"/>
          <w:szCs w:val="24"/>
          <w:highlight w:val="none"/>
          <w:u w:val="single"/>
        </w:rPr>
        <w:t>                    </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邮编：</w:t>
      </w:r>
      <w:r>
        <w:rPr>
          <w:rFonts w:ascii="宋体" w:hAnsi="宋体" w:eastAsia="宋体" w:cs="宋体"/>
          <w:color w:val="auto"/>
          <w:kern w:val="0"/>
          <w:sz w:val="24"/>
          <w:szCs w:val="24"/>
          <w:highlight w:val="none"/>
          <w:u w:val="single"/>
        </w:rPr>
        <w:t>                 </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联系方法：</w:t>
      </w:r>
      <w:r>
        <w:rPr>
          <w:rFonts w:ascii="宋体" w:hAnsi="宋体" w:eastAsia="宋体" w:cs="宋体"/>
          <w:color w:val="auto"/>
          <w:kern w:val="0"/>
          <w:sz w:val="24"/>
          <w:szCs w:val="24"/>
          <w:highlight w:val="none"/>
          <w:u w:val="single"/>
        </w:rPr>
        <w:t>                       </w:t>
      </w:r>
    </w:p>
    <w:p>
      <w:pPr>
        <w:widowControl/>
        <w:spacing w:before="100" w:beforeAutospacing="1" w:after="100" w:afterAutospacing="1" w:line="360" w:lineRule="auto"/>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  日  期：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年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日</w:t>
      </w:r>
    </w:p>
    <w:p>
      <w:pPr>
        <w:widowControl/>
        <w:spacing w:before="100" w:beforeAutospacing="1" w:after="100" w:afterAutospacing="1" w:line="300" w:lineRule="atLeast"/>
        <w:jc w:val="center"/>
        <w:rPr>
          <w:rFonts w:ascii="宋体" w:hAnsi="宋体" w:eastAsia="宋体" w:cs="宋体"/>
          <w:b/>
          <w:bCs/>
          <w:color w:val="auto"/>
          <w:kern w:val="0"/>
          <w:sz w:val="24"/>
          <w:szCs w:val="24"/>
          <w:highlight w:val="none"/>
        </w:rPr>
      </w:pPr>
    </w:p>
    <w:p>
      <w:pPr>
        <w:widowControl/>
        <w:spacing w:before="100" w:beforeAutospacing="1" w:after="100" w:afterAutospacing="1" w:line="300" w:lineRule="atLeast"/>
        <w:jc w:val="center"/>
        <w:rPr>
          <w:rFonts w:ascii="宋体" w:hAnsi="宋体" w:eastAsia="宋体" w:cs="宋体"/>
          <w:b/>
          <w:bCs/>
          <w:color w:val="auto"/>
          <w:kern w:val="0"/>
          <w:sz w:val="24"/>
          <w:szCs w:val="24"/>
          <w:highlight w:val="none"/>
        </w:rPr>
      </w:pPr>
    </w:p>
    <w:p>
      <w:pPr>
        <w:widowControl/>
        <w:spacing w:before="100" w:beforeAutospacing="1" w:after="100" w:afterAutospacing="1" w:line="300" w:lineRule="atLeast"/>
        <w:jc w:val="center"/>
        <w:rPr>
          <w:rFonts w:ascii="宋体" w:hAnsi="宋体" w:eastAsia="宋体" w:cs="宋体"/>
          <w:b/>
          <w:bCs/>
          <w:color w:val="auto"/>
          <w:kern w:val="0"/>
          <w:sz w:val="24"/>
          <w:szCs w:val="24"/>
          <w:highlight w:val="none"/>
        </w:rPr>
      </w:pPr>
    </w:p>
    <w:p>
      <w:pPr>
        <w:widowControl/>
        <w:spacing w:before="100" w:beforeAutospacing="1" w:after="100" w:afterAutospacing="1" w:line="300" w:lineRule="atLeast"/>
        <w:jc w:val="center"/>
        <w:rPr>
          <w:rFonts w:ascii="宋体" w:hAnsi="宋体" w:eastAsia="宋体" w:cs="宋体"/>
          <w:b/>
          <w:bCs/>
          <w:color w:val="auto"/>
          <w:kern w:val="0"/>
          <w:sz w:val="24"/>
          <w:szCs w:val="24"/>
          <w:highlight w:val="none"/>
        </w:rPr>
      </w:pPr>
    </w:p>
    <w:p>
      <w:pPr>
        <w:widowControl/>
        <w:spacing w:before="100" w:beforeAutospacing="1" w:after="100" w:afterAutospacing="1" w:line="300" w:lineRule="atLeast"/>
        <w:jc w:val="center"/>
        <w:rPr>
          <w:rFonts w:ascii="宋体" w:hAnsi="宋体" w:eastAsia="宋体" w:cs="宋体"/>
          <w:b/>
          <w:bCs/>
          <w:color w:val="auto"/>
          <w:kern w:val="0"/>
          <w:sz w:val="24"/>
          <w:szCs w:val="24"/>
          <w:highlight w:val="none"/>
        </w:rPr>
      </w:pPr>
    </w:p>
    <w:p>
      <w:pPr>
        <w:widowControl/>
        <w:spacing w:before="100" w:beforeAutospacing="1" w:after="100" w:afterAutospacing="1" w:line="300" w:lineRule="atLeast"/>
        <w:rPr>
          <w:rFonts w:ascii="宋体" w:hAnsi="宋体" w:eastAsia="宋体" w:cs="宋体"/>
          <w:b/>
          <w:bCs/>
          <w:color w:val="auto"/>
          <w:kern w:val="0"/>
          <w:sz w:val="24"/>
          <w:szCs w:val="24"/>
          <w:highlight w:val="none"/>
        </w:rPr>
      </w:pPr>
    </w:p>
    <w:p>
      <w:pPr>
        <w:widowControl/>
        <w:spacing w:before="100" w:beforeAutospacing="1" w:after="100" w:afterAutospacing="1" w:line="300" w:lineRule="atLeast"/>
        <w:rPr>
          <w:rFonts w:ascii="宋体" w:hAnsi="宋体" w:eastAsia="宋体" w:cs="宋体"/>
          <w:b/>
          <w:bCs/>
          <w:color w:val="auto"/>
          <w:kern w:val="0"/>
          <w:sz w:val="24"/>
          <w:szCs w:val="24"/>
          <w:highlight w:val="none"/>
        </w:rPr>
      </w:pPr>
    </w:p>
    <w:p>
      <w:pPr>
        <w:widowControl/>
        <w:spacing w:before="100" w:beforeAutospacing="1" w:after="100" w:afterAutospacing="1" w:line="300" w:lineRule="atLeast"/>
        <w:jc w:val="center"/>
        <w:rPr>
          <w:rFonts w:ascii="宋体" w:hAnsi="宋体" w:eastAsia="宋体" w:cs="宋体"/>
          <w:b/>
          <w:bCs/>
          <w:color w:val="auto"/>
          <w:kern w:val="0"/>
          <w:sz w:val="24"/>
          <w:szCs w:val="24"/>
          <w:highlight w:val="none"/>
        </w:rPr>
      </w:pPr>
    </w:p>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附件1、法定代表人或单位负责人身份证明复印件</w:t>
      </w:r>
    </w:p>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tbl>
      <w:tblPr>
        <w:tblStyle w:val="10"/>
        <w:tblW w:w="8554"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277"/>
        <w:gridCol w:w="42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08" w:hRule="atLeast"/>
          <w:tblCellSpacing w:w="15" w:type="dxa"/>
        </w:trPr>
        <w:tc>
          <w:tcPr>
            <w:tcW w:w="42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法定代表人或单位负责人身份证正面复印件</w:t>
            </w:r>
          </w:p>
        </w:tc>
        <w:tc>
          <w:tcPr>
            <w:tcW w:w="423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法定代表人或单位负责人身份证反面复印件</w:t>
            </w:r>
          </w:p>
        </w:tc>
      </w:tr>
    </w:tbl>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注：“单位负责人”指单位法定代表人（供应商为法人的）或法律、法规规定代表单位行使职权的主要负责人（供应商为其他组织的）。</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28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288"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288" w:lineRule="atLeast"/>
        <w:ind w:firstLine="1536" w:firstLineChars="6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textWrapping"/>
      </w: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附件2、</w:t>
      </w:r>
      <w:r>
        <w:rPr>
          <w:rFonts w:ascii="宋体" w:hAnsi="宋体" w:eastAsia="宋体" w:cs="宋体"/>
          <w:b/>
          <w:bCs/>
          <w:color w:val="auto"/>
          <w:kern w:val="0"/>
          <w:sz w:val="23"/>
          <w:highlight w:val="none"/>
        </w:rPr>
        <w:t>单位负责人授权书</w:t>
      </w:r>
      <w:r>
        <w:rPr>
          <w:rFonts w:ascii="宋体" w:hAnsi="宋体" w:eastAsia="宋体" w:cs="宋体"/>
          <w:b/>
          <w:bCs/>
          <w:color w:val="auto"/>
          <w:kern w:val="0"/>
          <w:sz w:val="24"/>
          <w:szCs w:val="24"/>
          <w:highlight w:val="none"/>
        </w:rPr>
        <w:t>(</w:t>
      </w:r>
      <w:r>
        <w:rPr>
          <w:rFonts w:ascii="宋体" w:hAnsi="宋体" w:eastAsia="宋体" w:cs="宋体"/>
          <w:b/>
          <w:bCs/>
          <w:color w:val="auto"/>
          <w:kern w:val="0"/>
          <w:sz w:val="17"/>
          <w:highlight w:val="none"/>
        </w:rPr>
        <w:t>注：单位负责人参加协商的可无须提供本函</w:t>
      </w:r>
      <w:r>
        <w:rPr>
          <w:rFonts w:ascii="宋体" w:hAnsi="宋体" w:eastAsia="宋体" w:cs="宋体"/>
          <w:b/>
          <w:bCs/>
          <w:color w:val="auto"/>
          <w:kern w:val="0"/>
          <w:sz w:val="24"/>
          <w:szCs w:val="24"/>
          <w:highlight w:val="none"/>
        </w:rPr>
        <w:t>)</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w:t>
      </w:r>
      <w:r>
        <w:rPr>
          <w:rFonts w:ascii="宋体" w:hAnsi="宋体" w:eastAsia="宋体" w:cs="宋体"/>
          <w:color w:val="auto"/>
          <w:kern w:val="0"/>
          <w:sz w:val="24"/>
          <w:szCs w:val="24"/>
          <w:highlight w:val="none"/>
          <w:u w:val="single"/>
        </w:rPr>
        <w:t>____________</w:t>
      </w:r>
      <w:r>
        <w:rPr>
          <w:rFonts w:ascii="宋体" w:hAnsi="宋体" w:eastAsia="宋体" w:cs="宋体"/>
          <w:color w:val="auto"/>
          <w:kern w:val="0"/>
          <w:sz w:val="24"/>
          <w:szCs w:val="24"/>
          <w:highlight w:val="none"/>
        </w:rPr>
        <w:t>(采购人或采购代理机构)：</w:t>
      </w:r>
    </w:p>
    <w:p>
      <w:pPr>
        <w:widowControl/>
        <w:spacing w:before="100" w:beforeAutospacing="1" w:after="100" w:afterAutospacing="1" w:line="348"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u w:val="single"/>
        </w:rPr>
        <w:t>（供应商全称）</w:t>
      </w:r>
      <w:r>
        <w:rPr>
          <w:rFonts w:ascii="宋体" w:hAnsi="宋体" w:eastAsia="宋体" w:cs="宋体"/>
          <w:color w:val="auto"/>
          <w:kern w:val="0"/>
          <w:sz w:val="24"/>
          <w:szCs w:val="24"/>
          <w:highlight w:val="none"/>
        </w:rPr>
        <w:t>单位负责人</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授权</w:t>
      </w:r>
      <w:r>
        <w:rPr>
          <w:rFonts w:ascii="宋体" w:hAnsi="宋体" w:eastAsia="宋体" w:cs="宋体"/>
          <w:color w:val="auto"/>
          <w:kern w:val="0"/>
          <w:sz w:val="24"/>
          <w:szCs w:val="24"/>
          <w:highlight w:val="none"/>
          <w:u w:val="single"/>
        </w:rPr>
        <w:t>  （供应商代表姓名）</w:t>
      </w:r>
      <w:r>
        <w:rPr>
          <w:rFonts w:ascii="宋体" w:hAnsi="宋体" w:eastAsia="宋体" w:cs="宋体"/>
          <w:color w:val="auto"/>
          <w:kern w:val="0"/>
          <w:sz w:val="24"/>
          <w:szCs w:val="24"/>
          <w:highlight w:val="none"/>
        </w:rPr>
        <w:t>为本供应商协商代表，代表本供应商参加贵司组织的</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项目（项目编号</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pPr>
        <w:widowControl/>
        <w:spacing w:before="100" w:beforeAutospacing="1" w:after="100" w:afterAutospacing="1" w:line="348"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本授权书自出具之日起生效。</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单位负责人：</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性别：</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身份证号：</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协商代表：</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性别：</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身份证号：</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部门：</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职务：</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详细通讯地址：</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 </w:t>
      </w:r>
      <w:r>
        <w:rPr>
          <w:rFonts w:ascii="宋体" w:hAnsi="宋体" w:eastAsia="宋体" w:cs="宋体"/>
          <w:color w:val="auto"/>
          <w:kern w:val="0"/>
          <w:sz w:val="24"/>
          <w:szCs w:val="24"/>
          <w:highlight w:val="none"/>
        </w:rPr>
        <w:t>邮政编码:</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电话：</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附：被授权人身份证正反面复印件（复印件须由供应商加盖公章）</w:t>
      </w:r>
    </w:p>
    <w:tbl>
      <w:tblPr>
        <w:tblStyle w:val="10"/>
        <w:tblW w:w="6732"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3366"/>
        <w:gridCol w:w="336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08" w:hRule="atLeast"/>
          <w:tblCellSpacing w:w="15" w:type="dxa"/>
        </w:trPr>
        <w:tc>
          <w:tcPr>
            <w:tcW w:w="332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被授权代表身份证正面复印件</w:t>
            </w:r>
          </w:p>
        </w:tc>
        <w:tc>
          <w:tcPr>
            <w:tcW w:w="332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被授权代表身份证反面复印件</w:t>
            </w:r>
          </w:p>
        </w:tc>
      </w:tr>
    </w:tbl>
    <w:p>
      <w:pPr>
        <w:widowControl/>
        <w:spacing w:before="100" w:beforeAutospacing="1" w:after="100" w:afterAutospacing="1" w:line="300" w:lineRule="atLeast"/>
        <w:jc w:val="left"/>
        <w:rPr>
          <w:rFonts w:ascii="宋体" w:hAnsi="宋体" w:eastAsia="宋体" w:cs="宋体"/>
          <w:color w:val="auto"/>
          <w:kern w:val="0"/>
          <w:sz w:val="24"/>
          <w:szCs w:val="24"/>
          <w:highlight w:val="none"/>
        </w:rPr>
      </w:pP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授权方                   接受授权方</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单位负责人签名或签章：</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     期：</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jc w:val="center"/>
        <w:rPr>
          <w:rFonts w:ascii="宋体" w:hAnsi="宋体" w:eastAsia="宋体" w:cs="宋体"/>
          <w:b/>
          <w:bCs/>
          <w:color w:val="auto"/>
          <w:kern w:val="0"/>
          <w:sz w:val="29"/>
          <w:highlight w:val="none"/>
        </w:rPr>
      </w:pPr>
    </w:p>
    <w:p>
      <w:pPr>
        <w:widowControl/>
        <w:spacing w:before="100" w:beforeAutospacing="1" w:after="100" w:afterAutospacing="1" w:line="300" w:lineRule="atLeast"/>
        <w:jc w:val="center"/>
        <w:rPr>
          <w:rFonts w:ascii="宋体" w:hAnsi="宋体" w:eastAsia="宋体" w:cs="宋体"/>
          <w:b/>
          <w:bCs/>
          <w:color w:val="auto"/>
          <w:kern w:val="0"/>
          <w:sz w:val="29"/>
          <w:highlight w:val="none"/>
        </w:rPr>
      </w:pPr>
    </w:p>
    <w:p>
      <w:pPr>
        <w:widowControl/>
        <w:spacing w:before="100" w:beforeAutospacing="1" w:after="100" w:afterAutospacing="1" w:line="300" w:lineRule="atLeast"/>
        <w:jc w:val="center"/>
        <w:rPr>
          <w:rFonts w:ascii="宋体" w:hAnsi="宋体" w:eastAsia="宋体" w:cs="宋体"/>
          <w:b/>
          <w:bCs/>
          <w:color w:val="auto"/>
          <w:kern w:val="0"/>
          <w:sz w:val="29"/>
          <w:highlight w:val="none"/>
        </w:rPr>
      </w:pPr>
    </w:p>
    <w:p>
      <w:pPr>
        <w:widowControl/>
        <w:spacing w:before="100" w:beforeAutospacing="1" w:after="100" w:afterAutospacing="1" w:line="300" w:lineRule="atLeast"/>
        <w:jc w:val="center"/>
        <w:rPr>
          <w:rFonts w:ascii="宋体" w:hAnsi="宋体" w:eastAsia="宋体" w:cs="宋体"/>
          <w:b/>
          <w:bCs/>
          <w:color w:val="auto"/>
          <w:kern w:val="0"/>
          <w:sz w:val="29"/>
          <w:highlight w:val="none"/>
        </w:rPr>
      </w:pPr>
    </w:p>
    <w:p>
      <w:pPr>
        <w:widowControl/>
        <w:spacing w:before="100" w:beforeAutospacing="1" w:after="100" w:afterAutospacing="1" w:line="300" w:lineRule="atLeast"/>
        <w:jc w:val="center"/>
        <w:rPr>
          <w:rFonts w:ascii="宋体" w:hAnsi="宋体" w:eastAsia="宋体" w:cs="宋体"/>
          <w:b/>
          <w:bCs/>
          <w:color w:val="auto"/>
          <w:kern w:val="0"/>
          <w:sz w:val="29"/>
          <w:highlight w:val="none"/>
        </w:rPr>
      </w:pPr>
    </w:p>
    <w:p>
      <w:pPr>
        <w:widowControl/>
        <w:spacing w:before="100" w:beforeAutospacing="1" w:after="100" w:afterAutospacing="1" w:line="300" w:lineRule="atLeast"/>
        <w:jc w:val="center"/>
        <w:rPr>
          <w:rFonts w:ascii="宋体" w:hAnsi="宋体" w:eastAsia="宋体" w:cs="宋体"/>
          <w:b/>
          <w:bCs/>
          <w:color w:val="auto"/>
          <w:kern w:val="0"/>
          <w:sz w:val="29"/>
          <w:highlight w:val="none"/>
        </w:rPr>
      </w:pPr>
    </w:p>
    <w:p>
      <w:pPr>
        <w:widowControl/>
        <w:spacing w:before="100" w:beforeAutospacing="1" w:after="100" w:afterAutospacing="1" w:line="300" w:lineRule="atLeast"/>
        <w:jc w:val="center"/>
        <w:rPr>
          <w:rFonts w:ascii="宋体" w:hAnsi="宋体" w:eastAsia="宋体" w:cs="宋体"/>
          <w:b/>
          <w:bCs/>
          <w:color w:val="auto"/>
          <w:kern w:val="0"/>
          <w:sz w:val="29"/>
          <w:highlight w:val="none"/>
        </w:rPr>
      </w:pPr>
    </w:p>
    <w:p>
      <w:pPr>
        <w:widowControl/>
        <w:spacing w:before="100" w:beforeAutospacing="1" w:after="100" w:afterAutospacing="1" w:line="300" w:lineRule="atLeast"/>
        <w:jc w:val="center"/>
        <w:rPr>
          <w:rFonts w:ascii="宋体" w:hAnsi="宋体" w:eastAsia="宋体" w:cs="宋体"/>
          <w:b/>
          <w:bCs/>
          <w:color w:val="auto"/>
          <w:kern w:val="0"/>
          <w:sz w:val="29"/>
          <w:highlight w:val="none"/>
        </w:rPr>
      </w:pPr>
    </w:p>
    <w:p>
      <w:pPr>
        <w:widowControl/>
        <w:spacing w:before="100" w:beforeAutospacing="1" w:after="100" w:afterAutospacing="1" w:line="300" w:lineRule="atLeast"/>
        <w:jc w:val="center"/>
        <w:rPr>
          <w:rFonts w:ascii="宋体" w:hAnsi="宋体" w:eastAsia="宋体" w:cs="宋体"/>
          <w:b/>
          <w:bCs/>
          <w:color w:val="auto"/>
          <w:kern w:val="0"/>
          <w:sz w:val="29"/>
          <w:highlight w:val="none"/>
        </w:rPr>
      </w:pPr>
    </w:p>
    <w:p>
      <w:pPr>
        <w:widowControl/>
        <w:spacing w:before="100" w:beforeAutospacing="1" w:after="100" w:afterAutospacing="1" w:line="300" w:lineRule="atLeast"/>
        <w:jc w:val="center"/>
        <w:rPr>
          <w:rFonts w:ascii="宋体" w:hAnsi="宋体" w:eastAsia="宋体" w:cs="宋体"/>
          <w:b/>
          <w:bCs/>
          <w:color w:val="auto"/>
          <w:kern w:val="0"/>
          <w:sz w:val="29"/>
          <w:highlight w:val="none"/>
        </w:rPr>
      </w:pPr>
    </w:p>
    <w:p>
      <w:pPr>
        <w:widowControl/>
        <w:spacing w:before="100" w:beforeAutospacing="1" w:after="100" w:afterAutospacing="1" w:line="300" w:lineRule="atLeast"/>
        <w:jc w:val="center"/>
        <w:rPr>
          <w:rFonts w:ascii="宋体" w:hAnsi="宋体" w:eastAsia="宋体" w:cs="宋体"/>
          <w:b/>
          <w:bCs/>
          <w:color w:val="auto"/>
          <w:kern w:val="0"/>
          <w:sz w:val="29"/>
          <w:highlight w:val="none"/>
        </w:rPr>
      </w:pPr>
    </w:p>
    <w:p>
      <w:pPr>
        <w:widowControl/>
        <w:spacing w:before="100" w:beforeAutospacing="1" w:after="100" w:afterAutospacing="1" w:line="300" w:lineRule="atLeast"/>
        <w:jc w:val="center"/>
        <w:rPr>
          <w:rFonts w:ascii="宋体" w:hAnsi="宋体" w:eastAsia="宋体" w:cs="宋体"/>
          <w:b/>
          <w:bCs/>
          <w:color w:val="auto"/>
          <w:kern w:val="0"/>
          <w:sz w:val="29"/>
          <w:highlight w:val="none"/>
        </w:rPr>
      </w:pPr>
    </w:p>
    <w:p>
      <w:pPr>
        <w:widowControl/>
        <w:spacing w:before="100" w:beforeAutospacing="1" w:after="100" w:afterAutospacing="1" w:line="300" w:lineRule="atLeast"/>
        <w:jc w:val="center"/>
        <w:rPr>
          <w:rFonts w:ascii="宋体" w:hAnsi="宋体" w:eastAsia="宋体" w:cs="宋体"/>
          <w:b/>
          <w:bCs/>
          <w:color w:val="auto"/>
          <w:kern w:val="0"/>
          <w:sz w:val="29"/>
          <w:highlight w:val="none"/>
        </w:rPr>
      </w:pPr>
    </w:p>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二、供应商基本情况</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附件3、供应商基本资质证明材料</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17"/>
          <w:szCs w:val="17"/>
          <w:highlight w:val="none"/>
        </w:rPr>
        <w:t>注：</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1、如供应商是企业（包括合伙企业）的，须提供工商部门注册的有效的“企业法人营业执照”或“营业执照”副本复印件；</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2、如供应商是事业单位的，须提供有效的“事业单位法人证书”副本复印件；</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3、如供应商是非企业专业服务机构的，且涉及国家执行许可证业务的，需提供执业许可证证明文件复印件；</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4、如供应商是自然人的，须提供有效的自然人身份证正反面复印件；</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jc w:val="center"/>
        <w:rPr>
          <w:rFonts w:ascii="宋体" w:hAnsi="宋体" w:eastAsia="宋体" w:cs="宋体"/>
          <w:b/>
          <w:bCs/>
          <w:color w:val="auto"/>
          <w:kern w:val="0"/>
          <w:sz w:val="24"/>
          <w:szCs w:val="24"/>
          <w:highlight w:val="none"/>
        </w:rPr>
      </w:pPr>
      <w:r>
        <w:rPr>
          <w:rFonts w:ascii="宋体" w:hAnsi="宋体" w:eastAsia="宋体" w:cs="宋体"/>
          <w:color w:val="auto"/>
          <w:kern w:val="0"/>
          <w:sz w:val="24"/>
          <w:szCs w:val="24"/>
          <w:highlight w:val="none"/>
        </w:rPr>
        <w:br w:type="textWrapping"/>
      </w: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附件4、</w:t>
      </w:r>
      <w:r>
        <w:rPr>
          <w:rFonts w:ascii="宋体" w:hAnsi="宋体" w:eastAsia="宋体" w:cs="宋体"/>
          <w:b/>
          <w:bCs/>
          <w:color w:val="auto"/>
          <w:kern w:val="0"/>
          <w:sz w:val="23"/>
          <w:highlight w:val="none"/>
        </w:rPr>
        <w:t>协商保证金银行汇款凭证复印件</w:t>
      </w:r>
      <w:r>
        <w:rPr>
          <w:rFonts w:hint="eastAsia" w:ascii="宋体" w:hAnsi="宋体" w:eastAsia="宋体" w:cs="宋体"/>
          <w:b/>
          <w:bCs/>
          <w:color w:val="auto"/>
          <w:kern w:val="0"/>
          <w:sz w:val="23"/>
          <w:highlight w:val="none"/>
          <w:lang w:eastAsia="zh-CN"/>
        </w:rPr>
        <w:t>（若有）</w:t>
      </w:r>
    </w:p>
    <w:tbl>
      <w:tblPr>
        <w:tblStyle w:val="10"/>
        <w:tblW w:w="7812"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8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08" w:hRule="atLeast"/>
          <w:tblCellSpacing w:w="15" w:type="dxa"/>
        </w:trPr>
        <w:tc>
          <w:tcPr>
            <w:tcW w:w="7752"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tcPr>
          <w:p>
            <w:pPr>
              <w:widowControl/>
              <w:jc w:val="left"/>
              <w:rPr>
                <w:rFonts w:ascii="宋体" w:hAnsi="宋体" w:eastAsia="宋体" w:cs="宋体"/>
                <w:color w:val="auto"/>
                <w:kern w:val="0"/>
                <w:sz w:val="24"/>
                <w:szCs w:val="24"/>
                <w:highlight w:val="none"/>
              </w:rPr>
            </w:pPr>
          </w:p>
        </w:tc>
      </w:tr>
    </w:tbl>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jc w:val="center"/>
        <w:rPr>
          <w:rFonts w:ascii="宋体" w:hAnsi="宋体" w:eastAsia="宋体" w:cs="宋体"/>
          <w:b/>
          <w:bCs/>
          <w:color w:val="auto"/>
          <w:kern w:val="0"/>
          <w:sz w:val="24"/>
          <w:szCs w:val="24"/>
          <w:highlight w:val="none"/>
        </w:rPr>
      </w:pPr>
      <w:r>
        <w:rPr>
          <w:rFonts w:ascii="宋体" w:hAnsi="宋体" w:eastAsia="宋体" w:cs="宋体"/>
          <w:color w:val="auto"/>
          <w:kern w:val="0"/>
          <w:sz w:val="24"/>
          <w:szCs w:val="24"/>
          <w:highlight w:val="none"/>
        </w:rPr>
        <w:br w:type="textWrapping"/>
      </w: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b/>
          <w:bCs/>
          <w:color w:val="auto"/>
          <w:kern w:val="0"/>
          <w:sz w:val="24"/>
          <w:szCs w:val="24"/>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附件5、采购文件要求的供应商其他资料</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17"/>
          <w:szCs w:val="17"/>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17"/>
          <w:szCs w:val="17"/>
          <w:highlight w:val="none"/>
        </w:rPr>
        <w:t>注：</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1、在专家论证阶段已审核过供应商资格的，在协商阶段协商小组无须重复审查；但供应商自身资格条件出现变化的须在此作出说明，并补充提供相关材料，由协商小组重新进行审查；</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2、采购文件要求的供应商其他资料或供应商认为须提供的自身其它资料。</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jc w:val="center"/>
        <w:rPr>
          <w:rFonts w:ascii="宋体" w:hAnsi="宋体" w:eastAsia="宋体" w:cs="宋体"/>
          <w:b/>
          <w:bCs/>
          <w:color w:val="auto"/>
          <w:kern w:val="0"/>
          <w:sz w:val="29"/>
          <w:highlight w:val="none"/>
        </w:rPr>
      </w:pPr>
      <w:r>
        <w:rPr>
          <w:rFonts w:ascii="宋体" w:hAnsi="宋体" w:eastAsia="宋体" w:cs="宋体"/>
          <w:color w:val="auto"/>
          <w:kern w:val="0"/>
          <w:sz w:val="24"/>
          <w:szCs w:val="24"/>
          <w:highlight w:val="none"/>
        </w:rPr>
        <w:br w:type="textWrapping"/>
      </w:r>
    </w:p>
    <w:p>
      <w:pPr>
        <w:widowControl/>
        <w:spacing w:before="100" w:beforeAutospacing="1" w:after="100" w:afterAutospacing="1"/>
        <w:jc w:val="center"/>
        <w:rPr>
          <w:rFonts w:ascii="宋体" w:hAnsi="宋体" w:eastAsia="宋体" w:cs="宋体"/>
          <w:b/>
          <w:bCs/>
          <w:color w:val="auto"/>
          <w:kern w:val="0"/>
          <w:sz w:val="29"/>
          <w:highlight w:val="none"/>
        </w:rPr>
      </w:pPr>
    </w:p>
    <w:p>
      <w:pPr>
        <w:widowControl/>
        <w:spacing w:before="100" w:beforeAutospacing="1" w:after="100" w:afterAutospacing="1"/>
        <w:jc w:val="center"/>
        <w:rPr>
          <w:rFonts w:ascii="宋体" w:hAnsi="宋体" w:eastAsia="宋体" w:cs="宋体"/>
          <w:b/>
          <w:bCs/>
          <w:color w:val="auto"/>
          <w:kern w:val="0"/>
          <w:sz w:val="29"/>
          <w:highlight w:val="none"/>
        </w:rPr>
      </w:pPr>
    </w:p>
    <w:p>
      <w:pPr>
        <w:widowControl/>
        <w:spacing w:before="100" w:beforeAutospacing="1" w:after="100" w:afterAutospacing="1"/>
        <w:jc w:val="center"/>
        <w:rPr>
          <w:rFonts w:ascii="宋体" w:hAnsi="宋体" w:eastAsia="宋体" w:cs="宋体"/>
          <w:b/>
          <w:bCs/>
          <w:color w:val="auto"/>
          <w:kern w:val="0"/>
          <w:sz w:val="29"/>
          <w:highlight w:val="none"/>
        </w:rPr>
      </w:pPr>
    </w:p>
    <w:p>
      <w:pPr>
        <w:widowControl/>
        <w:spacing w:before="100" w:beforeAutospacing="1" w:after="100" w:afterAutospacing="1"/>
        <w:jc w:val="center"/>
        <w:rPr>
          <w:rFonts w:ascii="宋体" w:hAnsi="宋体" w:eastAsia="宋体" w:cs="宋体"/>
          <w:b/>
          <w:bCs/>
          <w:color w:val="auto"/>
          <w:kern w:val="0"/>
          <w:sz w:val="29"/>
          <w:highlight w:val="none"/>
        </w:rPr>
      </w:pPr>
    </w:p>
    <w:p>
      <w:pPr>
        <w:widowControl/>
        <w:spacing w:before="100" w:beforeAutospacing="1" w:after="100" w:afterAutospacing="1"/>
        <w:jc w:val="center"/>
        <w:rPr>
          <w:rFonts w:ascii="宋体" w:hAnsi="宋体" w:eastAsia="宋体" w:cs="宋体"/>
          <w:b/>
          <w:bCs/>
          <w:color w:val="auto"/>
          <w:kern w:val="0"/>
          <w:sz w:val="29"/>
          <w:highlight w:val="none"/>
        </w:rPr>
      </w:pP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三、单一来源报价资料</w:t>
      </w:r>
    </w:p>
    <w:p>
      <w:pPr>
        <w:widowControl/>
        <w:spacing w:before="100" w:beforeAutospacing="1" w:after="100" w:afterAutospacing="1"/>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附件6、报价一览表</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项目编号∶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货币单位： </w:t>
      </w:r>
    </w:p>
    <w:tbl>
      <w:tblPr>
        <w:tblStyle w:val="10"/>
        <w:tblW w:w="8641"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6"/>
        <w:gridCol w:w="1182"/>
        <w:gridCol w:w="700"/>
        <w:gridCol w:w="3665"/>
        <w:gridCol w:w="1423"/>
        <w:gridCol w:w="7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912" w:hRule="atLeast"/>
          <w:tblCellSpacing w:w="15" w:type="dxa"/>
        </w:trPr>
        <w:tc>
          <w:tcPr>
            <w:tcW w:w="9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合同包</w:t>
            </w:r>
          </w:p>
        </w:tc>
        <w:tc>
          <w:tcPr>
            <w:tcW w:w="115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项目名称</w:t>
            </w: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数量</w:t>
            </w:r>
          </w:p>
        </w:tc>
        <w:tc>
          <w:tcPr>
            <w:tcW w:w="3635"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投标总价</w:t>
            </w:r>
          </w:p>
        </w:tc>
        <w:tc>
          <w:tcPr>
            <w:tcW w:w="139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协商保证金</w:t>
            </w: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1428" w:hRule="atLeast"/>
          <w:tblCellSpacing w:w="15" w:type="dxa"/>
        </w:trPr>
        <w:tc>
          <w:tcPr>
            <w:tcW w:w="9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115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3635"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大写：人民币</w:t>
            </w:r>
            <w:r>
              <w:rPr>
                <w:rFonts w:ascii="宋体" w:hAnsi="宋体" w:eastAsia="宋体" w:cs="宋体"/>
                <w:color w:val="auto"/>
                <w:kern w:val="0"/>
                <w:sz w:val="17"/>
                <w:szCs w:val="17"/>
                <w:highlight w:val="none"/>
                <w:u w:val="single"/>
              </w:rPr>
              <w:t>           </w:t>
            </w:r>
            <w:r>
              <w:rPr>
                <w:rFonts w:ascii="宋体" w:hAnsi="宋体" w:eastAsia="宋体" w:cs="宋体"/>
                <w:color w:val="auto"/>
                <w:kern w:val="0"/>
                <w:sz w:val="24"/>
                <w:szCs w:val="24"/>
                <w:highlight w:val="none"/>
              </w:rPr>
              <w:t>元整</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小写：￥</w:t>
            </w:r>
            <w:r>
              <w:rPr>
                <w:rFonts w:ascii="宋体" w:hAnsi="宋体" w:eastAsia="宋体" w:cs="宋体"/>
                <w:color w:val="auto"/>
                <w:kern w:val="0"/>
                <w:sz w:val="17"/>
                <w:szCs w:val="17"/>
                <w:highlight w:val="none"/>
                <w:u w:val="single"/>
              </w:rPr>
              <w:t>               </w:t>
            </w:r>
            <w:r>
              <w:rPr>
                <w:rFonts w:ascii="宋体" w:hAnsi="宋体" w:eastAsia="宋体" w:cs="宋体"/>
                <w:color w:val="auto"/>
                <w:kern w:val="0"/>
                <w:sz w:val="24"/>
                <w:szCs w:val="24"/>
                <w:highlight w:val="none"/>
              </w:rPr>
              <w:t>元整</w:t>
            </w:r>
          </w:p>
        </w:tc>
        <w:tc>
          <w:tcPr>
            <w:tcW w:w="139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1584" w:hRule="atLeast"/>
          <w:tblCellSpacing w:w="15" w:type="dxa"/>
        </w:trPr>
        <w:tc>
          <w:tcPr>
            <w:tcW w:w="9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115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3635"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大写：人民币</w:t>
            </w:r>
            <w:r>
              <w:rPr>
                <w:rFonts w:ascii="宋体" w:hAnsi="宋体" w:eastAsia="宋体" w:cs="宋体"/>
                <w:color w:val="auto"/>
                <w:kern w:val="0"/>
                <w:sz w:val="17"/>
                <w:szCs w:val="17"/>
                <w:highlight w:val="none"/>
                <w:u w:val="single"/>
              </w:rPr>
              <w:t>           </w:t>
            </w:r>
            <w:r>
              <w:rPr>
                <w:rFonts w:ascii="宋体" w:hAnsi="宋体" w:eastAsia="宋体" w:cs="宋体"/>
                <w:color w:val="auto"/>
                <w:kern w:val="0"/>
                <w:sz w:val="24"/>
                <w:szCs w:val="24"/>
                <w:highlight w:val="none"/>
              </w:rPr>
              <w:t>元整</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小写：￥</w:t>
            </w:r>
            <w:r>
              <w:rPr>
                <w:rFonts w:ascii="宋体" w:hAnsi="宋体" w:eastAsia="宋体" w:cs="宋体"/>
                <w:color w:val="auto"/>
                <w:kern w:val="0"/>
                <w:sz w:val="17"/>
                <w:szCs w:val="17"/>
                <w:highlight w:val="none"/>
                <w:u w:val="single"/>
              </w:rPr>
              <w:t>               </w:t>
            </w:r>
            <w:r>
              <w:rPr>
                <w:rFonts w:ascii="宋体" w:hAnsi="宋体" w:eastAsia="宋体" w:cs="宋体"/>
                <w:color w:val="auto"/>
                <w:kern w:val="0"/>
                <w:sz w:val="24"/>
                <w:szCs w:val="24"/>
                <w:highlight w:val="none"/>
              </w:rPr>
              <w:t>元整</w:t>
            </w:r>
          </w:p>
        </w:tc>
        <w:tc>
          <w:tcPr>
            <w:tcW w:w="139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67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r>
    </w:tbl>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注：1、若有详细报价清单应另纸详列，且标明所报各种标的的数量、品牌、金额等。</w:t>
      </w:r>
    </w:p>
    <w:p>
      <w:pPr>
        <w:widowControl/>
        <w:spacing w:before="100" w:beforeAutospacing="1" w:after="100" w:afterAutospacing="1" w:line="300" w:lineRule="atLeast"/>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2、首次报价和协商后最终报价均可使用本表，在“备注”中注明清楚即可。</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ind w:firstLine="576"/>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textWrapping"/>
      </w:r>
    </w:p>
    <w:p>
      <w:pPr>
        <w:widowControl/>
        <w:spacing w:before="100" w:beforeAutospacing="1" w:after="100" w:afterAutospacing="1"/>
        <w:ind w:firstLine="576"/>
        <w:jc w:val="center"/>
        <w:rPr>
          <w:rFonts w:ascii="宋体" w:hAnsi="宋体" w:eastAsia="宋体" w:cs="宋体"/>
          <w:b/>
          <w:bCs/>
          <w:color w:val="auto"/>
          <w:kern w:val="0"/>
          <w:sz w:val="24"/>
          <w:szCs w:val="24"/>
          <w:highlight w:val="none"/>
        </w:rPr>
      </w:pPr>
    </w:p>
    <w:p>
      <w:pPr>
        <w:widowControl/>
        <w:spacing w:before="100" w:beforeAutospacing="1" w:after="100" w:afterAutospacing="1"/>
        <w:ind w:firstLine="576"/>
        <w:jc w:val="center"/>
        <w:rPr>
          <w:rFonts w:ascii="宋体" w:hAnsi="宋体" w:eastAsia="宋体" w:cs="宋体"/>
          <w:b/>
          <w:bCs/>
          <w:color w:val="auto"/>
          <w:kern w:val="0"/>
          <w:sz w:val="24"/>
          <w:szCs w:val="24"/>
          <w:highlight w:val="none"/>
        </w:rPr>
      </w:pPr>
    </w:p>
    <w:p>
      <w:pPr>
        <w:widowControl/>
        <w:spacing w:before="100" w:beforeAutospacing="1" w:after="100" w:afterAutospacing="1"/>
        <w:ind w:firstLine="576"/>
        <w:jc w:val="center"/>
        <w:rPr>
          <w:rFonts w:ascii="宋体" w:hAnsi="宋体" w:eastAsia="宋体" w:cs="宋体"/>
          <w:b/>
          <w:bCs/>
          <w:color w:val="auto"/>
          <w:kern w:val="0"/>
          <w:sz w:val="24"/>
          <w:szCs w:val="24"/>
          <w:highlight w:val="none"/>
        </w:rPr>
      </w:pPr>
    </w:p>
    <w:p>
      <w:pPr>
        <w:widowControl/>
        <w:spacing w:before="100" w:beforeAutospacing="1" w:after="100" w:afterAutospacing="1"/>
        <w:ind w:firstLine="576"/>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附件7、采购标的成本说明(格式自定)</w:t>
      </w:r>
    </w:p>
    <w:p>
      <w:pPr>
        <w:widowControl/>
        <w:spacing w:before="100" w:beforeAutospacing="1" w:after="100" w:afterAutospacing="1"/>
        <w:ind w:firstLine="576"/>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附件8、同类项目合同价格说明(格式自定)</w:t>
      </w:r>
    </w:p>
    <w:p>
      <w:pPr>
        <w:widowControl/>
        <w:spacing w:before="100" w:beforeAutospacing="1" w:after="100" w:afterAutospacing="1"/>
        <w:ind w:firstLine="576"/>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附件9、供应商相关专利、专有技术情况说明(格式自定)</w:t>
      </w:r>
    </w:p>
    <w:p>
      <w:pPr>
        <w:widowControl/>
        <w:spacing w:before="100" w:beforeAutospacing="1" w:after="100" w:afterAutospacing="1"/>
        <w:ind w:firstLine="576"/>
        <w:jc w:val="center"/>
        <w:rPr>
          <w:rFonts w:ascii="宋体" w:hAnsi="宋体" w:eastAsia="宋体" w:cs="宋体"/>
          <w:b/>
          <w:bCs/>
          <w:color w:val="auto"/>
          <w:kern w:val="0"/>
          <w:sz w:val="29"/>
          <w:highlight w:val="none"/>
        </w:rPr>
      </w:pPr>
      <w:r>
        <w:rPr>
          <w:rFonts w:ascii="宋体" w:hAnsi="宋体" w:eastAsia="宋体" w:cs="宋体"/>
          <w:b/>
          <w:bCs/>
          <w:color w:val="auto"/>
          <w:kern w:val="0"/>
          <w:sz w:val="24"/>
          <w:szCs w:val="24"/>
          <w:highlight w:val="none"/>
        </w:rPr>
        <w:br w:type="textWrapping"/>
      </w: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b/>
          <w:bCs/>
          <w:color w:val="auto"/>
          <w:kern w:val="0"/>
          <w:sz w:val="29"/>
          <w:highlight w:val="none"/>
        </w:rPr>
      </w:pPr>
    </w:p>
    <w:p>
      <w:pPr>
        <w:widowControl/>
        <w:spacing w:before="100" w:beforeAutospacing="1" w:after="100" w:afterAutospacing="1"/>
        <w:ind w:firstLine="576"/>
        <w:jc w:val="center"/>
        <w:rPr>
          <w:rFonts w:ascii="宋体" w:hAnsi="宋体" w:eastAsia="宋体" w:cs="宋体"/>
          <w:color w:val="auto"/>
          <w:kern w:val="0"/>
          <w:sz w:val="24"/>
          <w:szCs w:val="24"/>
          <w:highlight w:val="none"/>
        </w:rPr>
      </w:pPr>
      <w:r>
        <w:rPr>
          <w:rFonts w:ascii="宋体" w:hAnsi="宋体" w:eastAsia="宋体" w:cs="宋体"/>
          <w:b/>
          <w:bCs/>
          <w:color w:val="auto"/>
          <w:kern w:val="0"/>
          <w:sz w:val="29"/>
          <w:highlight w:val="none"/>
        </w:rPr>
        <w:t>四、技术商务条款响应情况</w:t>
      </w:r>
    </w:p>
    <w:p>
      <w:pPr>
        <w:widowControl/>
        <w:spacing w:before="100" w:beforeAutospacing="1" w:after="100" w:afterAutospacing="1"/>
        <w:ind w:left="2" w:leftChars="-472" w:hanging="993" w:hangingChars="412"/>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附件10、标的说明、施工组织设计、技术方案或服务方案</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附件10.1、标的说明一览表格式如下：</w:t>
      </w:r>
    </w:p>
    <w:tbl>
      <w:tblPr>
        <w:tblStyle w:val="10"/>
        <w:tblW w:w="8062"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3204"/>
        <w:gridCol w:w="715"/>
        <w:gridCol w:w="1287"/>
        <w:gridCol w:w="1036"/>
        <w:gridCol w:w="985"/>
        <w:gridCol w:w="720"/>
        <w:gridCol w:w="1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6" w:hRule="atLeast"/>
          <w:tblCellSpacing w:w="15" w:type="dxa"/>
        </w:trPr>
        <w:tc>
          <w:tcPr>
            <w:tcW w:w="31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合同包号</w:t>
            </w:r>
          </w:p>
        </w:tc>
        <w:tc>
          <w:tcPr>
            <w:tcW w:w="68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126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标的名称</w:t>
            </w:r>
          </w:p>
        </w:tc>
        <w:tc>
          <w:tcPr>
            <w:tcW w:w="101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5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数量</w:t>
            </w:r>
          </w:p>
        </w:tc>
        <w:tc>
          <w:tcPr>
            <w:tcW w:w="762" w:type="dxa"/>
            <w:gridSpan w:val="2"/>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36" w:hRule="atLeast"/>
          <w:tblCellSpacing w:w="15" w:type="dxa"/>
        </w:trPr>
        <w:tc>
          <w:tcPr>
            <w:tcW w:w="31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原产地及制造商/服务商名称</w:t>
            </w:r>
          </w:p>
        </w:tc>
        <w:tc>
          <w:tcPr>
            <w:tcW w:w="687"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1262"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型号规格</w:t>
            </w:r>
          </w:p>
        </w:tc>
        <w:tc>
          <w:tcPr>
            <w:tcW w:w="1010"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58"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品牌</w:t>
            </w:r>
          </w:p>
        </w:tc>
        <w:tc>
          <w:tcPr>
            <w:tcW w:w="762" w:type="dxa"/>
            <w:gridSpan w:val="2"/>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70" w:type="dxa"/>
          <w:cantSplit/>
          <w:trHeight w:val="2280" w:hRule="atLeast"/>
          <w:tblCellSpacing w:w="15" w:type="dxa"/>
        </w:trPr>
        <w:tc>
          <w:tcPr>
            <w:tcW w:w="31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详细性能说明</w:t>
            </w:r>
          </w:p>
        </w:tc>
        <w:tc>
          <w:tcPr>
            <w:tcW w:w="4729" w:type="dxa"/>
            <w:gridSpan w:val="5"/>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gridAfter w:val="1"/>
          <w:wAfter w:w="70" w:type="dxa"/>
          <w:cantSplit/>
          <w:trHeight w:val="2280" w:hRule="atLeast"/>
          <w:tblCellSpacing w:w="15" w:type="dxa"/>
        </w:trPr>
        <w:tc>
          <w:tcPr>
            <w:tcW w:w="31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配置/组成清单说明（若有）</w:t>
            </w:r>
          </w:p>
        </w:tc>
        <w:tc>
          <w:tcPr>
            <w:tcW w:w="4729" w:type="dxa"/>
            <w:gridSpan w:val="5"/>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tcPr>
          <w:p>
            <w:pPr>
              <w:widowControl/>
              <w:jc w:val="left"/>
              <w:rPr>
                <w:rFonts w:ascii="宋体" w:hAnsi="宋体" w:eastAsia="宋体" w:cs="宋体"/>
                <w:color w:val="auto"/>
                <w:kern w:val="0"/>
                <w:sz w:val="24"/>
                <w:szCs w:val="24"/>
                <w:highlight w:val="none"/>
              </w:rPr>
            </w:pPr>
          </w:p>
        </w:tc>
      </w:tr>
    </w:tbl>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附件10.2、施工组织设计、技术方案或服务方案。（根据项目需求自拟格式）</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备注：采购方根据项目采购需求要求供应商提供相关的方案或其他相关材料。</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ind w:firstLine="576"/>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br w:type="textWrapping"/>
      </w:r>
      <w:r>
        <w:rPr>
          <w:rFonts w:ascii="宋体" w:hAnsi="宋体" w:eastAsia="宋体" w:cs="宋体"/>
          <w:b/>
          <w:bCs/>
          <w:color w:val="auto"/>
          <w:kern w:val="0"/>
          <w:sz w:val="24"/>
          <w:szCs w:val="24"/>
          <w:highlight w:val="none"/>
        </w:rPr>
        <w:t>附件11、协商内容及要求响应表</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tbl>
      <w:tblPr>
        <w:tblStyle w:val="10"/>
        <w:tblW w:w="8554"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56"/>
        <w:gridCol w:w="939"/>
        <w:gridCol w:w="2063"/>
        <w:gridCol w:w="939"/>
        <w:gridCol w:w="939"/>
        <w:gridCol w:w="23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756" w:hRule="atLeast"/>
          <w:tblCellSpacing w:w="15" w:type="dxa"/>
        </w:trPr>
        <w:tc>
          <w:tcPr>
            <w:tcW w:w="13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合同包/品目号</w:t>
            </w: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品目名称</w:t>
            </w:r>
          </w:p>
        </w:tc>
        <w:tc>
          <w:tcPr>
            <w:tcW w:w="203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采购文件协商内容及要求</w:t>
            </w: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响应情况</w:t>
            </w: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偏离说明</w:t>
            </w:r>
          </w:p>
        </w:tc>
        <w:tc>
          <w:tcPr>
            <w:tcW w:w="22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证明材料所在页码（若有）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756" w:hRule="atLeast"/>
          <w:tblCellSpacing w:w="15" w:type="dxa"/>
        </w:trPr>
        <w:tc>
          <w:tcPr>
            <w:tcW w:w="13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203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22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756" w:hRule="atLeast"/>
          <w:tblCellSpacing w:w="15" w:type="dxa"/>
        </w:trPr>
        <w:tc>
          <w:tcPr>
            <w:tcW w:w="13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203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22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756" w:hRule="atLeast"/>
          <w:tblCellSpacing w:w="15" w:type="dxa"/>
        </w:trPr>
        <w:tc>
          <w:tcPr>
            <w:tcW w:w="1311"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203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c>
          <w:tcPr>
            <w:tcW w:w="2273" w:type="dxa"/>
            <w:tcBorders>
              <w:top w:val="single" w:color="000000" w:sz="4" w:space="0"/>
              <w:left w:val="single" w:color="000000" w:sz="4" w:space="0"/>
              <w:bottom w:val="single" w:color="000000" w:sz="4" w:space="0"/>
              <w:right w:val="single" w:color="000000" w:sz="4" w:space="0"/>
            </w:tcBorders>
            <w:tcMar>
              <w:top w:w="0" w:type="dxa"/>
              <w:left w:w="84" w:type="dxa"/>
              <w:bottom w:w="0" w:type="dxa"/>
              <w:right w:w="84" w:type="dxa"/>
            </w:tcMar>
            <w:vAlign w:val="center"/>
          </w:tcPr>
          <w:p>
            <w:pPr>
              <w:widowControl/>
              <w:jc w:val="left"/>
              <w:rPr>
                <w:rFonts w:ascii="宋体" w:hAnsi="宋体" w:eastAsia="宋体" w:cs="宋体"/>
                <w:color w:val="auto"/>
                <w:kern w:val="0"/>
                <w:sz w:val="24"/>
                <w:szCs w:val="24"/>
                <w:highlight w:val="none"/>
              </w:rPr>
            </w:pPr>
          </w:p>
        </w:tc>
      </w:tr>
    </w:tbl>
    <w:p>
      <w:pPr>
        <w:widowControl/>
        <w:spacing w:before="100" w:beforeAutospacing="1" w:after="100" w:afterAutospacing="1"/>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注：供应商提交的响应文件中与采购文件第四章“协商内容及要求”的要求有不同时，应逐条列在偏离表中，否则将认为供应商接受采购文件的要求。</w:t>
      </w:r>
    </w:p>
    <w:p>
      <w:pPr>
        <w:widowControl/>
        <w:spacing w:before="100" w:beforeAutospacing="1" w:after="100" w:afterAutospacing="1"/>
        <w:ind w:firstLine="336"/>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line="300" w:lineRule="atLeast"/>
        <w:jc w:val="center"/>
        <w:rPr>
          <w:rFonts w:ascii="宋体" w:hAnsi="宋体" w:eastAsia="宋体" w:cs="宋体"/>
          <w:b/>
          <w:bCs/>
          <w:color w:val="auto"/>
          <w:kern w:val="0"/>
          <w:sz w:val="23"/>
          <w:highlight w:val="none"/>
        </w:rPr>
      </w:pPr>
      <w:r>
        <w:rPr>
          <w:rFonts w:ascii="宋体" w:hAnsi="宋体" w:eastAsia="宋体" w:cs="宋体"/>
          <w:b/>
          <w:bCs/>
          <w:color w:val="auto"/>
          <w:kern w:val="0"/>
          <w:sz w:val="24"/>
          <w:szCs w:val="24"/>
          <w:highlight w:val="none"/>
        </w:rPr>
        <w:br w:type="textWrapping"/>
      </w:r>
    </w:p>
    <w:p>
      <w:pPr>
        <w:widowControl/>
        <w:spacing w:before="100" w:beforeAutospacing="1" w:after="100" w:afterAutospacing="1" w:line="300" w:lineRule="atLeast"/>
        <w:jc w:val="center"/>
        <w:rPr>
          <w:rFonts w:ascii="宋体" w:hAnsi="宋体" w:eastAsia="宋体" w:cs="宋体"/>
          <w:b/>
          <w:bCs/>
          <w:color w:val="auto"/>
          <w:kern w:val="0"/>
          <w:sz w:val="23"/>
          <w:highlight w:val="none"/>
        </w:rPr>
      </w:pPr>
    </w:p>
    <w:p>
      <w:pPr>
        <w:widowControl/>
        <w:spacing w:before="100" w:beforeAutospacing="1" w:after="100" w:afterAutospacing="1" w:line="300" w:lineRule="atLeast"/>
        <w:jc w:val="center"/>
        <w:rPr>
          <w:rFonts w:ascii="宋体" w:hAnsi="宋体" w:eastAsia="宋体" w:cs="宋体"/>
          <w:b/>
          <w:bCs/>
          <w:color w:val="auto"/>
          <w:kern w:val="0"/>
          <w:sz w:val="23"/>
          <w:highlight w:val="none"/>
        </w:rPr>
      </w:pPr>
    </w:p>
    <w:p>
      <w:pPr>
        <w:widowControl/>
        <w:spacing w:before="100" w:beforeAutospacing="1" w:after="100" w:afterAutospacing="1" w:line="300" w:lineRule="atLeast"/>
        <w:jc w:val="center"/>
        <w:rPr>
          <w:rFonts w:ascii="宋体" w:hAnsi="宋体" w:eastAsia="宋体" w:cs="宋体"/>
          <w:b/>
          <w:bCs/>
          <w:color w:val="auto"/>
          <w:kern w:val="0"/>
          <w:sz w:val="23"/>
          <w:highlight w:val="none"/>
        </w:rPr>
      </w:pPr>
    </w:p>
    <w:p>
      <w:pPr>
        <w:widowControl/>
        <w:spacing w:before="100" w:beforeAutospacing="1" w:after="100" w:afterAutospacing="1" w:line="300" w:lineRule="atLeast"/>
        <w:jc w:val="center"/>
        <w:rPr>
          <w:rFonts w:ascii="宋体" w:hAnsi="宋体" w:eastAsia="宋体" w:cs="宋体"/>
          <w:b/>
          <w:bCs/>
          <w:color w:val="auto"/>
          <w:kern w:val="0"/>
          <w:sz w:val="23"/>
          <w:highlight w:val="none"/>
        </w:rPr>
      </w:pPr>
    </w:p>
    <w:p>
      <w:pPr>
        <w:widowControl/>
        <w:spacing w:before="100" w:beforeAutospacing="1" w:after="100" w:afterAutospacing="1" w:line="300" w:lineRule="atLeast"/>
        <w:jc w:val="center"/>
        <w:rPr>
          <w:rFonts w:ascii="宋体" w:hAnsi="宋体" w:eastAsia="宋体" w:cs="宋体"/>
          <w:b/>
          <w:bCs/>
          <w:color w:val="auto"/>
          <w:kern w:val="0"/>
          <w:sz w:val="23"/>
          <w:highlight w:val="none"/>
        </w:rPr>
      </w:pPr>
    </w:p>
    <w:p>
      <w:pPr>
        <w:widowControl/>
        <w:spacing w:before="100" w:beforeAutospacing="1" w:after="100" w:afterAutospacing="1" w:line="300" w:lineRule="atLeast"/>
        <w:jc w:val="center"/>
        <w:rPr>
          <w:rFonts w:ascii="宋体" w:hAnsi="宋体" w:eastAsia="宋体" w:cs="宋体"/>
          <w:b/>
          <w:bCs/>
          <w:color w:val="auto"/>
          <w:kern w:val="0"/>
          <w:sz w:val="23"/>
          <w:highlight w:val="none"/>
        </w:rPr>
      </w:pPr>
    </w:p>
    <w:p>
      <w:pPr>
        <w:widowControl/>
        <w:spacing w:before="100" w:beforeAutospacing="1" w:after="100" w:afterAutospacing="1" w:line="30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3"/>
          <w:highlight w:val="none"/>
        </w:rPr>
        <w:t>附件</w:t>
      </w:r>
      <w:r>
        <w:rPr>
          <w:rFonts w:ascii="宋体" w:hAnsi="宋体" w:eastAsia="宋体" w:cs="宋体"/>
          <w:b/>
          <w:bCs/>
          <w:color w:val="auto"/>
          <w:kern w:val="0"/>
          <w:sz w:val="24"/>
          <w:szCs w:val="24"/>
          <w:highlight w:val="none"/>
        </w:rPr>
        <w:t>12、供应商认为需要提供的其他资料</w:t>
      </w:r>
    </w:p>
    <w:p>
      <w:pPr>
        <w:widowControl/>
        <w:spacing w:before="100" w:beforeAutospacing="1" w:after="100" w:afterAutospacing="1"/>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12.1、供应商认为应当提交的其他资料</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p>
    <w:p>
      <w:pPr>
        <w:widowControl/>
        <w:spacing w:before="100" w:beforeAutospacing="1" w:after="100" w:afterAutospacing="1" w:line="300" w:lineRule="atLeast"/>
        <w:jc w:val="left"/>
        <w:rPr>
          <w:rFonts w:ascii="宋体" w:hAnsi="宋体" w:eastAsia="宋体" w:cs="宋体"/>
          <w:color w:val="auto"/>
          <w:kern w:val="0"/>
          <w:sz w:val="24"/>
          <w:szCs w:val="24"/>
          <w:highlight w:val="none"/>
        </w:rPr>
      </w:pP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供应商代表签名或签章：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供应商（全称并加盖公章）：</w:t>
      </w:r>
      <w:r>
        <w:rPr>
          <w:rFonts w:ascii="宋体" w:hAnsi="宋体" w:eastAsia="宋体" w:cs="宋体"/>
          <w:color w:val="auto"/>
          <w:kern w:val="0"/>
          <w:sz w:val="24"/>
          <w:szCs w:val="24"/>
          <w:highlight w:val="none"/>
          <w:u w:val="single"/>
        </w:rPr>
        <w:t>                   </w:t>
      </w:r>
    </w:p>
    <w:p>
      <w:pPr>
        <w:widowControl/>
        <w:spacing w:before="100" w:beforeAutospacing="1" w:after="100" w:afterAutospacing="1" w:line="300" w:lineRule="atLeast"/>
        <w:ind w:firstLine="168"/>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年</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u w:val="single"/>
        </w:rPr>
        <w:t>      </w:t>
      </w:r>
      <w:r>
        <w:rPr>
          <w:rFonts w:ascii="宋体" w:hAnsi="宋体" w:eastAsia="宋体" w:cs="宋体"/>
          <w:color w:val="auto"/>
          <w:kern w:val="0"/>
          <w:sz w:val="24"/>
          <w:szCs w:val="24"/>
          <w:highlight w:val="none"/>
        </w:rPr>
        <w:t> 日</w:t>
      </w:r>
    </w:p>
    <w:p>
      <w:pPr>
        <w:widowControl/>
        <w:spacing w:before="100" w:beforeAutospacing="1" w:after="100" w:afterAutospacing="1"/>
        <w:jc w:val="left"/>
        <w:outlineLvl w:val="2"/>
        <w:rPr>
          <w:rFonts w:ascii="宋体" w:hAnsi="宋体" w:eastAsia="宋体" w:cs="宋体"/>
          <w:b/>
          <w:bCs/>
          <w:color w:val="auto"/>
          <w:kern w:val="0"/>
          <w:sz w:val="27"/>
          <w:szCs w:val="27"/>
          <w:highlight w:val="none"/>
        </w:rPr>
      </w:pPr>
    </w:p>
    <w:p>
      <w:pPr>
        <w:widowControl/>
        <w:spacing w:before="100" w:beforeAutospacing="1" w:after="100" w:afterAutospacing="1"/>
        <w:jc w:val="left"/>
        <w:outlineLvl w:val="2"/>
        <w:rPr>
          <w:rFonts w:ascii="宋体" w:hAnsi="宋体" w:eastAsia="宋体" w:cs="宋体"/>
          <w:b/>
          <w:bCs/>
          <w:color w:val="auto"/>
          <w:kern w:val="0"/>
          <w:sz w:val="27"/>
          <w:szCs w:val="27"/>
          <w:highlight w:val="none"/>
        </w:rPr>
      </w:pPr>
    </w:p>
    <w:p>
      <w:pPr>
        <w:widowControl/>
        <w:spacing w:before="100" w:beforeAutospacing="1" w:after="100" w:afterAutospacing="1"/>
        <w:jc w:val="left"/>
        <w:outlineLvl w:val="2"/>
        <w:rPr>
          <w:rFonts w:ascii="宋体" w:hAnsi="宋体" w:eastAsia="宋体" w:cs="宋体"/>
          <w:b/>
          <w:bCs/>
          <w:color w:val="auto"/>
          <w:kern w:val="0"/>
          <w:sz w:val="27"/>
          <w:szCs w:val="27"/>
          <w:highlight w:val="none"/>
        </w:rPr>
      </w:pPr>
      <w:r>
        <w:rPr>
          <w:rFonts w:ascii="宋体" w:hAnsi="宋体" w:eastAsia="宋体" w:cs="宋体"/>
          <w:b/>
          <w:bCs/>
          <w:color w:val="auto"/>
          <w:kern w:val="0"/>
          <w:sz w:val="27"/>
          <w:szCs w:val="27"/>
          <w:highlight w:val="none"/>
        </w:rPr>
        <w:t>采购文件相关附件</w:t>
      </w:r>
    </w:p>
    <w:p>
      <w:pPr>
        <w:rPr>
          <w:color w:val="auto"/>
          <w:highlight w:val="none"/>
        </w:rPr>
      </w:pPr>
    </w:p>
    <w:bookmarkEnd w:id="0"/>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59593"/>
    </w:sdtPr>
    <w:sdtContent>
      <w:p>
        <w:pPr>
          <w:pStyle w:val="6"/>
          <w:jc w:val="center"/>
        </w:pPr>
        <w:r>
          <w:fldChar w:fldCharType="begin"/>
        </w:r>
        <w:r>
          <w:instrText xml:space="preserve"> PAGE   \* MERGEFORMAT </w:instrText>
        </w:r>
        <w:r>
          <w:fldChar w:fldCharType="separate"/>
        </w:r>
        <w:r>
          <w:rPr>
            <w:lang w:val="zh-CN"/>
          </w:rPr>
          <w:t>21</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F2378"/>
    <w:multiLevelType w:val="singleLevel"/>
    <w:tmpl w:val="82DF2378"/>
    <w:lvl w:ilvl="0" w:tentative="0">
      <w:start w:val="2"/>
      <w:numFmt w:val="chineseCounting"/>
      <w:suff w:val="nothing"/>
      <w:lvlText w:val="%1、"/>
      <w:lvlJc w:val="left"/>
      <w:rPr>
        <w:rFonts w:hint="eastAsia"/>
      </w:rPr>
    </w:lvl>
  </w:abstractNum>
  <w:abstractNum w:abstractNumId="1">
    <w:nsid w:val="CAA821D6"/>
    <w:multiLevelType w:val="singleLevel"/>
    <w:tmpl w:val="CAA821D6"/>
    <w:lvl w:ilvl="0" w:tentative="0">
      <w:start w:val="1"/>
      <w:numFmt w:val="decimal"/>
      <w:suff w:val="nothing"/>
      <w:lvlText w:val="%1、"/>
      <w:lvlJc w:val="left"/>
    </w:lvl>
  </w:abstractNum>
  <w:abstractNum w:abstractNumId="2">
    <w:nsid w:val="3E2BA16B"/>
    <w:multiLevelType w:val="singleLevel"/>
    <w:tmpl w:val="3E2BA16B"/>
    <w:lvl w:ilvl="0" w:tentative="0">
      <w:start w:val="8"/>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B23FA"/>
    <w:rsid w:val="001A78AB"/>
    <w:rsid w:val="001B5A1D"/>
    <w:rsid w:val="001F11B1"/>
    <w:rsid w:val="001F2C0C"/>
    <w:rsid w:val="001F5F99"/>
    <w:rsid w:val="002B2D8F"/>
    <w:rsid w:val="00304BD8"/>
    <w:rsid w:val="003073E9"/>
    <w:rsid w:val="00342C8A"/>
    <w:rsid w:val="00364C00"/>
    <w:rsid w:val="00370FA6"/>
    <w:rsid w:val="0039686A"/>
    <w:rsid w:val="003A229B"/>
    <w:rsid w:val="004371F7"/>
    <w:rsid w:val="004523BA"/>
    <w:rsid w:val="0049713B"/>
    <w:rsid w:val="004B4AAD"/>
    <w:rsid w:val="004F69E9"/>
    <w:rsid w:val="005111EC"/>
    <w:rsid w:val="0052247B"/>
    <w:rsid w:val="00527A83"/>
    <w:rsid w:val="0053211C"/>
    <w:rsid w:val="005B23FA"/>
    <w:rsid w:val="005D5271"/>
    <w:rsid w:val="00605A07"/>
    <w:rsid w:val="00607740"/>
    <w:rsid w:val="0062549A"/>
    <w:rsid w:val="00665985"/>
    <w:rsid w:val="00680BB7"/>
    <w:rsid w:val="006B71C1"/>
    <w:rsid w:val="006C054A"/>
    <w:rsid w:val="00716DE1"/>
    <w:rsid w:val="0082799B"/>
    <w:rsid w:val="008710BA"/>
    <w:rsid w:val="00993DE6"/>
    <w:rsid w:val="009D01A7"/>
    <w:rsid w:val="00A341C3"/>
    <w:rsid w:val="00A8288F"/>
    <w:rsid w:val="00A85888"/>
    <w:rsid w:val="00AF52AA"/>
    <w:rsid w:val="00B35BD7"/>
    <w:rsid w:val="00B40C4C"/>
    <w:rsid w:val="00B86A20"/>
    <w:rsid w:val="00C13B68"/>
    <w:rsid w:val="00C23B7E"/>
    <w:rsid w:val="00C403A9"/>
    <w:rsid w:val="00D54DD3"/>
    <w:rsid w:val="00D55E1B"/>
    <w:rsid w:val="00D640DA"/>
    <w:rsid w:val="00D93598"/>
    <w:rsid w:val="00DE4133"/>
    <w:rsid w:val="00E42D6B"/>
    <w:rsid w:val="00E86E9E"/>
    <w:rsid w:val="00EF1AFA"/>
    <w:rsid w:val="00FC5518"/>
    <w:rsid w:val="01396AB7"/>
    <w:rsid w:val="051877DF"/>
    <w:rsid w:val="08A116E0"/>
    <w:rsid w:val="12C64316"/>
    <w:rsid w:val="18B04DB0"/>
    <w:rsid w:val="195D0710"/>
    <w:rsid w:val="1AA0717B"/>
    <w:rsid w:val="1FF13070"/>
    <w:rsid w:val="25766022"/>
    <w:rsid w:val="25D13853"/>
    <w:rsid w:val="292B0C41"/>
    <w:rsid w:val="2EEF2615"/>
    <w:rsid w:val="314821F6"/>
    <w:rsid w:val="32614B21"/>
    <w:rsid w:val="3A560FE1"/>
    <w:rsid w:val="3BE26158"/>
    <w:rsid w:val="3ECD5F72"/>
    <w:rsid w:val="3EFA0D64"/>
    <w:rsid w:val="41AE282D"/>
    <w:rsid w:val="44407A48"/>
    <w:rsid w:val="48A4094B"/>
    <w:rsid w:val="4F0C4ACA"/>
    <w:rsid w:val="4F6A7DA3"/>
    <w:rsid w:val="501D7749"/>
    <w:rsid w:val="50E213F8"/>
    <w:rsid w:val="51615C1F"/>
    <w:rsid w:val="520411C7"/>
    <w:rsid w:val="55F34962"/>
    <w:rsid w:val="56FC45BB"/>
    <w:rsid w:val="59302BD9"/>
    <w:rsid w:val="5F780DD7"/>
    <w:rsid w:val="66E77597"/>
    <w:rsid w:val="6DB247DA"/>
    <w:rsid w:val="6EBA1F7E"/>
    <w:rsid w:val="6FE14C8A"/>
    <w:rsid w:val="70DB5C9C"/>
    <w:rsid w:val="717C6D9C"/>
    <w:rsid w:val="739963EF"/>
    <w:rsid w:val="753E10F6"/>
    <w:rsid w:val="76D50720"/>
    <w:rsid w:val="7A230C58"/>
    <w:rsid w:val="7A8F4B6E"/>
    <w:rsid w:val="7E0D52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annotation text"/>
    <w:basedOn w:val="1"/>
    <w:link w:val="19"/>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0"/>
    <w:semiHidden/>
    <w:unhideWhenUsed/>
    <w:qFormat/>
    <w:uiPriority w:val="99"/>
    <w:rPr>
      <w:b/>
      <w:bCs/>
    </w:rPr>
  </w:style>
  <w:style w:type="character" w:styleId="12">
    <w:name w:val="Strong"/>
    <w:basedOn w:val="11"/>
    <w:qFormat/>
    <w:uiPriority w:val="99"/>
    <w:rPr>
      <w:b/>
      <w:bCs/>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semiHidden/>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标题 3 Char"/>
    <w:basedOn w:val="11"/>
    <w:link w:val="3"/>
    <w:qFormat/>
    <w:uiPriority w:val="9"/>
    <w:rPr>
      <w:rFonts w:ascii="宋体" w:hAnsi="宋体" w:eastAsia="宋体" w:cs="宋体"/>
      <w:b/>
      <w:bCs/>
      <w:kern w:val="0"/>
      <w:sz w:val="27"/>
      <w:szCs w:val="27"/>
    </w:rPr>
  </w:style>
  <w:style w:type="character" w:customStyle="1" w:styleId="17">
    <w:name w:val="editinput"/>
    <w:basedOn w:val="11"/>
    <w:qFormat/>
    <w:uiPriority w:val="0"/>
  </w:style>
  <w:style w:type="character" w:customStyle="1" w:styleId="18">
    <w:name w:val="edittexttarea"/>
    <w:basedOn w:val="11"/>
    <w:qFormat/>
    <w:uiPriority w:val="0"/>
  </w:style>
  <w:style w:type="character" w:customStyle="1" w:styleId="19">
    <w:name w:val="批注文字 Char"/>
    <w:basedOn w:val="11"/>
    <w:link w:val="4"/>
    <w:semiHidden/>
    <w:qFormat/>
    <w:uiPriority w:val="99"/>
  </w:style>
  <w:style w:type="character" w:customStyle="1" w:styleId="20">
    <w:name w:val="批注主题 Char"/>
    <w:basedOn w:val="19"/>
    <w:link w:val="9"/>
    <w:semiHidden/>
    <w:qFormat/>
    <w:uiPriority w:val="99"/>
    <w:rPr>
      <w:b/>
      <w:bCs/>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F162C-A4F7-4DD6-A88C-8F846F28EF7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4268</Words>
  <Characters>24332</Characters>
  <Lines>202</Lines>
  <Paragraphs>57</Paragraphs>
  <TotalTime>9</TotalTime>
  <ScaleCrop>false</ScaleCrop>
  <LinksUpToDate>false</LinksUpToDate>
  <CharactersWithSpaces>28543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2018-12-24T03:05:00Z</dcterms:created>
  <dc:creator>微软用户</dc:creator>
  <cp:lastModifiedBy>Administrator</cp:lastModifiedBy>
  <cp:lastPrinted>2020-07-21T00:09:43Z</cp:lastPrinted>
  <dcterms:modified xsi:type="dcterms:W3CDTF">2020-07-21T00:31:25Z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