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0" w:rightFromText="180" w:vertAnchor="page" w:horzAnchor="page" w:tblpX="1493" w:tblpY="3580"/>
        <w:tblOverlap w:val="never"/>
        <w:tblW w:w="9058" w:type="dxa"/>
        <w:tblInd w:w="0" w:type="dxa"/>
        <w:tblLayout w:type="fixed"/>
        <w:tblCellMar>
          <w:top w:w="0" w:type="dxa"/>
          <w:left w:w="28" w:type="dxa"/>
          <w:bottom w:w="0" w:type="dxa"/>
          <w:right w:w="28" w:type="dxa"/>
        </w:tblCellMar>
      </w:tblPr>
      <w:tblGrid>
        <w:gridCol w:w="9058"/>
      </w:tblGrid>
      <w:tr>
        <w:tblPrEx>
          <w:tblCellMar>
            <w:top w:w="0" w:type="dxa"/>
            <w:left w:w="28" w:type="dxa"/>
            <w:bottom w:w="0" w:type="dxa"/>
            <w:right w:w="28" w:type="dxa"/>
          </w:tblCellMar>
        </w:tblPrEx>
        <w:trPr>
          <w:trHeight w:val="2582" w:hRule="exact"/>
        </w:trPr>
        <w:tc>
          <w:tcPr>
            <w:tcW w:w="9058"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1600" w:lineRule="exact"/>
              <w:ind w:left="210" w:leftChars="100" w:right="210" w:rightChars="100" w:firstLine="0" w:firstLineChars="0"/>
              <w:jc w:val="distribute"/>
              <w:textAlignment w:val="bottom"/>
              <w:outlineLvl w:val="9"/>
              <w:rPr>
                <w:rFonts w:ascii="方正小标宋简体" w:eastAsia="方正小标宋简体"/>
                <w:b/>
                <w:bCs/>
                <w:w w:val="85"/>
                <w:sz w:val="84"/>
                <w:szCs w:val="84"/>
              </w:rPr>
            </w:pPr>
            <w:bookmarkStart w:id="0" w:name="fline"/>
            <w:r>
              <w:rPr>
                <w:rFonts w:hint="eastAsia" w:ascii="方正小标宋简体" w:eastAsia="方正小标宋简体"/>
                <w:b w:val="0"/>
                <w:bCs w:val="0"/>
                <w:color w:val="FF0000"/>
                <w:w w:val="85"/>
                <w:sz w:val="112"/>
                <w:szCs w:val="112"/>
              </w:rPr>
              <w:t>福建省教育厅文件</w:t>
            </w:r>
          </w:p>
        </w:tc>
      </w:tr>
      <w:tr>
        <w:tblPrEx>
          <w:tblCellMar>
            <w:top w:w="0" w:type="dxa"/>
            <w:left w:w="28" w:type="dxa"/>
            <w:bottom w:w="0" w:type="dxa"/>
            <w:right w:w="28" w:type="dxa"/>
          </w:tblCellMar>
        </w:tblPrEx>
        <w:trPr>
          <w:trHeight w:val="593" w:hRule="exact"/>
        </w:trPr>
        <w:tc>
          <w:tcPr>
            <w:tcW w:w="9058" w:type="dxa"/>
            <w:noWrap w:val="0"/>
            <w:vAlign w:val="bottom"/>
          </w:tcPr>
          <w:p>
            <w:pPr>
              <w:jc w:val="center"/>
              <w:rPr>
                <w:rFonts w:ascii="仿宋_GB2312" w:hAnsi="仿宋" w:eastAsia="仿宋_GB2312"/>
              </w:rPr>
            </w:pPr>
            <w:r>
              <w:rPr>
                <w:rFonts w:hint="eastAsia" w:ascii="仿宋_GB2312" w:hAnsi="宋体" w:eastAsia="仿宋_GB2312"/>
                <w:sz w:val="32"/>
                <w:szCs w:val="32"/>
              </w:rPr>
              <w:t>闽教安〔20</w:t>
            </w:r>
            <w:r>
              <w:rPr>
                <w:rFonts w:hint="eastAsia" w:ascii="仿宋_GB2312" w:hAnsi="宋体" w:eastAsia="仿宋_GB2312"/>
                <w:sz w:val="32"/>
                <w:szCs w:val="32"/>
                <w:lang w:val="en-US" w:eastAsia="zh-CN"/>
              </w:rPr>
              <w:t>22</w:t>
            </w:r>
            <w:r>
              <w:rPr>
                <w:rFonts w:hint="eastAsia" w:ascii="仿宋_GB2312" w:hAnsi="宋体" w:eastAsia="仿宋_GB2312"/>
                <w:sz w:val="32"/>
                <w:szCs w:val="32"/>
              </w:rPr>
              <w:t>〕</w:t>
            </w:r>
            <w:r>
              <w:rPr>
                <w:rFonts w:hint="eastAsia" w:ascii="仿宋_GB2312" w:hAnsi="宋体" w:eastAsia="仿宋_GB2312"/>
                <w:sz w:val="32"/>
                <w:szCs w:val="32"/>
                <w:lang w:val="en-US" w:eastAsia="zh-CN"/>
              </w:rPr>
              <w:t>1</w:t>
            </w:r>
            <w:r>
              <w:rPr>
                <w:rFonts w:hint="eastAsia" w:ascii="仿宋_GB2312" w:hAnsi="宋体" w:eastAsia="仿宋_GB2312"/>
                <w:sz w:val="32"/>
                <w:szCs w:val="32"/>
              </w:rPr>
              <w:t>号</w:t>
            </w:r>
          </w:p>
        </w:tc>
      </w:tr>
      <w:tr>
        <w:tblPrEx>
          <w:tblCellMar>
            <w:top w:w="0" w:type="dxa"/>
            <w:left w:w="28" w:type="dxa"/>
            <w:bottom w:w="0" w:type="dxa"/>
            <w:right w:w="28" w:type="dxa"/>
          </w:tblCellMar>
        </w:tblPrEx>
        <w:trPr>
          <w:trHeight w:val="146" w:hRule="exact"/>
        </w:trPr>
        <w:tc>
          <w:tcPr>
            <w:tcW w:w="9058" w:type="dxa"/>
            <w:noWrap w:val="0"/>
            <w:vAlign w:val="top"/>
          </w:tcPr>
          <w:p>
            <w:pPr>
              <w:adjustRightInd w:val="0"/>
              <w:snapToGrid w:val="0"/>
              <w:spacing w:line="240" w:lineRule="exact"/>
              <w:jc w:val="center"/>
              <w:rPr>
                <w:rFonts w:ascii="仿宋" w:hAnsi="仿宋" w:cs="宋体"/>
                <w:sz w:val="10"/>
                <w:szCs w:val="10"/>
              </w:rPr>
            </w:pPr>
          </w:p>
        </w:tc>
      </w:tr>
    </w:tbl>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both"/>
        <w:textAlignment w:val="auto"/>
        <w:outlineLvl w:val="9"/>
        <w:rPr>
          <w:rFonts w:hint="eastAsia" w:ascii="黑体" w:hAnsi="黑体" w:eastAsia="黑体" w:cs="黑体"/>
          <w:b/>
          <w:bCs/>
          <w:sz w:val="32"/>
          <w:szCs w:val="32"/>
          <w:lang w:val="en-US"/>
        </w:rPr>
      </w:pPr>
      <w:r>
        <w:rPr>
          <w:rFonts w:hint="eastAsia" w:ascii="黑体" w:hAnsi="黑体" w:eastAsia="黑体" w:cs="黑体"/>
          <w:b/>
          <w:bCs/>
          <w:sz w:val="32"/>
          <w:szCs w:val="32"/>
        </w:rPr>
        <mc:AlternateContent>
          <mc:Choice Requires="wps">
            <w:drawing>
              <wp:anchor distT="0" distB="0" distL="114300" distR="114300" simplePos="0" relativeHeight="251660288" behindDoc="1" locked="0" layoutInCell="1" allowOverlap="1">
                <wp:simplePos x="0" y="0"/>
                <wp:positionH relativeFrom="column">
                  <wp:posOffset>-84455</wp:posOffset>
                </wp:positionH>
                <wp:positionV relativeFrom="paragraph">
                  <wp:posOffset>2728595</wp:posOffset>
                </wp:positionV>
                <wp:extent cx="5742940" cy="635"/>
                <wp:effectExtent l="0" t="19050" r="10160" b="37465"/>
                <wp:wrapTight wrapText="bothSides">
                  <wp:wrapPolygon>
                    <wp:start x="0" y="-648000"/>
                    <wp:lineTo x="0" y="0"/>
                    <wp:lineTo x="21495" y="0"/>
                    <wp:lineTo x="21495" y="-648000"/>
                    <wp:lineTo x="0" y="-648000"/>
                  </wp:wrapPolygon>
                </wp:wrapTight>
                <wp:docPr id="3" name="直接连接符 3"/>
                <wp:cNvGraphicFramePr/>
                <a:graphic xmlns:a="http://schemas.openxmlformats.org/drawingml/2006/main">
                  <a:graphicData uri="http://schemas.microsoft.com/office/word/2010/wordprocessingShape">
                    <wps:wsp>
                      <wps:cNvCnPr/>
                      <wps:spPr>
                        <a:xfrm>
                          <a:off x="0" y="0"/>
                          <a:ext cx="5742940" cy="635"/>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65pt;margin-top:214.85pt;height:0.05pt;width:452.2pt;mso-wrap-distance-left:9pt;mso-wrap-distance-right:9pt;z-index:-251656192;mso-width-relative:page;mso-height-relative:page;" filled="f" stroked="t" coordsize="21600,21600" wrapcoords="0 -648000 0 0 21495 0 21495 -648000 0 -648000" o:gfxdata="UEsDBAoAAAAAAIdO4kAAAAAAAAAAAAAAAAAEAAAAZHJzL1BLAwQUAAAACACHTuJAskT3/90AAAAL&#10;AQAADwAAAGRycy9kb3ducmV2LnhtbE2PwU7DMAyG70i8Q2QkLmhLsyHWlaYTQkKM7cAoSIhb1pi2&#10;WuOUJN3G2xO4sKPtT7+/P18cTcf26HxrSYIYJ8CQKqtbqiW8vT6MUmA+KNKqs4QSvtHDojg/y1Wm&#10;7YFecF+GmsUQ8pmS0ITQZ5z7qkGj/Nj2SPH2aZ1RIY6u5tqpQww3HZ8kyQ03qqX4oVE93jdY7crB&#10;SDDP5o5/rB+H0m2eVu9f6+Vmd7WU8vJCJLfAAh7DPwy/+lEdiui0tQNpzzoJIzGdRlTC9WQ+AxaJ&#10;dC4EsO3fJgVe5Py0Q/EDUEsDBBQAAAAIAIdO4kCTYU2E/QEAAPUDAAAOAAAAZHJzL2Uyb0RvYy54&#10;bWytU02O0zAU3iNxB8t7mrSdGYao6SymlA2CSsABXm0nseQ/2W7TXoILILGDFUv2cxuGY/DshDIM&#10;my7Iwnn2+/z5fZ+fFzcHrche+CCtqel0UlIiDLNcmramH96vn11TEiIYDsoaUdOjCPRm+fTJoneV&#10;mNnOKi48QRITqt7VtIvRVUURWCc0hIl1wmCysV5DxKlvC+6hR3atillZXhW99dx5y0QIuLoaknRk&#10;9OcQ2qaRTKws22lh4sDqhYKIkkInXaDLXG3TCBbfNk0QkaiaotKYRzwE420ai+UCqtaD6yQbS4Bz&#10;SnikSYM0eOiJagURyM7Lf6i0ZN4G28QJs7oYhGRHUMW0fOTNuw6cyFrQ6uBOpof/R8ve7DeeSF7T&#10;OSUGNF74/afvPz5++Xn3Gcf7b1/JPJnUu1Ah9tZs/DgLbuOT4kPjdfqjFnLIxh5PxopDJAwXL59f&#10;zF5coOcMc1fzy8RY/NnqfIivhNUkBTVV0iTVUMH+dYgD9DckLStDeqz3elomRsAebPDuMdQOdQTT&#10;5s3BKsnXUqm0Jfh2e6s82QP2wXpd4jfW8BcsnbKC0A24nEowqDoB/KXhJB4dOmTwYdBUgxacEiXw&#10;HaUoIyNIdQ4S5SuTqEXu0lFosnkwNkVby494OzvnZduhMdNcc8pgN2QHx85N7fZwjvHD17r8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JE9//dAAAACwEAAA8AAAAAAAAAAQAgAAAAIgAAAGRycy9k&#10;b3ducmV2LnhtbFBLAQIUABQAAAAIAIdO4kCTYU2E/QEAAPUDAAAOAAAAAAAAAAEAIAAAACwBAABk&#10;cnMvZTJvRG9jLnhtbFBLBQYAAAAABgAGAFkBAACbBQAAAAA=&#10;">
                <v:fill on="f" focussize="0,0"/>
                <v:stroke weight="3pt" color="#FF0000" joinstyle="round"/>
                <v:imagedata o:title=""/>
                <o:lock v:ext="edit" aspectratio="f"/>
                <w10:wrap type="tight"/>
              </v:line>
            </w:pict>
          </mc:Fallback>
        </mc:AlternateContent>
      </w:r>
      <w:bookmarkEnd w:id="0"/>
      <w:r>
        <w:rPr>
          <w:rFonts w:hint="eastAsia" w:ascii="黑体" w:hAnsi="黑体" w:eastAsia="黑体" w:cs="黑体"/>
          <w:b/>
          <w:bCs/>
          <w:sz w:val="32"/>
          <w:szCs w:val="32"/>
          <w:lang w:val="en-US" w:eastAsia="zh-CN"/>
        </w:rPr>
        <w:t>附件3：</w:t>
      </w:r>
      <w:bookmarkStart w:id="1" w:name="_GoBack"/>
      <w:bookmarkEnd w:id="1"/>
    </w:p>
    <w:p>
      <w:pPr>
        <w:jc w:val="center"/>
        <w:rPr>
          <w:rFonts w:hint="eastAsia"/>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val="0"/>
        <w:autoSpaceDN w:val="0"/>
        <w:bidi w:val="0"/>
        <w:adjustRightInd w:val="0"/>
        <w:snapToGrid/>
        <w:spacing w:line="600" w:lineRule="exact"/>
        <w:ind w:left="0" w:firstLine="0" w:firstLineChars="0"/>
        <w:jc w:val="center"/>
        <w:textAlignment w:val="auto"/>
        <w:rPr>
          <w:rFonts w:hint="eastAsia" w:ascii="方正小标宋简体" w:hAnsi="华文中宋" w:eastAsia="方正小标宋简体"/>
          <w:spacing w:val="0"/>
          <w:kern w:val="0"/>
          <w:sz w:val="44"/>
          <w:szCs w:val="44"/>
          <w:lang w:eastAsia="zh-CN"/>
        </w:rPr>
      </w:pPr>
    </w:p>
    <w:p>
      <w:pPr>
        <w:keepNext w:val="0"/>
        <w:keepLines w:val="0"/>
        <w:pageBreakBefore w:val="0"/>
        <w:widowControl w:val="0"/>
        <w:kinsoku/>
        <w:wordWrap/>
        <w:overflowPunct/>
        <w:topLinePunct w:val="0"/>
        <w:autoSpaceDE w:val="0"/>
        <w:autoSpaceDN w:val="0"/>
        <w:bidi w:val="0"/>
        <w:adjustRightInd w:val="0"/>
        <w:snapToGrid/>
        <w:spacing w:line="600" w:lineRule="exact"/>
        <w:ind w:left="0" w:firstLine="0" w:firstLineChars="0"/>
        <w:jc w:val="center"/>
        <w:textAlignment w:val="auto"/>
        <w:rPr>
          <w:rFonts w:hint="eastAsia" w:ascii="方正小标宋简体" w:hAnsi="华文中宋" w:eastAsia="方正小标宋简体"/>
          <w:spacing w:val="0"/>
          <w:kern w:val="0"/>
          <w:sz w:val="44"/>
          <w:szCs w:val="44"/>
          <w:lang w:val="en-US" w:eastAsia="zh-CN"/>
        </w:rPr>
      </w:pPr>
      <w:r>
        <w:rPr>
          <w:rFonts w:hint="eastAsia" w:ascii="方正小标宋简体" w:hAnsi="华文中宋" w:eastAsia="方正小标宋简体"/>
          <w:spacing w:val="0"/>
          <w:kern w:val="0"/>
          <w:sz w:val="44"/>
          <w:szCs w:val="44"/>
          <w:lang w:eastAsia="zh-CN"/>
        </w:rPr>
        <w:t>福建省教育厅关于印发</w:t>
      </w:r>
      <w:r>
        <w:rPr>
          <w:rFonts w:hint="eastAsia" w:ascii="方正小标宋简体" w:hAnsi="华文中宋" w:eastAsia="方正小标宋简体"/>
          <w:spacing w:val="0"/>
          <w:kern w:val="0"/>
          <w:sz w:val="44"/>
          <w:szCs w:val="44"/>
          <w:lang w:val="en-US" w:eastAsia="zh-CN"/>
        </w:rPr>
        <w:t>福建省教育系统</w:t>
      </w:r>
    </w:p>
    <w:p>
      <w:pPr>
        <w:keepNext w:val="0"/>
        <w:keepLines w:val="0"/>
        <w:pageBreakBefore w:val="0"/>
        <w:widowControl w:val="0"/>
        <w:kinsoku/>
        <w:wordWrap/>
        <w:overflowPunct/>
        <w:topLinePunct w:val="0"/>
        <w:autoSpaceDE w:val="0"/>
        <w:autoSpaceDN w:val="0"/>
        <w:bidi w:val="0"/>
        <w:adjustRightInd w:val="0"/>
        <w:snapToGrid/>
        <w:spacing w:line="600" w:lineRule="exact"/>
        <w:ind w:left="0" w:firstLine="0" w:firstLineChars="0"/>
        <w:jc w:val="center"/>
        <w:textAlignment w:val="auto"/>
        <w:rPr>
          <w:rFonts w:hint="eastAsia" w:ascii="方正小标宋简体" w:hAnsi="华文中宋" w:eastAsia="方正小标宋简体"/>
          <w:spacing w:val="0"/>
          <w:kern w:val="0"/>
          <w:sz w:val="44"/>
          <w:szCs w:val="44"/>
          <w:lang w:val="en-US" w:eastAsia="zh-CN"/>
        </w:rPr>
      </w:pPr>
      <w:r>
        <w:rPr>
          <w:rFonts w:hint="eastAsia" w:ascii="方正小标宋简体" w:hAnsi="华文中宋" w:eastAsia="方正小标宋简体"/>
          <w:spacing w:val="0"/>
          <w:kern w:val="0"/>
          <w:sz w:val="44"/>
          <w:szCs w:val="44"/>
          <w:lang w:val="en-US" w:eastAsia="zh-CN"/>
        </w:rPr>
        <w:t>危险化学品安全风险集中治理</w:t>
      </w:r>
    </w:p>
    <w:p>
      <w:pPr>
        <w:keepNext w:val="0"/>
        <w:keepLines w:val="0"/>
        <w:pageBreakBefore w:val="0"/>
        <w:widowControl w:val="0"/>
        <w:kinsoku/>
        <w:wordWrap/>
        <w:overflowPunct/>
        <w:topLinePunct w:val="0"/>
        <w:autoSpaceDE w:val="0"/>
        <w:autoSpaceDN w:val="0"/>
        <w:bidi w:val="0"/>
        <w:adjustRightInd w:val="0"/>
        <w:snapToGrid/>
        <w:spacing w:line="600" w:lineRule="exact"/>
        <w:ind w:left="0" w:firstLine="0" w:firstLineChars="0"/>
        <w:jc w:val="center"/>
        <w:textAlignment w:val="auto"/>
        <w:rPr>
          <w:rFonts w:hint="eastAsia" w:ascii="方正小标宋简体" w:hAnsi="华文中宋" w:eastAsia="方正小标宋简体"/>
          <w:spacing w:val="-10"/>
          <w:kern w:val="0"/>
          <w:sz w:val="44"/>
          <w:szCs w:val="44"/>
          <w:lang w:eastAsia="zh-CN"/>
        </w:rPr>
      </w:pPr>
      <w:r>
        <w:rPr>
          <w:rFonts w:hint="eastAsia" w:ascii="方正小标宋简体" w:hAnsi="华文中宋" w:eastAsia="方正小标宋简体"/>
          <w:spacing w:val="0"/>
          <w:kern w:val="0"/>
          <w:sz w:val="44"/>
          <w:szCs w:val="44"/>
          <w:lang w:val="en-US" w:eastAsia="zh-CN"/>
        </w:rPr>
        <w:t>实施方案的通知</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rightChars="0" w:firstLine="0" w:firstLineChars="0"/>
        <w:jc w:val="both"/>
        <w:textAlignment w:val="auto"/>
        <w:outlineLvl w:val="9"/>
        <w:rPr>
          <w:rFonts w:hint="eastAsia" w:ascii="仿宋_GB2312" w:hAns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rightChars="0" w:firstLine="0" w:firstLineChars="0"/>
        <w:jc w:val="both"/>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各设区市</w:t>
      </w:r>
      <w:r>
        <w:rPr>
          <w:rFonts w:hint="eastAsia" w:ascii="仿宋_GB2312" w:hAnsi="仿宋_GB2312" w:eastAsia="仿宋_GB2312"/>
          <w:sz w:val="32"/>
          <w:szCs w:val="32"/>
          <w:lang w:eastAsia="zh-CN"/>
        </w:rPr>
        <w:t>教育局、平潭综合实验区社会事业局</w:t>
      </w:r>
      <w:r>
        <w:rPr>
          <w:rFonts w:hint="eastAsia" w:ascii="仿宋_GB2312" w:hAnsi="仿宋_GB2312" w:eastAsia="仿宋_GB2312"/>
          <w:sz w:val="32"/>
          <w:szCs w:val="32"/>
        </w:rPr>
        <w:t>，</w:t>
      </w:r>
      <w:r>
        <w:rPr>
          <w:rFonts w:hint="eastAsia" w:ascii="仿宋_GB2312" w:eastAsia="仿宋_GB2312"/>
          <w:sz w:val="32"/>
          <w:szCs w:val="32"/>
          <w:lang w:eastAsia="zh-CN"/>
        </w:rPr>
        <w:t>各高等院校</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厅</w:t>
      </w:r>
      <w:r>
        <w:rPr>
          <w:rFonts w:hint="eastAsia" w:ascii="仿宋_GB2312" w:hAnsi="仿宋_GB2312" w:eastAsia="仿宋_GB2312"/>
          <w:sz w:val="32"/>
          <w:szCs w:val="32"/>
          <w:lang w:eastAsia="zh-CN"/>
        </w:rPr>
        <w:t>直</w:t>
      </w:r>
      <w:r>
        <w:rPr>
          <w:rFonts w:hint="eastAsia" w:ascii="仿宋_GB2312" w:hAnsi="仿宋_GB2312" w:eastAsia="仿宋_GB2312"/>
          <w:sz w:val="32"/>
          <w:szCs w:val="32"/>
        </w:rPr>
        <w:t>属</w:t>
      </w:r>
      <w:r>
        <w:rPr>
          <w:rFonts w:hint="eastAsia" w:ascii="仿宋_GB2312" w:hAnsi="仿宋_GB2312" w:eastAsia="仿宋_GB2312"/>
          <w:sz w:val="32"/>
          <w:szCs w:val="32"/>
          <w:lang w:eastAsia="zh-CN"/>
        </w:rPr>
        <w:t>中职学校、中学</w:t>
      </w:r>
      <w:r>
        <w:rPr>
          <w:rFonts w:hint="eastAsia" w:ascii="仿宋_GB2312" w:hAns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rightChars="0" w:firstLine="640" w:firstLineChars="200"/>
        <w:jc w:val="both"/>
        <w:textAlignment w:val="auto"/>
        <w:outlineLvl w:val="9"/>
        <w:rPr>
          <w:rFonts w:hint="eastAsia" w:hAnsi="仿宋_GB2312" w:eastAsia="仿宋_GB2312"/>
          <w:sz w:val="32"/>
          <w:szCs w:val="32"/>
          <w:lang w:eastAsia="zh-CN"/>
        </w:rPr>
      </w:pPr>
      <w:r>
        <w:rPr>
          <w:rFonts w:hint="eastAsia" w:hAnsi="仿宋_GB2312" w:eastAsia="仿宋_GB2312"/>
          <w:sz w:val="32"/>
          <w:szCs w:val="32"/>
          <w:lang w:eastAsia="zh-CN"/>
        </w:rPr>
        <w:t>现将《福建省教育系统危险化学品安全风险集中治理实施方案》印发给你们，请结合实际，认真抓好贯彻落实。</w:t>
      </w:r>
    </w:p>
    <w:p>
      <w:pPr>
        <w:pStyle w:val="9"/>
        <w:keepNext w:val="0"/>
        <w:keepLines w:val="0"/>
        <w:pageBreakBefore w:val="0"/>
        <w:widowControl w:val="0"/>
        <w:kinsoku/>
        <w:wordWrap/>
        <w:overflowPunct/>
        <w:topLinePunct w:val="0"/>
        <w:autoSpaceDE/>
        <w:autoSpaceDN/>
        <w:bidi w:val="0"/>
        <w:adjustRightInd/>
        <w:snapToGrid/>
        <w:spacing w:before="0" w:beforeAutospacing="0" w:line="580" w:lineRule="exact"/>
        <w:ind w:left="0" w:leftChars="0"/>
        <w:textAlignment w:val="auto"/>
        <w:rPr>
          <w:rFonts w:hint="eastAsia" w:hAns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1920" w:firstLineChars="600"/>
        <w:jc w:val="center"/>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福建省</w:t>
      </w:r>
      <w:r>
        <w:rPr>
          <w:rFonts w:hint="eastAsia" w:ascii="仿宋_GB2312" w:eastAsia="仿宋_GB2312"/>
          <w:sz w:val="32"/>
          <w:szCs w:val="32"/>
          <w:lang w:eastAsia="zh-CN"/>
        </w:rPr>
        <w:t>教育厅</w:t>
      </w:r>
    </w:p>
    <w:p>
      <w:pPr>
        <w:keepNext w:val="0"/>
        <w:keepLines w:val="0"/>
        <w:pageBreakBefore w:val="0"/>
        <w:widowControl w:val="0"/>
        <w:kinsoku/>
        <w:wordWrap/>
        <w:overflowPunct/>
        <w:topLinePunct w:val="0"/>
        <w:autoSpaceDE/>
        <w:autoSpaceDN/>
        <w:bidi w:val="0"/>
        <w:adjustRightInd/>
        <w:snapToGrid/>
        <w:spacing w:line="580" w:lineRule="exact"/>
        <w:ind w:firstLine="5120" w:firstLineChars="1600"/>
        <w:jc w:val="both"/>
        <w:textAlignment w:val="auto"/>
        <w:rPr>
          <w:rFonts w:hint="eastAsia"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val="en-US" w:eastAsia="zh-CN"/>
        </w:rPr>
        <w:t>2</w:t>
      </w:r>
      <w:r>
        <w:rPr>
          <w:rFonts w:hint="eastAsia" w:ascii="仿宋_GB2312" w:eastAsia="仿宋_GB2312"/>
          <w:sz w:val="32"/>
          <w:szCs w:val="32"/>
        </w:rPr>
        <w:t>月</w:t>
      </w:r>
      <w:r>
        <w:rPr>
          <w:rFonts w:hint="eastAsia" w:ascii="仿宋_GB2312" w:eastAsia="仿宋_GB2312"/>
          <w:sz w:val="32"/>
          <w:szCs w:val="32"/>
          <w:lang w:val="en-US" w:eastAsia="zh-CN"/>
        </w:rPr>
        <w:t>21</w:t>
      </w:r>
      <w:r>
        <w:rPr>
          <w:rFonts w:hint="eastAsia" w:ascii="仿宋_GB2312"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hAnsi="仿宋_GB2312" w:eastAsia="仿宋_GB2312"/>
          <w:sz w:val="32"/>
          <w:szCs w:val="32"/>
        </w:rPr>
      </w:pPr>
      <w:r>
        <w:rPr>
          <w:rFonts w:ascii="仿宋_GB2312" w:hAnsi="仿宋_GB2312" w:eastAsia="仿宋_GB2312"/>
          <w:sz w:val="32"/>
          <w:szCs w:val="32"/>
        </w:rPr>
        <w:t>(</w:t>
      </w:r>
      <w:r>
        <w:rPr>
          <w:rFonts w:hint="eastAsia" w:ascii="仿宋_GB2312" w:hAnsi="仿宋_GB2312" w:eastAsia="仿宋_GB2312"/>
          <w:sz w:val="32"/>
          <w:szCs w:val="32"/>
          <w:lang w:eastAsia="zh-CN"/>
        </w:rPr>
        <w:t>此件依申请</w:t>
      </w:r>
      <w:r>
        <w:rPr>
          <w:rFonts w:hint="eastAsia" w:ascii="仿宋_GB2312" w:hAnsi="仿宋_GB2312" w:eastAsia="仿宋_GB2312"/>
          <w:sz w:val="32"/>
          <w:szCs w:val="32"/>
        </w:rPr>
        <w:t>公开</w:t>
      </w:r>
      <w:r>
        <w:rPr>
          <w:rFonts w:ascii="仿宋_GB2312" w:hAns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福建省教育系统危险化学品安全风险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集中治理实施方案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为进一步加强全省教育</w:t>
      </w:r>
      <w:r>
        <w:rPr>
          <w:rFonts w:hint="eastAsia" w:ascii="仿宋_GB2312" w:hAnsi="仿宋_GB2312" w:eastAsia="仿宋_GB2312" w:cs="仿宋_GB2312"/>
          <w:sz w:val="32"/>
          <w:szCs w:val="32"/>
          <w:lang w:val="en-US" w:eastAsia="zh-CN"/>
        </w:rPr>
        <w:t>系统危险化学品安全管理，有效防范和遏制各类危险化学品安全事故发生，全力保障师生生命财产安全，根据福建省人民政府安全生产委员会印发的《全省危险化学品安全风险集中治理实施方案》（闽安委〔2022〕1号）要求，结合我省教育系统危险化学品安全生产和管理实际，制定本实施方案。</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总体要求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以习近平新时代中国特色社会主义思想为指导，全面贯彻党的十九大和十九届历次全会精神,深入贯彻</w:t>
      </w:r>
      <w:r>
        <w:rPr>
          <w:rFonts w:hint="eastAsia" w:ascii="仿宋_GB2312" w:eastAsia="仿宋_GB2312"/>
          <w:sz w:val="32"/>
          <w:szCs w:val="32"/>
          <w:lang w:eastAsia="zh-CN"/>
        </w:rPr>
        <w:t>落实</w:t>
      </w:r>
      <w:r>
        <w:rPr>
          <w:rFonts w:hint="eastAsia" w:ascii="仿宋_GB2312" w:eastAsia="仿宋_GB2312"/>
          <w:sz w:val="32"/>
          <w:szCs w:val="32"/>
        </w:rPr>
        <w:t>习近平总书记关于安全生产重要论述</w:t>
      </w:r>
      <w:r>
        <w:rPr>
          <w:rFonts w:hint="eastAsia" w:ascii="仿宋_GB2312" w:eastAsia="仿宋_GB2312"/>
          <w:sz w:val="32"/>
          <w:szCs w:val="32"/>
          <w:lang w:eastAsia="zh-CN"/>
        </w:rPr>
        <w:t>和来闽考察重要讲话精神</w:t>
      </w:r>
      <w:r>
        <w:rPr>
          <w:rFonts w:hint="eastAsia" w:ascii="仿宋_GB2312" w:eastAsia="仿宋_GB2312"/>
          <w:sz w:val="32"/>
          <w:szCs w:val="32"/>
        </w:rPr>
        <w:t>,树牢安全发展理念,</w:t>
      </w:r>
      <w:r>
        <w:rPr>
          <w:rFonts w:hint="eastAsia" w:ascii="仿宋_GB2312" w:eastAsia="仿宋_GB2312"/>
          <w:sz w:val="32"/>
          <w:szCs w:val="32"/>
          <w:lang w:eastAsia="zh-CN"/>
        </w:rPr>
        <w:t>压紧压实安全责任，全面摸排安全风险，健全</w:t>
      </w:r>
      <w:r>
        <w:rPr>
          <w:rFonts w:hint="eastAsia" w:ascii="仿宋_GB2312" w:eastAsia="仿宋_GB2312"/>
          <w:sz w:val="32"/>
          <w:szCs w:val="32"/>
        </w:rPr>
        <w:t>监管</w:t>
      </w:r>
      <w:r>
        <w:rPr>
          <w:rFonts w:hint="eastAsia" w:ascii="仿宋_GB2312" w:eastAsia="仿宋_GB2312"/>
          <w:sz w:val="32"/>
          <w:szCs w:val="32"/>
          <w:lang w:eastAsia="zh-CN"/>
        </w:rPr>
        <w:t>体制</w:t>
      </w:r>
      <w:r>
        <w:rPr>
          <w:rFonts w:hint="eastAsia" w:ascii="仿宋_GB2312" w:eastAsia="仿宋_GB2312"/>
          <w:sz w:val="32"/>
          <w:szCs w:val="32"/>
        </w:rPr>
        <w:t>机制，深化源头治理、系统治理和综合治理</w:t>
      </w:r>
      <w:r>
        <w:rPr>
          <w:rFonts w:hint="eastAsia" w:ascii="仿宋_GB2312" w:eastAsia="仿宋_GB2312"/>
          <w:sz w:val="32"/>
          <w:szCs w:val="32"/>
          <w:lang w:eastAsia="zh-CN"/>
        </w:rPr>
        <w:t>，全方位提升校园安全保障水平</w:t>
      </w:r>
      <w:r>
        <w:rPr>
          <w:rFonts w:hint="eastAsia" w:ascii="仿宋_GB2312" w:eastAsia="仿宋_GB2312"/>
          <w:sz w:val="32"/>
          <w:szCs w:val="32"/>
        </w:rPr>
        <w:t>。</w:t>
      </w:r>
      <w:r>
        <w:rPr>
          <w:rFonts w:hint="eastAsia" w:ascii="仿宋_GB2312" w:eastAsia="仿宋_GB2312"/>
          <w:sz w:val="32"/>
          <w:szCs w:val="32"/>
          <w:lang w:eastAsia="zh-CN"/>
        </w:rPr>
        <w:t>通过开展危险化学品安全风险集中治理，进一步落实学校危化品安全管理主体责任，全面排查危化品安全隐患，真正从根本上清除事故隐患，从根本上解决问题，坚决防范危化品重特大事故，为迎接党的二十大胜利召开营造安全稳定的校园环境。</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治理措施</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600" w:lineRule="exact"/>
        <w:ind w:left="0" w:leftChars="0" w:right="0" w:rightChars="0" w:firstLine="643" w:firstLineChars="200"/>
        <w:textAlignment w:val="auto"/>
        <w:outlineLvl w:val="9"/>
        <w:rPr>
          <w:rFonts w:hint="eastAsia" w:ascii="仿宋_GB2312" w:eastAsia="仿宋_GB2312"/>
          <w:b/>
          <w:bCs/>
          <w:sz w:val="32"/>
          <w:szCs w:val="32"/>
          <w:lang w:val="en-US" w:eastAsia="zh-CN"/>
        </w:rPr>
      </w:pPr>
      <w:r>
        <w:rPr>
          <w:rFonts w:hint="eastAsia" w:ascii="楷体_GB2312" w:hAnsi="楷体_GB2312" w:eastAsia="楷体_GB2312" w:cs="楷体_GB2312"/>
          <w:b/>
          <w:bCs/>
          <w:sz w:val="32"/>
          <w:szCs w:val="32"/>
          <w:lang w:val="en-US" w:eastAsia="zh-CN"/>
        </w:rPr>
        <w:t>全面深入排查整治。</w:t>
      </w:r>
      <w:r>
        <w:rPr>
          <w:rFonts w:hint="eastAsia" w:ascii="仿宋_GB2312" w:eastAsia="仿宋_GB2312"/>
          <w:b w:val="0"/>
          <w:bCs w:val="0"/>
          <w:sz w:val="32"/>
          <w:szCs w:val="32"/>
          <w:lang w:val="en-US" w:eastAsia="zh-CN"/>
        </w:rPr>
        <w:t>严格按照省安委会印发的《全省危险化学品安全风险集中治理实施方案》要求，全面开展实验室安全风险集中治理，重点抓好易燃、易爆、剧毒、易制毒、易制爆等危险化学品的排查整治，加大重大危险源排查力度，建立危化品重大危险源常态化安全管控和信息共享机制。各高校、职业院校、中学、中职学校要重点聚焦</w:t>
      </w:r>
      <w:r>
        <w:rPr>
          <w:rFonts w:hint="eastAsia" w:ascii="仿宋_GB2312" w:hAnsi="仿宋_GB2312" w:eastAsia="仿宋_GB2312" w:cs="仿宋_GB2312"/>
          <w:b w:val="0"/>
          <w:bCs w:val="0"/>
          <w:color w:val="auto"/>
          <w:sz w:val="32"/>
          <w:szCs w:val="32"/>
          <w:lang w:eastAsia="zh-CN"/>
        </w:rPr>
        <w:t>实验室危化品安全管理，开展精准排查、集中治理。</w:t>
      </w:r>
      <w:r>
        <w:rPr>
          <w:rFonts w:hint="eastAsia" w:ascii="仿宋_GB2312" w:eastAsia="仿宋_GB2312"/>
          <w:b w:val="0"/>
          <w:bCs w:val="0"/>
          <w:sz w:val="32"/>
          <w:szCs w:val="32"/>
          <w:lang w:val="en-US" w:eastAsia="zh-CN"/>
        </w:rPr>
        <w:t>对排查发现的安全隐患，要及时登记造册，制定整改措施，明确整改责任人和整改时限，逐项验收、签字销号，形成闭环管理。</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3" w:firstLineChars="200"/>
        <w:textAlignment w:val="auto"/>
        <w:outlineLvl w:val="9"/>
        <w:rPr>
          <w:rFonts w:hint="eastAsia"/>
          <w:sz w:val="32"/>
          <w:szCs w:val="32"/>
          <w:lang w:eastAsia="zh-CN"/>
        </w:rPr>
      </w:pPr>
      <w:r>
        <w:rPr>
          <w:rFonts w:hint="eastAsia" w:ascii="楷体_GB2312" w:hAnsi="楷体_GB2312" w:eastAsia="楷体_GB2312" w:cs="楷体_GB2312"/>
          <w:b/>
          <w:bCs/>
          <w:kern w:val="0"/>
          <w:sz w:val="32"/>
          <w:szCs w:val="32"/>
          <w:lang w:val="en-US" w:eastAsia="zh-CN" w:bidi="ar-SA"/>
        </w:rPr>
        <w:t>（二）建立健全监管机制。</w:t>
      </w:r>
      <w:r>
        <w:rPr>
          <w:rFonts w:hint="eastAsia" w:ascii="仿宋_GB2312" w:eastAsia="仿宋_GB2312"/>
          <w:b w:val="0"/>
          <w:bCs w:val="0"/>
          <w:sz w:val="32"/>
          <w:szCs w:val="32"/>
          <w:lang w:val="en-US" w:eastAsia="zh-CN"/>
        </w:rPr>
        <w:t>健全完善各地各校</w:t>
      </w:r>
      <w:r>
        <w:rPr>
          <w:rFonts w:hint="eastAsia" w:ascii="仿宋_GB2312" w:eastAsia="仿宋_GB2312"/>
          <w:b w:val="0"/>
          <w:bCs w:val="0"/>
          <w:sz w:val="32"/>
          <w:szCs w:val="32"/>
          <w:lang w:val="zh-CN" w:eastAsia="zh-CN"/>
        </w:rPr>
        <w:t>“党政同责、一岗双责、齐抓共管、失职追责”和安全生产“三个必须”</w:t>
      </w:r>
      <w:r>
        <w:rPr>
          <w:rFonts w:hint="eastAsia" w:ascii="仿宋_GB2312" w:eastAsia="仿宋_GB2312"/>
          <w:b w:val="0"/>
          <w:bCs w:val="0"/>
          <w:sz w:val="32"/>
          <w:szCs w:val="32"/>
          <w:lang w:val="en-US" w:eastAsia="zh-CN"/>
        </w:rPr>
        <w:t>的责任体系，层层压实责任，明确监管职责。要严格执行危险化学品安全管理制度和安全事故应急预案，规范危险化学品储存、领用、处置流程。充分融合信息化技术，实行危险化学品安全使用全要素跟踪、全过程留痕。配齐配足监控报警装置、危化品专柜、防盗门窗、消防等设施设备，对存在损坏、老化及其他安全风险的设施设备要及时备案修缮加固，</w:t>
      </w:r>
      <w:r>
        <w:rPr>
          <w:rFonts w:hint="eastAsia" w:ascii="仿宋_GB2312" w:eastAsia="仿宋_GB2312"/>
          <w:sz w:val="32"/>
          <w:szCs w:val="32"/>
          <w:lang w:eastAsia="zh-CN"/>
        </w:rPr>
        <w:t>确保危化品安全管控无死角、无盲区、无漏洞</w:t>
      </w:r>
      <w:r>
        <w:rPr>
          <w:rFonts w:hint="eastAsia" w:ascii="仿宋_GB2312" w:eastAsia="仿宋_GB2312"/>
          <w:b w:val="0"/>
          <w:bCs w:val="0"/>
          <w:sz w:val="32"/>
          <w:szCs w:val="32"/>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3" w:firstLineChars="200"/>
        <w:textAlignment w:val="auto"/>
        <w:outlineLvl w:val="9"/>
        <w:rPr>
          <w:rFonts w:hint="eastAsia"/>
          <w:sz w:val="32"/>
          <w:szCs w:val="32"/>
          <w:lang w:eastAsia="zh-CN"/>
        </w:rPr>
      </w:pPr>
      <w:r>
        <w:rPr>
          <w:rFonts w:hint="eastAsia" w:ascii="楷体_GB2312" w:hAnsi="楷体_GB2312" w:eastAsia="楷体_GB2312" w:cs="楷体_GB2312"/>
          <w:b/>
          <w:bCs/>
          <w:kern w:val="0"/>
          <w:sz w:val="32"/>
          <w:szCs w:val="32"/>
          <w:lang w:val="en-US" w:eastAsia="zh-CN" w:bidi="ar-SA"/>
        </w:rPr>
        <w:t>（三）抓实抓细教育演练。</w:t>
      </w:r>
      <w:r>
        <w:rPr>
          <w:rFonts w:hint="eastAsia" w:ascii="仿宋_GB2312" w:eastAsia="仿宋_GB2312"/>
          <w:b w:val="0"/>
          <w:bCs w:val="0"/>
          <w:sz w:val="32"/>
          <w:szCs w:val="32"/>
          <w:lang w:val="en-US" w:eastAsia="zh-CN"/>
        </w:rPr>
        <w:t>大力推进危险化学品安全宣传普及，灵活采取多种形式和载体，开展全方位、多维度的危化品宣传教育活动。针对性</w:t>
      </w:r>
      <w:r>
        <w:rPr>
          <w:rFonts w:hint="eastAsia" w:ascii="仿宋_GB2312" w:eastAsia="仿宋_GB2312"/>
          <w:bCs/>
          <w:sz w:val="32"/>
          <w:szCs w:val="32"/>
        </w:rPr>
        <w:t>开展危化品事件应急疏散、</w:t>
      </w:r>
      <w:r>
        <w:rPr>
          <w:rFonts w:hint="eastAsia" w:ascii="仿宋_GB2312" w:eastAsia="仿宋_GB2312"/>
          <w:sz w:val="32"/>
          <w:szCs w:val="32"/>
        </w:rPr>
        <w:t>应急</w:t>
      </w:r>
      <w:r>
        <w:rPr>
          <w:rFonts w:hint="eastAsia" w:ascii="仿宋_GB2312" w:eastAsia="仿宋_GB2312"/>
          <w:bCs/>
          <w:sz w:val="32"/>
          <w:szCs w:val="32"/>
        </w:rPr>
        <w:t>逃生演练，</w:t>
      </w:r>
      <w:r>
        <w:rPr>
          <w:rFonts w:hint="eastAsia" w:ascii="仿宋_GB2312" w:eastAsia="仿宋_GB2312"/>
          <w:sz w:val="32"/>
          <w:szCs w:val="32"/>
        </w:rPr>
        <w:t>指导师生熟练掌握灭火器、消防栓和防爆、防毒气等设施设备使用方法，</w:t>
      </w:r>
      <w:r>
        <w:rPr>
          <w:rFonts w:hint="eastAsia" w:ascii="仿宋_GB2312" w:eastAsia="仿宋_GB2312"/>
          <w:b w:val="0"/>
          <w:bCs w:val="0"/>
          <w:sz w:val="32"/>
          <w:szCs w:val="32"/>
          <w:lang w:val="en-US" w:eastAsia="zh-CN"/>
        </w:rPr>
        <w:t>推动师生安全知识内化于心、外化于行，</w:t>
      </w:r>
      <w:r>
        <w:rPr>
          <w:rFonts w:hint="eastAsia" w:ascii="仿宋_GB2312" w:eastAsia="仿宋_GB2312"/>
          <w:bCs/>
          <w:sz w:val="32"/>
          <w:szCs w:val="32"/>
        </w:rPr>
        <w:t>努力</w:t>
      </w:r>
      <w:r>
        <w:rPr>
          <w:rFonts w:hint="eastAsia" w:ascii="仿宋_GB2312" w:eastAsia="仿宋_GB2312"/>
          <w:sz w:val="32"/>
          <w:szCs w:val="32"/>
        </w:rPr>
        <w:t>提高师生应急逃生避险和自救自护能力。</w:t>
      </w:r>
      <w:r>
        <w:rPr>
          <w:rFonts w:hint="eastAsia" w:ascii="仿宋_GB2312" w:eastAsia="仿宋_GB2312"/>
          <w:b w:val="0"/>
          <w:bCs w:val="0"/>
          <w:sz w:val="32"/>
          <w:szCs w:val="32"/>
          <w:lang w:val="en-US" w:eastAsia="zh-CN"/>
        </w:rPr>
        <w:t>定期开展</w:t>
      </w:r>
      <w:r>
        <w:rPr>
          <w:rFonts w:hint="eastAsia" w:ascii="仿宋_GB2312" w:hAnsi="仿宋_GB2312" w:eastAsia="仿宋_GB2312" w:cs="仿宋_GB2312"/>
          <w:kern w:val="2"/>
          <w:sz w:val="32"/>
          <w:szCs w:val="32"/>
          <w:u w:val="none"/>
          <w:lang w:val="zh-TW" w:eastAsia="zh-CN" w:bidi="ar-SA"/>
        </w:rPr>
        <w:t>实验室危险化学品及重点要害部位的工作人员业务培训，未经安全教育培训的人员，一律不得进行实验活动，突出防范教育的针对性。</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3" w:firstLineChars="200"/>
        <w:textAlignment w:val="auto"/>
        <w:outlineLvl w:val="9"/>
        <w:rPr>
          <w:rFonts w:hint="eastAsia" w:ascii="仿宋_GB2312" w:eastAsia="仿宋_GB2312"/>
          <w:b/>
          <w:bCs/>
          <w:sz w:val="32"/>
          <w:szCs w:val="32"/>
          <w:lang w:val="en-US" w:eastAsia="zh-CN"/>
        </w:rPr>
      </w:pPr>
      <w:r>
        <w:rPr>
          <w:rFonts w:hint="eastAsia" w:ascii="楷体_GB2312" w:hAnsi="楷体_GB2312" w:eastAsia="楷体_GB2312" w:cs="楷体_GB2312"/>
          <w:b/>
          <w:bCs/>
          <w:kern w:val="0"/>
          <w:sz w:val="32"/>
          <w:szCs w:val="32"/>
          <w:lang w:val="en-US" w:eastAsia="zh-CN" w:bidi="ar-SA"/>
        </w:rPr>
        <w:t>（四）加强学科专业人才培养。</w:t>
      </w:r>
      <w:r>
        <w:rPr>
          <w:rFonts w:hint="eastAsia" w:ascii="仿宋_GB2312" w:eastAsia="仿宋_GB2312"/>
          <w:b w:val="0"/>
          <w:bCs w:val="0"/>
          <w:sz w:val="32"/>
          <w:szCs w:val="32"/>
          <w:lang w:val="en-US" w:eastAsia="zh-CN"/>
        </w:rPr>
        <w:t>强化化工学科建设，鼓励福州、泉州、漳州、莆田等化工重点地区扶持建设职业院校化工相关专业；支持厦门大学、华侨大学、福州大学等相关高校设置“化工安全”相关学科专业，推动化工安全学科专业人才培养；加快推进化工产业技能人才培养，通过定向委培、产教融合、现代学徒制培养等多种形式，实施校企、校校、校地联合培养，畅通化工专业人才培养与发展渠道。</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进度安排</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eastAsia="zh-CN"/>
        </w:rPr>
        <w:t>从即日起至</w:t>
      </w:r>
      <w:r>
        <w:rPr>
          <w:rFonts w:hint="eastAsia" w:ascii="仿宋_GB2312" w:eastAsia="仿宋_GB2312"/>
          <w:sz w:val="32"/>
          <w:szCs w:val="32"/>
          <w:lang w:val="en-US" w:eastAsia="zh-CN"/>
        </w:rPr>
        <w:t>2023年1月结束，分四个阶段进行。</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3" w:firstLineChars="200"/>
        <w:textAlignment w:val="auto"/>
        <w:outlineLvl w:val="9"/>
        <w:rPr>
          <w:rFonts w:hint="eastAsia" w:ascii="仿宋_GB2312" w:eastAsia="仿宋_GB2312"/>
          <w:sz w:val="32"/>
          <w:szCs w:val="32"/>
          <w:lang w:val="en-US" w:eastAsia="zh-CN"/>
        </w:rPr>
      </w:pPr>
      <w:r>
        <w:rPr>
          <w:rFonts w:hint="eastAsia" w:ascii="楷体_GB2312" w:hAnsi="楷体_GB2312" w:eastAsia="楷体_GB2312" w:cs="楷体_GB2312"/>
          <w:b/>
          <w:bCs/>
          <w:kern w:val="0"/>
          <w:sz w:val="32"/>
          <w:szCs w:val="32"/>
          <w:lang w:val="en-US" w:eastAsia="zh-CN" w:bidi="ar-SA"/>
        </w:rPr>
        <w:t>（一）安排部署阶段（即日起至2022年2月底）。</w:t>
      </w:r>
      <w:r>
        <w:rPr>
          <w:rFonts w:hint="eastAsia" w:ascii="仿宋_GB2312" w:eastAsia="仿宋_GB2312"/>
          <w:sz w:val="32"/>
          <w:szCs w:val="32"/>
          <w:lang w:val="en-US" w:eastAsia="zh-CN"/>
        </w:rPr>
        <w:t>按照实施方案要求，结合各地各校实际，制定具体实施方案，明确职责，细化措施，广泛动员部署，营造良好氛围。</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3" w:firstLineChars="200"/>
        <w:textAlignment w:val="auto"/>
        <w:outlineLvl w:val="9"/>
        <w:rPr>
          <w:rFonts w:hint="eastAsia" w:ascii="仿宋_GB2312" w:eastAsia="仿宋_GB2312"/>
          <w:b/>
          <w:bCs/>
          <w:sz w:val="32"/>
          <w:szCs w:val="32"/>
          <w:lang w:val="en-US" w:eastAsia="zh-CN"/>
        </w:rPr>
      </w:pPr>
      <w:r>
        <w:rPr>
          <w:rFonts w:hint="eastAsia" w:ascii="楷体_GB2312" w:hAnsi="楷体_GB2312" w:eastAsia="楷体_GB2312" w:cs="楷体_GB2312"/>
          <w:b/>
          <w:bCs/>
          <w:kern w:val="0"/>
          <w:sz w:val="32"/>
          <w:szCs w:val="32"/>
          <w:lang w:val="en-US" w:eastAsia="zh-CN" w:bidi="ar-SA"/>
        </w:rPr>
        <w:t>（二）集中治理阶段（2022年3月至11月）。</w:t>
      </w:r>
      <w:r>
        <w:rPr>
          <w:rFonts w:hint="eastAsia" w:ascii="仿宋_GB2312" w:eastAsia="仿宋_GB2312"/>
          <w:sz w:val="32"/>
          <w:szCs w:val="32"/>
          <w:lang w:val="en-US" w:eastAsia="zh-CN"/>
        </w:rPr>
        <w:t>各地各校按照实施方案要求，迅速开展集中治理，每季度将落实情况报送省教育厅学校安全工作处。</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3" w:firstLineChars="200"/>
        <w:textAlignment w:val="auto"/>
        <w:outlineLvl w:val="9"/>
        <w:rPr>
          <w:rFonts w:hint="eastAsia" w:ascii="仿宋_GB2312" w:eastAsia="仿宋_GB2312"/>
          <w:sz w:val="32"/>
          <w:szCs w:val="32"/>
          <w:lang w:val="en-US" w:eastAsia="zh-CN"/>
        </w:rPr>
      </w:pPr>
      <w:r>
        <w:rPr>
          <w:rFonts w:hint="eastAsia" w:ascii="楷体_GB2312" w:hAnsi="楷体_GB2312" w:eastAsia="楷体_GB2312" w:cs="楷体_GB2312"/>
          <w:b/>
          <w:bCs/>
          <w:kern w:val="0"/>
          <w:sz w:val="32"/>
          <w:szCs w:val="32"/>
          <w:lang w:val="en-US" w:eastAsia="zh-CN" w:bidi="ar-SA"/>
        </w:rPr>
        <w:t>（三）自查抽查阶段（2022年12月）。</w:t>
      </w:r>
      <w:r>
        <w:rPr>
          <w:rFonts w:hint="eastAsia" w:ascii="仿宋_GB2312" w:eastAsia="仿宋_GB2312"/>
          <w:sz w:val="32"/>
          <w:szCs w:val="32"/>
          <w:lang w:val="en-US" w:eastAsia="zh-CN"/>
        </w:rPr>
        <w:t>各地各校在前期集中治理的基础上，锚定治理目标，对标对表开展自查自纠，省教育厅将组织专家开展抽查督查。</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3" w:firstLineChars="200"/>
        <w:textAlignment w:val="auto"/>
        <w:outlineLvl w:val="9"/>
        <w:rPr>
          <w:rFonts w:hint="eastAsia" w:ascii="仿宋_GB2312" w:eastAsia="仿宋_GB2312"/>
          <w:b w:val="0"/>
          <w:bCs w:val="0"/>
          <w:sz w:val="32"/>
          <w:szCs w:val="32"/>
          <w:lang w:val="en-US" w:eastAsia="zh-CN"/>
        </w:rPr>
      </w:pPr>
      <w:r>
        <w:rPr>
          <w:rFonts w:hint="eastAsia" w:ascii="楷体_GB2312" w:hAnsi="楷体_GB2312" w:eastAsia="楷体_GB2312" w:cs="楷体_GB2312"/>
          <w:b/>
          <w:bCs/>
          <w:kern w:val="0"/>
          <w:sz w:val="32"/>
          <w:szCs w:val="32"/>
          <w:lang w:val="en-US" w:eastAsia="zh-CN" w:bidi="ar-SA"/>
        </w:rPr>
        <w:t>（四）总结验收阶段（2023年1月）。</w:t>
      </w:r>
      <w:r>
        <w:rPr>
          <w:rFonts w:hint="eastAsia" w:ascii="仿宋_GB2312" w:eastAsia="仿宋_GB2312"/>
          <w:sz w:val="32"/>
          <w:szCs w:val="32"/>
          <w:lang w:val="en-US" w:eastAsia="zh-CN"/>
        </w:rPr>
        <w:t>各地各校认真总结工作经验，巩固集中治理成果，形成工作总结，于2023年1月8日前将工作总结报省教育厅学校安全工作处。</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工作要求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3" w:firstLineChars="200"/>
        <w:textAlignment w:val="auto"/>
        <w:outlineLvl w:val="9"/>
        <w:rPr>
          <w:rFonts w:hint="eastAsia" w:ascii="仿宋_GB2312" w:eastAsia="仿宋_GB2312"/>
          <w:b w:val="0"/>
          <w:bCs w:val="0"/>
          <w:sz w:val="32"/>
          <w:szCs w:val="32"/>
          <w:lang w:val="en-US" w:eastAsia="zh-CN"/>
        </w:rPr>
      </w:pPr>
      <w:r>
        <w:rPr>
          <w:rFonts w:hint="eastAsia" w:ascii="楷体_GB2312" w:hAnsi="楷体_GB2312" w:eastAsia="楷体_GB2312" w:cs="楷体_GB2312"/>
          <w:b/>
          <w:bCs/>
          <w:kern w:val="0"/>
          <w:sz w:val="32"/>
          <w:szCs w:val="32"/>
          <w:lang w:val="en-US" w:eastAsia="zh-CN" w:bidi="ar-SA"/>
        </w:rPr>
        <w:t>（一）提高政治站位。</w:t>
      </w:r>
      <w:r>
        <w:rPr>
          <w:rFonts w:hint="eastAsia" w:ascii="仿宋_GB2312" w:eastAsia="仿宋_GB2312"/>
          <w:sz w:val="32"/>
          <w:szCs w:val="32"/>
          <w:lang w:eastAsia="zh-CN"/>
        </w:rPr>
        <w:t>危险化学品安全事关师生生命健康安全、事关教育事业发展稳定。各地各校要认真学习贯彻习近平总书记关于安全生产重要指示精神，着力提高防范化解危化品重大安全风险的政治站位，从守护生命线的政治高度，加强组织领导，精准周密部署，按照集中治理总体要求，成立工作领导小组，制定路线图，画出时间表，细化工作任务到岗到人，</w:t>
      </w:r>
      <w:r>
        <w:rPr>
          <w:rFonts w:hint="eastAsia" w:ascii="仿宋_GB2312" w:eastAsia="仿宋_GB2312"/>
          <w:color w:val="auto"/>
          <w:sz w:val="32"/>
          <w:szCs w:val="32"/>
        </w:rPr>
        <w:t>推动</w:t>
      </w:r>
      <w:r>
        <w:rPr>
          <w:rFonts w:hint="eastAsia" w:ascii="仿宋_GB2312" w:eastAsia="仿宋_GB2312"/>
          <w:color w:val="auto"/>
          <w:sz w:val="32"/>
          <w:szCs w:val="32"/>
          <w:lang w:eastAsia="zh-CN"/>
        </w:rPr>
        <w:t>工作</w:t>
      </w:r>
      <w:r>
        <w:rPr>
          <w:rFonts w:hint="eastAsia" w:ascii="仿宋_GB2312" w:eastAsia="仿宋_GB2312"/>
          <w:color w:val="auto"/>
          <w:sz w:val="32"/>
          <w:szCs w:val="32"/>
        </w:rPr>
        <w:t>措施落实到位。</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3" w:firstLineChars="200"/>
        <w:textAlignment w:val="auto"/>
        <w:outlineLvl w:val="9"/>
        <w:rPr>
          <w:rFonts w:hint="eastAsia" w:ascii="仿宋_GB2312" w:eastAsia="仿宋_GB2312"/>
          <w:b w:val="0"/>
          <w:bCs w:val="0"/>
          <w:sz w:val="32"/>
          <w:szCs w:val="32"/>
          <w:lang w:val="en-US" w:eastAsia="zh-CN"/>
        </w:rPr>
      </w:pPr>
      <w:r>
        <w:rPr>
          <w:rFonts w:hint="eastAsia" w:ascii="楷体_GB2312" w:hAnsi="楷体_GB2312" w:eastAsia="楷体_GB2312" w:cs="楷体_GB2312"/>
          <w:b/>
          <w:bCs/>
          <w:kern w:val="0"/>
          <w:sz w:val="32"/>
          <w:szCs w:val="32"/>
          <w:lang w:val="en-US" w:eastAsia="zh-CN" w:bidi="ar-SA"/>
        </w:rPr>
        <w:t>（二）坚持标本兼治。</w:t>
      </w:r>
      <w:r>
        <w:rPr>
          <w:rFonts w:hint="eastAsia" w:ascii="仿宋_GB2312" w:eastAsia="仿宋_GB2312"/>
          <w:sz w:val="32"/>
          <w:szCs w:val="32"/>
          <w:lang w:eastAsia="zh-CN"/>
        </w:rPr>
        <w:t>危险化学品风险集中治理工作既要紧盯具体问题，又要深剖原因、根除病源。要注重建章立制，建立完善长效机制，加强战略考量。要坚持协同联动，强化校内外横向对接和上下联动，汇聚工作合力，推进校地共治共建，增强集中治理的系统性、协同性和有效性。</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3" w:firstLineChars="200"/>
        <w:textAlignment w:val="auto"/>
        <w:outlineLvl w:val="9"/>
        <w:rPr>
          <w:rFonts w:hint="eastAsia" w:ascii="仿宋_GB2312" w:eastAsia="仿宋_GB2312"/>
          <w:sz w:val="32"/>
          <w:szCs w:val="32"/>
          <w:lang w:eastAsia="zh-CN"/>
        </w:rPr>
      </w:pPr>
      <w:r>
        <w:rPr>
          <w:rFonts w:hint="eastAsia" w:ascii="楷体_GB2312" w:hAnsi="楷体_GB2312" w:eastAsia="楷体_GB2312" w:cs="楷体_GB2312"/>
          <w:b/>
          <w:bCs/>
          <w:kern w:val="0"/>
          <w:sz w:val="32"/>
          <w:szCs w:val="32"/>
          <w:lang w:val="en-US" w:eastAsia="zh-CN" w:bidi="ar-SA"/>
        </w:rPr>
        <w:t>（三）严格考评问责。</w:t>
      </w:r>
      <w:r>
        <w:rPr>
          <w:rFonts w:hint="eastAsia" w:ascii="仿宋_GB2312" w:eastAsia="仿宋_GB2312"/>
          <w:sz w:val="32"/>
          <w:szCs w:val="32"/>
          <w:lang w:eastAsia="zh-CN"/>
        </w:rPr>
        <w:t>各地各校要切实将做好本地本校危险化学品安全风险集中治理工作与“平安校园”创建、校园安全专项整治三年行动同步设计、同步推进、同步考评。各地要加强对所辖学校危险化学品风险集中治理工作的指导检查。对责任落实不到位、排查不彻底、整改不及时，导致发生安全事故的单位和相关责任人，将予以严肃追责问责。</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textAlignment w:val="auto"/>
        <w:outlineLvl w:val="9"/>
        <w:rPr>
          <w:rFonts w:hint="default" w:ascii="仿宋_GB2312" w:eastAsia="仿宋_GB2312"/>
          <w:sz w:val="32"/>
          <w:szCs w:val="32"/>
          <w:lang w:val="en-US" w:eastAsia="zh-CN"/>
        </w:rPr>
      </w:pPr>
      <w:r>
        <w:rPr>
          <w:rFonts w:hint="eastAsia" w:ascii="仿宋_GB2312" w:eastAsia="仿宋_GB2312"/>
          <w:sz w:val="32"/>
          <w:szCs w:val="32"/>
          <w:lang w:eastAsia="zh-CN"/>
        </w:rPr>
        <w:t>省教育厅联系人：林娟，联系电话：</w:t>
      </w:r>
      <w:r>
        <w:rPr>
          <w:rFonts w:hint="eastAsia" w:ascii="仿宋_GB2312" w:eastAsia="仿宋_GB2312"/>
          <w:sz w:val="32"/>
          <w:szCs w:val="32"/>
          <w:lang w:val="en-US" w:eastAsia="zh-CN"/>
        </w:rPr>
        <w:t>0591-87091328,邮箱：jytaqc@fjsjyt.cn。</w:t>
      </w:r>
    </w:p>
    <w:p>
      <w:pPr>
        <w:keepNext w:val="0"/>
        <w:keepLines w:val="0"/>
        <w:pageBreakBefore w:val="0"/>
        <w:widowControl w:val="0"/>
        <w:tabs>
          <w:tab w:val="left" w:pos="180"/>
          <w:tab w:val="left" w:pos="540"/>
          <w:tab w:val="left" w:pos="720"/>
        </w:tabs>
        <w:kinsoku/>
        <w:wordWrap/>
        <w:overflowPunct/>
        <w:topLinePunct w:val="0"/>
        <w:autoSpaceDE/>
        <w:bidi w:val="0"/>
        <w:adjustRightInd/>
        <w:snapToGrid/>
        <w:spacing w:beforeAutospacing="0" w:line="600" w:lineRule="exact"/>
        <w:ind w:right="0"/>
        <w:textAlignment w:val="auto"/>
        <w:rPr>
          <w:rFonts w:hint="eastAsia" w:ascii="仿宋_GB2312" w:eastAsia="仿宋_GB2312" w:cs="宋体"/>
          <w:kern w:val="0"/>
        </w:rPr>
      </w:pPr>
    </w:p>
    <w:p>
      <w:pPr>
        <w:pStyle w:val="9"/>
        <w:ind w:left="0" w:leftChars="0" w:firstLine="0" w:firstLineChars="0"/>
        <w:rPr>
          <w:rFonts w:eastAsia="仿宋_GB2312"/>
          <w:color w:val="000000"/>
          <w:sz w:val="32"/>
          <w:szCs w:val="32"/>
        </w:rPr>
      </w:pPr>
    </w:p>
    <w:p>
      <w:pPr>
        <w:pStyle w:val="9"/>
        <w:ind w:left="0" w:leftChars="0" w:firstLine="0" w:firstLineChars="0"/>
        <w:rPr>
          <w:rFonts w:eastAsia="仿宋_GB2312"/>
          <w:color w:val="000000"/>
          <w:sz w:val="32"/>
          <w:szCs w:val="32"/>
        </w:rPr>
      </w:pPr>
    </w:p>
    <w:p>
      <w:pPr>
        <w:pStyle w:val="9"/>
        <w:ind w:left="0" w:leftChars="0" w:firstLine="0" w:firstLineChars="0"/>
        <w:rPr>
          <w:rFonts w:eastAsia="仿宋_GB2312"/>
          <w:color w:val="000000"/>
          <w:sz w:val="32"/>
          <w:szCs w:val="32"/>
        </w:rPr>
      </w:pPr>
    </w:p>
    <w:p>
      <w:pPr>
        <w:pStyle w:val="9"/>
        <w:ind w:left="0" w:leftChars="0" w:firstLine="0" w:firstLineChars="0"/>
        <w:rPr>
          <w:rFonts w:eastAsia="仿宋_GB2312"/>
          <w:color w:val="000000"/>
          <w:sz w:val="32"/>
          <w:szCs w:val="32"/>
        </w:rPr>
      </w:pPr>
    </w:p>
    <w:p>
      <w:pPr>
        <w:pStyle w:val="9"/>
        <w:ind w:left="0" w:leftChars="0" w:firstLine="0" w:firstLineChars="0"/>
        <w:rPr>
          <w:rFonts w:eastAsia="仿宋_GB2312"/>
          <w:color w:val="000000"/>
          <w:sz w:val="32"/>
          <w:szCs w:val="32"/>
        </w:rPr>
      </w:pPr>
    </w:p>
    <w:p>
      <w:pPr>
        <w:pStyle w:val="9"/>
        <w:ind w:left="0" w:leftChars="0" w:firstLine="0" w:firstLineChars="0"/>
        <w:rPr>
          <w:rFonts w:eastAsia="仿宋_GB2312"/>
          <w:color w:val="000000"/>
          <w:sz w:val="32"/>
          <w:szCs w:val="32"/>
        </w:rPr>
      </w:pPr>
    </w:p>
    <w:p>
      <w:pPr>
        <w:pStyle w:val="9"/>
        <w:ind w:left="0" w:leftChars="0" w:firstLine="0" w:firstLineChars="0"/>
        <w:rPr>
          <w:rFonts w:eastAsia="仿宋_GB2312"/>
          <w:color w:val="000000"/>
          <w:sz w:val="32"/>
          <w:szCs w:val="32"/>
        </w:rPr>
      </w:pPr>
    </w:p>
    <w:p>
      <w:pPr>
        <w:pStyle w:val="9"/>
        <w:ind w:left="0" w:leftChars="0" w:firstLine="0" w:firstLineChars="0"/>
        <w:rPr>
          <w:rFonts w:eastAsia="仿宋_GB2312"/>
          <w:color w:val="000000"/>
          <w:sz w:val="32"/>
          <w:szCs w:val="32"/>
        </w:rPr>
      </w:pPr>
    </w:p>
    <w:p>
      <w:pPr>
        <w:pStyle w:val="9"/>
        <w:ind w:left="0" w:leftChars="0" w:firstLine="0" w:firstLineChars="0"/>
        <w:rPr>
          <w:rFonts w:eastAsia="仿宋_GB2312"/>
          <w:color w:val="000000"/>
          <w:sz w:val="32"/>
          <w:szCs w:val="32"/>
        </w:rPr>
      </w:pPr>
    </w:p>
    <w:p>
      <w:pPr>
        <w:pStyle w:val="9"/>
        <w:ind w:left="0" w:leftChars="0" w:firstLine="0" w:firstLineChars="0"/>
        <w:rPr>
          <w:rFonts w:eastAsia="仿宋_GB2312"/>
          <w:color w:val="000000"/>
          <w:sz w:val="32"/>
          <w:szCs w:val="32"/>
        </w:rPr>
      </w:pPr>
    </w:p>
    <w:p>
      <w:pPr>
        <w:tabs>
          <w:tab w:val="left" w:pos="7272"/>
        </w:tabs>
        <w:spacing w:line="560" w:lineRule="exact"/>
        <w:ind w:right="478" w:rightChars="0" w:firstLine="266" w:firstLineChars="100"/>
        <w:jc w:val="both"/>
        <w:rPr>
          <w:rFonts w:hint="eastAsia" w:ascii="仿宋_GB2312" w:hAnsi="仿宋_GB2312" w:eastAsia="仿宋_GB2312" w:cs="仿宋_GB2312"/>
          <w:b w:val="0"/>
          <w:i w:val="0"/>
          <w:caps w:val="0"/>
          <w:color w:val="auto"/>
          <w:spacing w:val="0"/>
          <w:w w:val="100"/>
          <w:sz w:val="32"/>
          <w:szCs w:val="32"/>
          <w:lang w:val="en-US" w:eastAsia="zh-CN"/>
        </w:rPr>
      </w:pPr>
      <w:r>
        <w:rPr>
          <w:rFonts w:hint="eastAsia"/>
          <w:w w:val="95"/>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411480</wp:posOffset>
                </wp:positionV>
                <wp:extent cx="5600700" cy="635"/>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5600700" cy="635"/>
                        </a:xfrm>
                        <a:prstGeom prst="straightConnector1">
                          <a:avLst/>
                        </a:prstGeom>
                        <a:ln w="19050"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0pt;margin-top:32.4pt;height:0.05pt;width:441pt;z-index:251662336;mso-width-relative:page;mso-height-relative:page;" filled="f" stroked="t" coordsize="21600,21600" o:gfxdata="UEsDBAoAAAAAAIdO4kAAAAAAAAAAAAAAAAAEAAAAZHJzL1BLAwQUAAAACACHTuJA3IIhFtEAAAAG&#10;AQAADwAAAGRycy9kb3ducmV2LnhtbE2PwU6EQBBE7yb+w6RNvBh32I0hIzLswcSTB3H1Axpogcj0&#10;EGZYxr+396THqupUvS6PyU3qTEsYPVvY7zJQxK3vRu4tfH683BtQISJ3OHkmCz8U4FhdX5VYdH7j&#10;dzqfYq+khEOBFoYY50Lr0A7kMOz8TCzZl18cRpFLr7sFNyl3kz5kWa4djiwLA870PFD7fVqdhfSW&#10;c0y1Sc3G62swd3VCV1t7e7PPnkBFSvHvGC74gg6VMDV+5S6oyYI8Ei3kD8IvqTEHMZqL8Qi6KvV/&#10;/OoXUEsDBBQAAAAIAIdO4kCzQUtZAgIAAP0DAAAOAAAAZHJzL2Uyb0RvYy54bWytU82O0zAQviPx&#10;DpbvNOmiFjZquoeW5YKgEuwDuLaTWPKfPN6mfQleAIkTcAJOe+dpYHkMxk4oy3LpgRycGXvmm/k+&#10;jxcXe6PJTgZQztZ0OikpkZY7oWxb06s3l4+eUgKRWcG0s7KmBwn0YvnwwaL3lTxzndNCBoIgFqre&#10;17SL0VdFAbyThsHEeWnxsHHBsIhuaAsRWI/oRhdnZTkveheED45LANxdD4d0RAynALqmUVyuHb82&#10;0sYBNUjNIlKCTnmgy9xt00geXzUNyEh0TZFpzCsWQXub1mK5YFUbmO8UH1tgp7Rwj5NhymLRI9Sa&#10;RUaug/oHyigeHLgmTrgzxUAkK4IspuU9bV53zMvMBaUGfxQd/h8sf7nbBKJETeeUWGbwwm/f3fx4&#10;+/H265fvH25+fnuf7M+fyDxJ1XuoMGNlN2H0wG9C4r1vgkl/ZET2Wd7DUV65j4Tj5mxelk9KVJ7j&#10;2fzxLCEWf1J9gPhcOkOSUVOIgam2iytnLV6jC9MsMNu9gDgk/k5IdbUlPU7zeTlL+AznssF5QNN4&#10;5Aa2zcngtBKXSuuUAqHdrnQgO5ZmI39jR3+FpSprBt0Ql49SGKs6ycQzK0g8eFTN4mOhqQcjBSVa&#10;4ttKVo6MTOlTIlEMbRO0zJM7Ek2iDzIna+vEIatfJA+nIms4TnAau7s+2ndf7fI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3IIhFtEAAAAGAQAADwAAAAAAAAABACAAAAAiAAAAZHJzL2Rvd25yZXYu&#10;eG1sUEsBAhQAFAAAAAgAh07iQLNBS1kCAgAA/QMAAA4AAAAAAAAAAQAgAAAAIAEAAGRycy9lMm9E&#10;b2MueG1sUEsFBgAAAAAGAAYAWQEAAJQFAAAAAA==&#10;">
                <v:fill on="f" focussize="0,0"/>
                <v:stroke weight="1.5pt" color="#000000" joinstyle="round"/>
                <v:imagedata o:title=""/>
                <o:lock v:ext="edit" aspectratio="f"/>
              </v:shape>
            </w:pict>
          </mc:Fallback>
        </mc:AlternateContent>
      </w:r>
      <w:r>
        <w:rPr>
          <w:rFonts w:hint="eastAsia"/>
          <w:w w:val="95"/>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600700" cy="635"/>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5600700" cy="635"/>
                        </a:xfrm>
                        <a:prstGeom prst="straightConnector1">
                          <a:avLst/>
                        </a:prstGeom>
                        <a:ln w="19050"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0pt;margin-top:0pt;height:0.05pt;width:441pt;z-index:251661312;mso-width-relative:page;mso-height-relative:page;" filled="f" stroked="t" coordsize="21600,21600" o:gfxdata="UEsDBAoAAAAAAIdO4kAAAAAAAAAAAAAAAAAEAAAAZHJzL1BLAwQUAAAACACHTuJARjRBmc4AAAAC&#10;AQAADwAAAGRycy9kb3ducmV2LnhtbE2PwU7DMBBE70j8g7VIXBB12kMVpXF6qMSJA6HwAZt4SaLG&#10;6yh2GvP3bLnAZaXRjGbflMfkRnWlOQyeDWw3GSji1tuBOwOfHy/POagQkS2OnsnANwU4Vvd3JRbW&#10;r/xO13PslJRwKNBAH+NUaB3anhyGjZ+Ixfvys8Mocu60nXGVcjfqXZbttcOB5UOPE516ai/nxRlI&#10;b3uOqc5Ts/LyGvKnOqGrjXl82GYHUJFS/AvDDV/QoRKmxi9sgxoNyJD4e8XL853I5hbSVan/o1c/&#10;UEsDBBQAAAAIAIdO4kCmr+0ZAgIAAP0DAAAOAAAAZHJzL2Uyb0RvYy54bWytU82O0zAQviPxDpbv&#10;NGlRC0RN99CyXBBUAh7AtZ3Ekv/k8TbtS/ACSJyAE3DaO08Dy2MwdkJZlksP5ODM2DPfzPd5vLw4&#10;GE32MoBytqbTSUmJtNwJZduavnl9+eAxJRCZFUw7K2t6lEAvVvfvLXtfyZnrnBYyEASxUPW+pl2M&#10;vioK4J00DCbOS4uHjQuGRXRDW4jAekQ3upiV5aLoXRA+OC4BcHczHNIRMZwD6JpGcblx/MpIGwfU&#10;IDWLSAk65YGucrdNI3l82TQgI9E1RaYxr1gE7V1ai9WSVW1gvlN8bIGd08IdToYpi0VPUBsWGbkK&#10;6h8oo3hw4Jo44c4UA5GsCLKYlne0edUxLzMXlBr8SXT4f7D8xX4biBI1nVFimcELv3l3/ePtx5uv&#10;X75/uP757X2yP38isyRV76HCjLXdhtEDvw2J96EJJv2RETlkeY8neeUhEo6b80VZPipReY5ni4fz&#10;hFj8SfUB4jPpDElGTSEGptourp21eI0uTLPAbP8c4pD4OyHV1Zb0OM1PynnCZziXDc4DmsYjN7Bt&#10;TganlbhUWqcUCO1urQPZszQb+Rs7+issVdkw6Ia4fJTCWNVJJp5aQeLRo2oWHwtNPRgpKNES31ay&#10;cmRkSp8TiWJom6BlntyRaBJ9kDlZOyeOWf0ieTgVWcNxgtPY3fbRvv1qV7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jRBmc4AAAACAQAADwAAAAAAAAABACAAAAAiAAAAZHJzL2Rvd25yZXYueG1s&#10;UEsBAhQAFAAAAAgAh07iQKav7RkCAgAA/QMAAA4AAAAAAAAAAQAgAAAAHQEAAGRycy9lMm9Eb2Mu&#10;eG1sUEsFBgAAAAAGAAYAWQEAAJEFAAAAAA==&#10;">
                <v:fill on="f" focussize="0,0"/>
                <v:stroke weight="1.5pt" color="#000000" joinstyle="round"/>
                <v:imagedata o:title=""/>
                <o:lock v:ext="edit" aspectratio="f"/>
              </v:shape>
            </w:pict>
          </mc:Fallback>
        </mc:AlternateContent>
      </w:r>
      <w:r>
        <w:rPr>
          <w:rFonts w:hint="eastAsia" w:ascii="仿宋_GB2312" w:eastAsia="仿宋_GB2312"/>
          <w:w w:val="95"/>
          <w:sz w:val="28"/>
          <w:szCs w:val="28"/>
        </w:rPr>
        <w:t>福建省教育厅</w:t>
      </w:r>
      <w:r>
        <w:rPr>
          <w:rFonts w:hint="eastAsia" w:ascii="仿宋_GB2312" w:eastAsia="仿宋_GB2312"/>
          <w:w w:val="95"/>
          <w:sz w:val="28"/>
          <w:szCs w:val="28"/>
          <w:lang w:eastAsia="zh-CN"/>
        </w:rPr>
        <w:t>办公室</w:t>
      </w:r>
      <w:r>
        <w:rPr>
          <w:rFonts w:hint="eastAsia" w:ascii="仿宋_GB2312" w:eastAsia="仿宋_GB2312"/>
          <w:w w:val="95"/>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w w:val="95"/>
          <w:sz w:val="28"/>
          <w:szCs w:val="28"/>
        </w:rPr>
        <w:t>20</w:t>
      </w:r>
      <w:r>
        <w:rPr>
          <w:rFonts w:hint="eastAsia" w:ascii="仿宋_GB2312" w:eastAsia="仿宋_GB2312"/>
          <w:w w:val="95"/>
          <w:sz w:val="28"/>
          <w:szCs w:val="28"/>
          <w:lang w:val="en-US" w:eastAsia="zh-CN"/>
        </w:rPr>
        <w:t>22</w:t>
      </w:r>
      <w:r>
        <w:rPr>
          <w:rFonts w:hint="eastAsia" w:ascii="仿宋_GB2312" w:eastAsia="仿宋_GB2312"/>
          <w:w w:val="95"/>
          <w:sz w:val="28"/>
          <w:szCs w:val="28"/>
        </w:rPr>
        <w:t>年</w:t>
      </w:r>
      <w:r>
        <w:rPr>
          <w:rFonts w:hint="eastAsia" w:ascii="仿宋_GB2312" w:eastAsia="仿宋_GB2312"/>
          <w:w w:val="95"/>
          <w:sz w:val="28"/>
          <w:szCs w:val="28"/>
          <w:lang w:val="en-US" w:eastAsia="zh-CN"/>
        </w:rPr>
        <w:t>2</w:t>
      </w:r>
      <w:r>
        <w:rPr>
          <w:rFonts w:hint="eastAsia" w:ascii="仿宋_GB2312" w:eastAsia="仿宋_GB2312"/>
          <w:w w:val="95"/>
          <w:sz w:val="28"/>
          <w:szCs w:val="28"/>
        </w:rPr>
        <w:t>月</w:t>
      </w:r>
      <w:r>
        <w:rPr>
          <w:rFonts w:hint="eastAsia" w:ascii="仿宋_GB2312" w:eastAsia="仿宋_GB2312"/>
          <w:w w:val="95"/>
          <w:sz w:val="28"/>
          <w:szCs w:val="28"/>
          <w:lang w:val="en-US" w:eastAsia="zh-CN"/>
        </w:rPr>
        <w:t>21</w:t>
      </w:r>
      <w:r>
        <w:rPr>
          <w:rFonts w:hint="eastAsia" w:ascii="仿宋_GB2312" w:eastAsia="仿宋_GB2312"/>
          <w:w w:val="95"/>
          <w:sz w:val="28"/>
          <w:szCs w:val="28"/>
        </w:rPr>
        <w:t>日</w:t>
      </w:r>
      <w:r>
        <w:rPr>
          <w:rFonts w:hint="eastAsia" w:ascii="仿宋_GB2312" w:eastAsia="仿宋_GB2312"/>
          <w:w w:val="95"/>
          <w:sz w:val="28"/>
          <w:szCs w:val="28"/>
          <w:lang w:val="en-US" w:eastAsia="zh-CN"/>
        </w:rPr>
        <w:t xml:space="preserve"> </w:t>
      </w:r>
      <w:r>
        <w:rPr>
          <w:rFonts w:hint="eastAsia" w:ascii="仿宋_GB2312" w:eastAsia="仿宋_GB2312"/>
          <w:w w:val="95"/>
          <w:sz w:val="28"/>
          <w:szCs w:val="28"/>
        </w:rPr>
        <w:t>印发</w:t>
      </w:r>
    </w:p>
    <w:sectPr>
      <w:footerReference r:id="rId3" w:type="default"/>
      <w:pgSz w:w="11906" w:h="16838"/>
      <w:pgMar w:top="2098" w:right="1474" w:bottom="181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-143510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1.3pt;height:144pt;width:144pt;mso-position-horizontal:outside;mso-position-horizontal-relative:margin;mso-wrap-style:none;z-index:251659264;mso-width-relative:page;mso-height-relative:page;" filled="f" stroked="f" coordsize="21600,21600" o:gfxdata="UEsDBAoAAAAAAIdO4kAAAAAAAAAAAAAAAAAEAAAAZHJzL1BLAwQUAAAACACHTuJAFpkfqtYAAAAI&#10;AQAADwAAAGRycy9kb3ducmV2LnhtbE2PQU/DMAyF70j8h8hI3LZ0ZVRVaTqJiXJEYuXAMWtM261x&#10;qiTryr/HnOBm+z09f6/cLXYUM/owOFKwWScgkFpnBuoUfDT1KgcRoiajR0eo4BsD7Krbm1IXxl3p&#10;HedD7ASHUCi0gj7GqZAytD1aHdZuQmLty3mrI6++k8brK4fbUaZJkkmrB+IPvZ5w32N7Plysgn3d&#10;NH7G4MdPfK0fTm/PW3xZlLq/2yRPICIu8c8Mv/iMDhUzHd2FTBCjAi4SFazSNAPBcprnfDnykD1u&#10;QVal/F+g+gF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aZH6r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01D0DB"/>
    <w:multiLevelType w:val="singleLevel"/>
    <w:tmpl w:val="6201D0DB"/>
    <w:lvl w:ilvl="0" w:tentative="0">
      <w:start w:val="1"/>
      <w:numFmt w:val="chineseCounting"/>
      <w:suff w:val="nothing"/>
      <w:lvlText w:val="%1、"/>
      <w:lvlJc w:val="left"/>
    </w:lvl>
  </w:abstractNum>
  <w:abstractNum w:abstractNumId="1">
    <w:nsid w:val="6201DAEF"/>
    <w:multiLevelType w:val="singleLevel"/>
    <w:tmpl w:val="6201DAEF"/>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7005CF"/>
    <w:rsid w:val="12AF6EF0"/>
    <w:rsid w:val="14192E90"/>
    <w:rsid w:val="173F007C"/>
    <w:rsid w:val="24120FE2"/>
    <w:rsid w:val="24605038"/>
    <w:rsid w:val="32E84C78"/>
    <w:rsid w:val="33164616"/>
    <w:rsid w:val="37D9224A"/>
    <w:rsid w:val="39CF7F04"/>
    <w:rsid w:val="3E5D42AB"/>
    <w:rsid w:val="3FF49BB6"/>
    <w:rsid w:val="3FFD9B3C"/>
    <w:rsid w:val="3FFF44E8"/>
    <w:rsid w:val="40AD5112"/>
    <w:rsid w:val="499248A3"/>
    <w:rsid w:val="4BFD7CD2"/>
    <w:rsid w:val="4FF95875"/>
    <w:rsid w:val="58057DD8"/>
    <w:rsid w:val="5F370971"/>
    <w:rsid w:val="5FFA25F4"/>
    <w:rsid w:val="63AB687C"/>
    <w:rsid w:val="674E69AF"/>
    <w:rsid w:val="675FA70A"/>
    <w:rsid w:val="6BEF2246"/>
    <w:rsid w:val="6CDE22BE"/>
    <w:rsid w:val="6EFFA67E"/>
    <w:rsid w:val="6FFE9EA9"/>
    <w:rsid w:val="737005CF"/>
    <w:rsid w:val="7B2769F8"/>
    <w:rsid w:val="7BC54229"/>
    <w:rsid w:val="7F0F496F"/>
    <w:rsid w:val="7FFBBB8C"/>
    <w:rsid w:val="9AA637F1"/>
    <w:rsid w:val="9BFD7635"/>
    <w:rsid w:val="9FFF8540"/>
    <w:rsid w:val="D437F32A"/>
    <w:rsid w:val="D7FD270D"/>
    <w:rsid w:val="EBF71C5C"/>
    <w:rsid w:val="EEFF6374"/>
    <w:rsid w:val="F76BC1FF"/>
    <w:rsid w:val="F7FC6400"/>
    <w:rsid w:val="F9EBE122"/>
    <w:rsid w:val="FBBE0938"/>
    <w:rsid w:val="FBFFFDCA"/>
    <w:rsid w:val="FD0EC023"/>
    <w:rsid w:val="FEFF61C4"/>
    <w:rsid w:val="FFB147FA"/>
    <w:rsid w:val="FFDBADBA"/>
    <w:rsid w:val="FFFBCB2D"/>
    <w:rsid w:val="FFFF9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kern w:val="0"/>
      <w:sz w:val="20"/>
      <w:szCs w:val="20"/>
    </w:rPr>
  </w:style>
  <w:style w:type="paragraph" w:styleId="3">
    <w:name w:val="Body Text"/>
    <w:basedOn w:val="1"/>
    <w:qFormat/>
    <w:uiPriority w:val="0"/>
    <w:pPr>
      <w:spacing w:after="120"/>
    </w:pPr>
  </w:style>
  <w:style w:type="paragraph" w:styleId="4">
    <w:name w:val="Body Text Indent"/>
    <w:basedOn w:val="1"/>
    <w:qFormat/>
    <w:uiPriority w:val="0"/>
    <w:pPr>
      <w:ind w:firstLine="585"/>
    </w:pPr>
    <w:rPr>
      <w:rFonts w:ascii="仿宋_GB2312"/>
    </w:rPr>
  </w:style>
  <w:style w:type="paragraph" w:styleId="5">
    <w:name w:val="Body Text Indent 2"/>
    <w:basedOn w:val="1"/>
    <w:qFormat/>
    <w:uiPriority w:val="0"/>
    <w:pPr>
      <w:spacing w:after="120" w:line="480" w:lineRule="auto"/>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qFormat/>
    <w:uiPriority w:val="0"/>
    <w:pPr>
      <w:spacing w:before="100" w:beforeAutospacing="1" w:after="0"/>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2232</Words>
  <Characters>2294</Characters>
  <Lines>0</Lines>
  <Paragraphs>0</Paragraphs>
  <TotalTime>10</TotalTime>
  <ScaleCrop>false</ScaleCrop>
  <LinksUpToDate>false</LinksUpToDate>
  <CharactersWithSpaces>2328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2021-11-22T15:32:00Z</dcterms:created>
  <dc:creator>Administrator</dc:creator>
  <cp:lastModifiedBy>WPS_1527908323</cp:lastModifiedBy>
  <cp:lastPrinted>2021-11-27T18:11:00Z</cp:lastPrinted>
  <dcterms:modified xsi:type="dcterms:W3CDTF">2022-03-31T09:41:27Z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8DF4FA60D9E8485D8D3293DED1EE3569</vt:lpwstr>
  </property>
</Properties>
</file>