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ascii="宋体" w:hAnsi="宋体" w:eastAsia="宋体" w:cs="宋体"/>
          <w:b/>
          <w:bCs/>
          <w:i w:val="0"/>
          <w:iCs w:val="0"/>
          <w:caps w:val="0"/>
          <w:color w:val="393939"/>
          <w:spacing w:val="0"/>
          <w:sz w:val="72"/>
          <w:szCs w:val="72"/>
          <w:shd w:val="clear" w:fill="FFFFFF"/>
        </w:rPr>
        <w:t>福建省政府采购项目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72"/>
          <w:szCs w:val="72"/>
          <w:shd w:val="clear" w:fill="FFFFFF"/>
        </w:rPr>
        <w:t>竞争性谈判文件</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泉州师范学院体育学院多联式中央空调采购项目</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C-SY-JT-202212-B0091-FJHDCG</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[350500]FJHDCG[TP]2022006</w:t>
      </w:r>
    </w:p>
    <w:p>
      <w:pPr>
        <w:pStyle w:val="5"/>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pPr>
      <w:r>
        <w:rPr>
          <w:rStyle w:val="8"/>
          <w:rFonts w:hint="eastAsia" w:ascii="宋体" w:hAnsi="宋体" w:eastAsia="宋体" w:cs="宋体"/>
          <w:b/>
          <w:bCs/>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福建恒都工程项目管理有限公司</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2022年12月</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pStyle w:val="5"/>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8"/>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8"/>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第一章   采购公告/采购邀请书</w:t>
      </w:r>
    </w:p>
    <w:p>
      <w:pPr>
        <w:pStyle w:val="5"/>
        <w:keepNext w:val="0"/>
        <w:keepLines w:val="0"/>
        <w:widowControl/>
        <w:suppressLineNumbers w:val="0"/>
        <w:spacing w:before="75" w:beforeAutospacing="0" w:after="75" w:afterAutospacing="0"/>
        <w:ind w:left="0" w:right="0" w:firstLine="0"/>
        <w:jc w:val="both"/>
      </w:pPr>
      <w:r>
        <w:rPr>
          <w:rStyle w:val="8"/>
          <w:rFonts w:hint="eastAsia" w:ascii="宋体" w:hAnsi="宋体" w:eastAsia="宋体" w:cs="宋体"/>
          <w:b/>
          <w:bCs/>
          <w:spacing w:val="0"/>
          <w:sz w:val="43"/>
          <w:szCs w:val="43"/>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竞争性谈判采购公告</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体育学院多联式中央空调采购项目项目（以下简称：“本项目”）的政府采购活动，现欢迎国内合格的供应商前来参加。本项目由采购人委托福建恒都工程项目管理有限公司开展竞争性谈判活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1.项目名称：泉州师范学院体育学院多联式中央空调采购项目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2.备案编号：C-SY-JT-202212-B0091-FJHDCG</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3.项目编号：[350500]FJHDCG[TP]2022006</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多联式中央空调</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466258</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其他未列明行业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多联式中央空调</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188000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其他未列明行业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654258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654258</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适用于（不适用）。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公告发布后谈判开始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5"/>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8"/>
          <w:rFonts w:hint="eastAsia" w:ascii="宋体" w:hAnsi="宋体" w:eastAsia="宋体" w:cs="宋体"/>
          <w:b/>
          <w:bCs/>
          <w:spacing w:val="0"/>
          <w:sz w:val="24"/>
          <w:szCs w:val="24"/>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w:t>
      </w:r>
      <w:r>
        <w:rPr>
          <w:rStyle w:val="8"/>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联系人：苏颖聪</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代理机构：福建恒都工程项目管理有限公司</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址：泉州市丰泽区丰海路东海泰禾广场13号楼2326室上下层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联系人：陈昭鑫、池佳明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联系方法：13799525787/0595-22301995</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开户名称：福建恒都工程项目管理有限公司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8"/>
          <w:rFonts w:ascii="宋体" w:hAnsi="宋体" w:eastAsia="宋体" w:cs="宋体"/>
          <w:b/>
          <w:bCs/>
          <w:kern w:val="0"/>
          <w:sz w:val="24"/>
          <w:szCs w:val="24"/>
          <w:lang w:val="en-US" w:eastAsia="zh-CN" w:bidi="ar"/>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r>
        <w:rPr>
          <w:rStyle w:val="8"/>
          <w:rFonts w:hint="eastAsia" w:ascii="宋体" w:hAnsi="宋体" w:eastAsia="宋体" w:cs="宋体"/>
          <w:b/>
          <w:bCs/>
          <w:spacing w:val="0"/>
          <w:sz w:val="31"/>
          <w:szCs w:val="31"/>
        </w:rPr>
        <w:t> 第1节  竞争性谈判须知前附表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240"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pPr w:leftFromText="180" w:rightFromText="180" w:vertAnchor="text" w:horzAnchor="page" w:tblpX="747" w:tblpY="859"/>
        <w:tblOverlap w:val="never"/>
        <w:tblW w:w="107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1"/>
        <w:gridCol w:w="884"/>
        <w:gridCol w:w="94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项号</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条款号</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jc w:val="center"/>
            </w:pPr>
            <w:r>
              <w:rPr>
                <w:rStyle w:val="8"/>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58"/>
              <w:gridCol w:w="5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shd w:val="clear" w:fill="FFFFFF"/>
              </w:rPr>
              <w:t>包：1</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58"/>
              <w:gridCol w:w="5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ind w:left="0" w:right="0"/>
            </w:pPr>
            <w:r>
              <w:rPr>
                <w:rStyle w:val="8"/>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提交谈判保证金：</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无 </w:t>
            </w:r>
            <w:r>
              <w:rPr>
                <w:rFonts w:hint="eastAsia" w:ascii="宋体" w:hAnsi="宋体" w:eastAsia="宋体" w:cs="宋体"/>
                <w:spacing w:val="0"/>
                <w:sz w:val="24"/>
                <w:szCs w:val="24"/>
              </w:rPr>
              <w:t>，须于提交响应文件截止时间前到达指定账户为准，是否到达以 </w:t>
            </w:r>
            <w:r>
              <w:rPr>
                <w:spacing w:val="0"/>
                <w:sz w:val="24"/>
                <w:szCs w:val="24"/>
              </w:rPr>
              <w:t>无 </w:t>
            </w:r>
            <w:r>
              <w:rPr>
                <w:rFonts w:hint="eastAsia" w:ascii="宋体" w:hAnsi="宋体" w:eastAsia="宋体" w:cs="宋体"/>
                <w:spacing w:val="0"/>
                <w:sz w:val="24"/>
                <w:szCs w:val="24"/>
              </w:rPr>
              <w:t>为准；</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响应文件的份数</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谈判过程中可能发生实质性变动的内容：</w:t>
            </w:r>
          </w:p>
          <w:p>
            <w:pPr>
              <w:pStyle w:val="5"/>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信息公告指定媒体（以下简称：“指定媒体”）：</w:t>
            </w:r>
          </w:p>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pPr>
            <w:r>
              <w:rPr>
                <w:rStyle w:val="8"/>
                <w:rFonts w:hint="eastAsia" w:ascii="宋体" w:hAnsi="宋体" w:eastAsia="宋体" w:cs="宋体"/>
                <w:b/>
                <w:bCs/>
                <w:spacing w:val="0"/>
                <w:sz w:val="24"/>
                <w:szCs w:val="24"/>
              </w:rPr>
              <w:t>本项目监督管理部门：</w:t>
            </w:r>
          </w:p>
          <w:p>
            <w:pPr>
              <w:pStyle w:val="5"/>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pPr>
            <w:r>
              <w:rPr>
                <w:rStyle w:val="8"/>
                <w:rFonts w:hint="eastAsia" w:ascii="宋体" w:hAnsi="宋体" w:eastAsia="宋体" w:cs="宋体"/>
                <w:b/>
                <w:bCs/>
                <w:spacing w:val="0"/>
                <w:sz w:val="24"/>
                <w:szCs w:val="24"/>
              </w:rPr>
              <w:t>履约保证金：</w:t>
            </w:r>
          </w:p>
          <w:p>
            <w:pPr>
              <w:pStyle w:val="5"/>
              <w:keepNext w:val="0"/>
              <w:keepLines w:val="0"/>
              <w:widowControl/>
              <w:suppressLineNumbers w:val="0"/>
              <w:spacing w:before="0" w:beforeAutospacing="0" w:after="0" w:afterAutospacing="0" w:line="435" w:lineRule="atLeast"/>
              <w:ind w:left="0" w:right="0"/>
            </w:pP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848"/>
              <w:gridCol w:w="1848"/>
              <w:gridCol w:w="55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成交人与采购人签订合同前，应按合同总金额的 2 %向采购人提交履约保证金，该保证金在成交人供应的货物全部验收合格，合同约定事项全部履行完毕且无未了事项后，30日内一次性无息退还。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05" w:hRule="atLeast"/>
        </w:trPr>
        <w:tc>
          <w:tcPr>
            <w:tcW w:w="24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86"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967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根据采购项目特点或政策需要补充的其他新增内容：</w:t>
            </w:r>
          </w:p>
          <w:p>
            <w:pPr>
              <w:pStyle w:val="5"/>
              <w:keepNext w:val="0"/>
              <w:keepLines w:val="0"/>
              <w:widowControl/>
              <w:suppressLineNumbers w:val="0"/>
              <w:wordWrap w:val="0"/>
              <w:spacing w:before="0" w:beforeAutospacing="0" w:after="0" w:afterAutospacing="0" w:line="435" w:lineRule="atLeast"/>
              <w:ind w:left="0" w:right="0"/>
            </w:pPr>
            <w:r>
              <w:rPr>
                <w:rStyle w:val="8"/>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成交人</w:t>
            </w:r>
            <w:r>
              <w:rPr>
                <w:rStyle w:val="8"/>
                <w:rFonts w:hint="eastAsia" w:ascii="宋体" w:hAnsi="宋体" w:eastAsia="宋体" w:cs="宋体"/>
                <w:b/>
                <w:bCs/>
                <w:spacing w:val="0"/>
                <w:sz w:val="24"/>
                <w:szCs w:val="24"/>
              </w:rPr>
              <w:t>支付。</w:t>
            </w: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(2)其他：</w:t>
            </w:r>
            <w:r>
              <w:rPr>
                <w:rFonts w:hint="eastAsia" w:ascii="宋体" w:hAnsi="宋体" w:eastAsia="宋体" w:cs="宋体"/>
                <w:b/>
                <w:bCs/>
                <w:spacing w:val="0"/>
                <w:sz w:val="24"/>
                <w:szCs w:val="24"/>
              </w:rPr>
              <w:t>本项目的招标代理服务费由中标人支付，招标文件其他内容与本条款有冲突的，以本条款为准 。收费标准以合同包的中标总金额为准。根据委托协议规定按 差额定率累进法计算：100万元以下 1.5% ；以转帐、电汇、现金存款等方式一次性缴清。 2.服务费缴交账户: 开户单位：福建恒都工程项目管理有限公司 开户帐号：3505 0165 6007 0000 0019 开户银行：中国建设银行股份有限公司泉州丰泽支行。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tcBorders>
              <w:top w:val="single" w:color="000000" w:sz="6" w:space="0"/>
              <w:left w:val="single" w:color="000000" w:sz="6" w:space="0"/>
              <w:bottom w:val="single" w:color="auto" w:sz="4"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12</w:t>
            </w:r>
          </w:p>
        </w:tc>
        <w:tc>
          <w:tcPr>
            <w:tcW w:w="886" w:type="dxa"/>
            <w:tcBorders>
              <w:top w:val="single" w:color="000000" w:sz="6" w:space="0"/>
              <w:left w:val="single" w:color="000000" w:sz="6" w:space="0"/>
              <w:bottom w:val="single" w:color="auto" w:sz="4"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p>
        </w:tc>
        <w:tc>
          <w:tcPr>
            <w:tcW w:w="9673" w:type="dxa"/>
            <w:tcBorders>
              <w:top w:val="single" w:color="000000" w:sz="6" w:space="0"/>
              <w:left w:val="single" w:color="000000" w:sz="6" w:space="0"/>
              <w:bottom w:val="single" w:color="auto" w:sz="4"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left"/>
            </w:pPr>
            <w:r>
              <w:rPr>
                <w:rStyle w:val="8"/>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40" w:type="dxa"/>
            <w:tcBorders>
              <w:top w:val="single" w:color="auto" w:sz="4" w:space="0"/>
              <w:left w:val="single" w:color="auto" w:sz="4" w:space="0"/>
              <w:bottom w:val="single" w:color="auto" w:sz="4" w:space="0"/>
              <w:right w:val="single" w:color="auto" w:sz="4" w:space="0"/>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13</w:t>
            </w:r>
          </w:p>
        </w:tc>
        <w:tc>
          <w:tcPr>
            <w:tcW w:w="886" w:type="dxa"/>
            <w:tcBorders>
              <w:top w:val="single" w:color="auto" w:sz="4" w:space="0"/>
              <w:left w:val="single" w:color="auto" w:sz="4" w:space="0"/>
              <w:bottom w:val="single" w:color="auto" w:sz="4" w:space="0"/>
              <w:right w:val="single" w:color="auto" w:sz="4" w:space="0"/>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18.1</w:t>
            </w:r>
          </w:p>
        </w:tc>
        <w:tc>
          <w:tcPr>
            <w:tcW w:w="9673" w:type="dxa"/>
            <w:tcBorders>
              <w:top w:val="single" w:color="auto" w:sz="4" w:space="0"/>
              <w:left w:val="single" w:color="auto" w:sz="4" w:space="0"/>
              <w:bottom w:val="single" w:color="auto" w:sz="4" w:space="0"/>
              <w:right w:val="single" w:color="auto" w:sz="4" w:space="0"/>
            </w:tcBorders>
            <w:shd w:val="clear"/>
            <w:tcMar>
              <w:top w:w="0" w:type="dxa"/>
              <w:left w:w="0" w:type="dxa"/>
              <w:bottom w:w="0" w:type="dxa"/>
              <w:right w:w="0" w:type="dxa"/>
            </w:tcMar>
            <w:vAlign w:val="center"/>
          </w:tcPr>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rPr>
              <w:t>合同签订时限：自中标通知书发出之日起30个日历日内。</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40"/>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070" w:type="dxa"/>
            <w:gridSpan w:val="2"/>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Style w:val="8"/>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5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53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8"/>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8"/>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8"/>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8"/>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8"/>
                <w:rFonts w:hint="eastAsia" w:ascii="宋体" w:hAnsi="宋体" w:eastAsia="宋体" w:cs="宋体"/>
                <w:b/>
                <w:bCs/>
                <w:spacing w:val="0"/>
                <w:sz w:val="24"/>
                <w:szCs w:val="24"/>
              </w:rPr>
              <w:t>（谈判小组将核对纸质响应文件正本，未提供原件的证明材料或资料将被视为无效）。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8"/>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8"/>
                <w:rFonts w:hint="eastAsia" w:ascii="宋体" w:hAnsi="宋体" w:eastAsia="宋体" w:cs="宋体"/>
                <w:b/>
                <w:bCs/>
                <w:spacing w:val="0"/>
                <w:sz w:val="24"/>
                <w:szCs w:val="24"/>
              </w:rPr>
              <w:t>该响应文件无效，相应供应商的谈判将被否决。</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8"/>
                <w:rFonts w:hint="eastAsia" w:ascii="宋体" w:hAnsi="宋体" w:eastAsia="宋体" w:cs="宋体"/>
                <w:b/>
                <w:bCs/>
                <w:spacing w:val="0"/>
                <w:sz w:val="24"/>
                <w:szCs w:val="24"/>
              </w:rPr>
              <w:t>不视为该响应文件无效。</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8"/>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8"/>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8"/>
                <w:rFonts w:hint="eastAsia" w:ascii="宋体" w:hAnsi="宋体" w:eastAsia="宋体" w:cs="宋体"/>
                <w:b/>
                <w:bCs/>
                <w:spacing w:val="0"/>
                <w:bdr w:val="none" w:color="auto" w:sz="0" w:space="0"/>
              </w:rPr>
              <w:t>该响应文件无效，相应供应商的谈判将被否决。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8"/>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8"/>
                <w:rFonts w:hint="eastAsia" w:ascii="宋体" w:hAnsi="宋体" w:eastAsia="宋体" w:cs="宋体"/>
                <w:b/>
                <w:bCs/>
                <w:spacing w:val="0"/>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5"/>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5"/>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专项附件：       评定成交的标准和方法</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一、谈判小组</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5"/>
        <w:keepNext w:val="0"/>
        <w:keepLines w:val="0"/>
        <w:widowControl/>
        <w:suppressLineNumbers w:val="0"/>
        <w:spacing w:before="75" w:beforeAutospacing="0" w:after="75" w:afterAutospacing="0" w:line="405" w:lineRule="atLeast"/>
        <w:ind w:left="0" w:right="0" w:firstLine="480"/>
      </w:pPr>
      <w:r>
        <w:rPr>
          <w:rStyle w:val="8"/>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8"/>
          <w:rFonts w:hint="eastAsia" w:ascii="宋体" w:hAnsi="宋体" w:eastAsia="宋体" w:cs="宋体"/>
          <w:b/>
          <w:bCs/>
          <w:spacing w:val="0"/>
          <w:sz w:val="24"/>
          <w:szCs w:val="24"/>
        </w:rPr>
        <w:t>谈判程序</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三、最低评审价法和成交候选人推荐</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5"/>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1、对小、微企业报价给予 15%的扣除。 2、监狱企业视同上述中小企业享受政府采购扶持政策。 3、残疾人福利性单位提供本单位制造的货物、承担的工程或服务，或提供其他残疾人福利性单位制造的货物（不包括使用非残疾人福利性单位注册商标的货物），视同小微企业，按小微企业的扣除比例执行。 。</w:t>
      </w:r>
    </w:p>
    <w:p>
      <w:pPr>
        <w:pStyle w:val="5"/>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优先类节能产品、环境标志产品： 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 。</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四、评审报告</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5"/>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jc w:val="center"/>
      </w:pPr>
      <w:r>
        <w:rPr>
          <w:rStyle w:val="8"/>
          <w:rFonts w:hint="eastAsia" w:ascii="宋体" w:hAnsi="宋体" w:eastAsia="宋体" w:cs="宋体"/>
          <w:b/>
          <w:bCs/>
          <w:spacing w:val="0"/>
          <w:sz w:val="24"/>
          <w:szCs w:val="24"/>
        </w:rPr>
        <w:t>五、其他规定</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5"/>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第2节  竞争性谈判须知</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一、总则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1.适用范围：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2.定义及要求：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3.合格的供应商：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8"/>
          <w:rFonts w:hint="eastAsia" w:ascii="宋体" w:hAnsi="宋体" w:eastAsia="宋体" w:cs="宋体"/>
          <w:b/>
          <w:bCs/>
          <w:spacing w:val="0"/>
          <w:sz w:val="24"/>
          <w:szCs w:val="24"/>
        </w:rPr>
        <w:t>。</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4.参与竞争性谈判费用：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二、竞争性谈判文件</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5.竞争性谈判文件的组成：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6.竞争性谈判文件的澄清、补充或修改：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三、响应文件编制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7.应标要求</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8"/>
          <w:rFonts w:hint="eastAsia" w:ascii="宋体" w:hAnsi="宋体" w:eastAsia="宋体" w:cs="宋体"/>
          <w:b/>
          <w:bCs/>
          <w:spacing w:val="0"/>
          <w:sz w:val="24"/>
          <w:szCs w:val="24"/>
        </w:rPr>
        <w:t>否则其相应合同包的响应文件将被否决。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8.首次响应文件的组成：</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9.响应文件有效期：</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8"/>
          <w:rFonts w:hint="eastAsia" w:ascii="宋体" w:hAnsi="宋体" w:eastAsia="宋体" w:cs="宋体"/>
          <w:b/>
          <w:bCs/>
          <w:spacing w:val="0"/>
          <w:sz w:val="24"/>
          <w:szCs w:val="24"/>
        </w:rPr>
        <w:t>否则其响应文件将被否决。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10.谈判保证金：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8"/>
          <w:rFonts w:hint="eastAsia" w:ascii="宋体" w:hAnsi="宋体" w:eastAsia="宋体" w:cs="宋体"/>
          <w:b/>
          <w:bCs/>
          <w:spacing w:val="0"/>
          <w:sz w:val="24"/>
          <w:szCs w:val="24"/>
        </w:rPr>
        <w:t>其响应文件将被否决。</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11.纸质响应文件基本编制要求：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四、竞争性谈判</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13.评审和谈判基本准则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14.谈判程序以及评定成交标准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8"/>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8"/>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五、合同授予</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15.授予合同的准则：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16.确定成交供应商：</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17.成交通知: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18.签订合同：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六、询问、质疑与投诉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19.询问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20.质疑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21.投诉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七、有关信息公告和监督部门</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22.政府采购信息公告媒体</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23.监督管理部门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八、根据采购项目特点或政策需要补充的其他内容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24.履约保证金</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25.其他新增内容：</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第三章  采购内容及要求</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5"/>
        <w:keepNext w:val="0"/>
        <w:keepLines w:val="0"/>
        <w:widowControl/>
        <w:suppressLineNumbers w:val="0"/>
        <w:spacing w:before="0" w:beforeAutospacing="0" w:after="150" w:afterAutospacing="0"/>
        <w:ind w:left="0" w:right="0"/>
      </w:pPr>
      <w:r>
        <w:rPr>
          <w:rFonts w:ascii="楷体" w:hAnsi="楷体" w:eastAsia="楷体" w:cs="楷体"/>
          <w:sz w:val="28"/>
          <w:szCs w:val="28"/>
        </w:rPr>
        <w:t> </w:t>
      </w:r>
      <w:r>
        <w:rPr>
          <w:rFonts w:hint="eastAsia" w:ascii="宋体" w:hAnsi="宋体" w:eastAsia="宋体" w:cs="宋体"/>
          <w:sz w:val="28"/>
          <w:szCs w:val="28"/>
        </w:rPr>
        <w:t>1、采购标的</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84"/>
        <w:gridCol w:w="705"/>
        <w:gridCol w:w="930"/>
        <w:gridCol w:w="2578"/>
        <w:gridCol w:w="1094"/>
        <w:gridCol w:w="675"/>
        <w:gridCol w:w="94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60" w:hRule="atLeast"/>
        </w:trPr>
        <w:tc>
          <w:tcPr>
            <w:tcW w:w="8520" w:type="dxa"/>
            <w:gridSpan w:val="8"/>
            <w:shd w:val="clear"/>
            <w:tcMar>
              <w:top w:w="0" w:type="dxa"/>
              <w:left w:w="105" w:type="dxa"/>
              <w:bottom w:w="0" w:type="dxa"/>
              <w:right w:w="105" w:type="dxa"/>
            </w:tcMar>
            <w:vAlign w:val="top"/>
          </w:tcPr>
          <w:p>
            <w:pPr>
              <w:pStyle w:val="5"/>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5"/>
              <w:keepNext w:val="0"/>
              <w:keepLines w:val="0"/>
              <w:widowControl/>
              <w:suppressLineNumbers w:val="0"/>
              <w:spacing w:before="0" w:beforeAutospacing="0" w:after="150" w:afterAutospacing="0"/>
              <w:ind w:left="0" w:right="0"/>
            </w:pPr>
            <w:r>
              <w:rPr>
                <w:rFonts w:ascii="黑体" w:hAnsi="宋体" w:eastAsia="黑体" w:cs="黑体"/>
                <w:sz w:val="24"/>
                <w:szCs w:val="24"/>
              </w:rPr>
              <w:t>项目名</w:t>
            </w:r>
            <w:r>
              <w:rPr>
                <w:rFonts w:hint="eastAsia" w:ascii="宋体" w:hAnsi="宋体" w:eastAsia="宋体" w:cs="宋体"/>
                <w:sz w:val="24"/>
                <w:szCs w:val="24"/>
              </w:rPr>
              <w:t> </w:t>
            </w:r>
            <w:r>
              <w:rPr>
                <w:rFonts w:hint="eastAsia" w:ascii="黑体" w:hAnsi="宋体" w:eastAsia="黑体" w:cs="黑体"/>
                <w:sz w:val="24"/>
                <w:szCs w:val="24"/>
              </w:rPr>
              <w:t>称：泉州师范学院体育学院多联式中央空调采购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0" w:hRule="atLeast"/>
        </w:trPr>
        <w:tc>
          <w:tcPr>
            <w:tcW w:w="58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合同包</w:t>
            </w:r>
          </w:p>
        </w:tc>
        <w:tc>
          <w:tcPr>
            <w:tcW w:w="7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品目号</w:t>
            </w:r>
          </w:p>
        </w:tc>
        <w:tc>
          <w:tcPr>
            <w:tcW w:w="9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黑体" w:hAnsi="宋体" w:eastAsia="黑体" w:cs="黑体"/>
                <w:sz w:val="24"/>
                <w:szCs w:val="24"/>
              </w:rPr>
              <w:t>商品名</w:t>
            </w:r>
            <w:r>
              <w:rPr>
                <w:rFonts w:hint="eastAsia" w:ascii="宋体" w:hAnsi="宋体" w:eastAsia="宋体" w:cs="宋体"/>
                <w:sz w:val="24"/>
                <w:szCs w:val="24"/>
              </w:rPr>
              <w:t> </w:t>
            </w:r>
            <w:r>
              <w:rPr>
                <w:rFonts w:hint="eastAsia" w:ascii="黑体" w:hAnsi="宋体" w:eastAsia="黑体" w:cs="黑体"/>
                <w:sz w:val="24"/>
                <w:szCs w:val="24"/>
              </w:rPr>
              <w:t>称</w:t>
            </w:r>
          </w:p>
        </w:tc>
        <w:tc>
          <w:tcPr>
            <w:tcW w:w="25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参数及规格</w:t>
            </w:r>
          </w:p>
        </w:tc>
        <w:tc>
          <w:tcPr>
            <w:tcW w:w="10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计量单位</w:t>
            </w:r>
          </w:p>
        </w:tc>
        <w:tc>
          <w:tcPr>
            <w:tcW w:w="6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数量</w:t>
            </w:r>
          </w:p>
        </w:tc>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单价（元）</w:t>
            </w:r>
          </w:p>
        </w:tc>
        <w:tc>
          <w:tcPr>
            <w:tcW w:w="10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245" w:hRule="atLeast"/>
        </w:trPr>
        <w:tc>
          <w:tcPr>
            <w:tcW w:w="585"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包</w:t>
            </w:r>
            <w:r>
              <w:rPr>
                <w:rFonts w:hint="default" w:ascii="Times New Roman" w:hAnsi="Times New Roman" w:cs="Times New Roman"/>
                <w:sz w:val="24"/>
                <w:szCs w:val="24"/>
              </w:rPr>
              <w:t>1</w:t>
            </w:r>
          </w:p>
        </w:tc>
        <w:tc>
          <w:tcPr>
            <w:tcW w:w="7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Times New Roman" w:hAnsi="Times New Roman" w:cs="Times New Roman"/>
                <w:sz w:val="24"/>
                <w:szCs w:val="24"/>
              </w:rPr>
              <w:t>1-1</w:t>
            </w:r>
          </w:p>
        </w:tc>
        <w:tc>
          <w:tcPr>
            <w:tcW w:w="9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shd w:val="clear" w:fill="FFFFFF"/>
              </w:rPr>
              <w:t>多联式中央空调</w:t>
            </w:r>
          </w:p>
        </w:tc>
        <w:tc>
          <w:tcPr>
            <w:tcW w:w="25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详见</w:t>
            </w:r>
            <w:r>
              <w:rPr>
                <w:rFonts w:ascii="Helvetica" w:hAnsi="Helvetica" w:eastAsia="Helvetica" w:cs="Helvetica"/>
                <w:sz w:val="22"/>
                <w:szCs w:val="22"/>
                <w:shd w:val="clear" w:fill="F7F7F7"/>
              </w:rPr>
              <w:t>技</w:t>
            </w:r>
            <w:r>
              <w:rPr>
                <w:rFonts w:hint="default" w:ascii="Helvetica" w:hAnsi="Helvetica" w:eastAsia="Helvetica" w:cs="Helvetica"/>
                <w:sz w:val="22"/>
                <w:szCs w:val="22"/>
                <w:shd w:val="clear" w:fill="F7F7F7"/>
              </w:rPr>
              <w:t> 术和服务要求</w:t>
            </w:r>
          </w:p>
        </w:tc>
        <w:tc>
          <w:tcPr>
            <w:tcW w:w="10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批</w:t>
            </w:r>
          </w:p>
        </w:tc>
        <w:tc>
          <w:tcPr>
            <w:tcW w:w="6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w:t>
            </w:r>
          </w:p>
        </w:tc>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微软雅黑" w:hAnsi="微软雅黑" w:eastAsia="微软雅黑" w:cs="微软雅黑"/>
                <w:color w:val="393939"/>
                <w:spacing w:val="0"/>
                <w:sz w:val="19"/>
                <w:szCs w:val="19"/>
                <w:shd w:val="clear" w:fill="FFFFFF"/>
              </w:rPr>
              <w:t>466,258</w:t>
            </w:r>
          </w:p>
        </w:tc>
        <w:tc>
          <w:tcPr>
            <w:tcW w:w="10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微软雅黑" w:hAnsi="微软雅黑" w:eastAsia="微软雅黑" w:cs="微软雅黑"/>
                <w:color w:val="393939"/>
                <w:spacing w:val="0"/>
                <w:sz w:val="19"/>
                <w:szCs w:val="19"/>
                <w:shd w:val="clear" w:fill="FFFFFF"/>
              </w:rPr>
              <w:t>466,258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245" w:hRule="atLeast"/>
        </w:trPr>
        <w:tc>
          <w:tcPr>
            <w:tcW w:w="58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Times New Roman" w:hAnsi="Times New Roman" w:eastAsia="宋体" w:cs="Times New Roman"/>
                <w:sz w:val="24"/>
                <w:szCs w:val="24"/>
              </w:rPr>
              <w:t>1-2</w:t>
            </w:r>
          </w:p>
        </w:tc>
        <w:tc>
          <w:tcPr>
            <w:tcW w:w="9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shd w:val="clear" w:fill="FFFFFF"/>
              </w:rPr>
              <w:t>多联式中央空调</w:t>
            </w:r>
          </w:p>
        </w:tc>
        <w:tc>
          <w:tcPr>
            <w:tcW w:w="25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详见</w:t>
            </w:r>
            <w:r>
              <w:rPr>
                <w:rFonts w:hint="default" w:ascii="Helvetica" w:hAnsi="Helvetica" w:eastAsia="Helvetica" w:cs="Helvetica"/>
                <w:sz w:val="22"/>
                <w:szCs w:val="22"/>
                <w:shd w:val="clear" w:fill="F7F7F7"/>
              </w:rPr>
              <w:t>技 术和服务要求</w:t>
            </w:r>
          </w:p>
        </w:tc>
        <w:tc>
          <w:tcPr>
            <w:tcW w:w="109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批</w:t>
            </w:r>
          </w:p>
        </w:tc>
        <w:tc>
          <w:tcPr>
            <w:tcW w:w="67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w:t>
            </w:r>
          </w:p>
        </w:tc>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微软雅黑" w:hAnsi="微软雅黑" w:eastAsia="微软雅黑" w:cs="微软雅黑"/>
                <w:color w:val="393939"/>
                <w:spacing w:val="0"/>
                <w:sz w:val="19"/>
                <w:szCs w:val="19"/>
                <w:shd w:val="clear" w:fill="FFFFFF"/>
              </w:rPr>
              <w:t>188,000</w:t>
            </w:r>
          </w:p>
        </w:tc>
        <w:tc>
          <w:tcPr>
            <w:tcW w:w="10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微软雅黑" w:hAnsi="微软雅黑" w:eastAsia="微软雅黑" w:cs="微软雅黑"/>
                <w:color w:val="393939"/>
                <w:spacing w:val="0"/>
                <w:sz w:val="19"/>
                <w:szCs w:val="19"/>
                <w:shd w:val="clear" w:fill="FFFFFF"/>
              </w:rPr>
              <w:t>188,000</w:t>
            </w:r>
          </w:p>
        </w:tc>
      </w:tr>
    </w:tbl>
    <w:p>
      <w:pPr>
        <w:pStyle w:val="5"/>
        <w:keepNext w:val="0"/>
        <w:keepLines w:val="0"/>
        <w:widowControl/>
        <w:suppressLineNumbers w:val="0"/>
        <w:spacing w:before="0" w:beforeAutospacing="0" w:after="150" w:afterAutospacing="0"/>
        <w:ind w:left="0" w:right="0"/>
      </w:pPr>
      <w:r>
        <w:rPr>
          <w:rFonts w:hint="default" w:ascii="Calibri" w:hAnsi="Calibri" w:cs="Calibri"/>
          <w:sz w:val="24"/>
          <w:szCs w:val="24"/>
        </w:rPr>
        <w:t> </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2、项目概况</w:t>
      </w:r>
    </w:p>
    <w:p>
      <w:pPr>
        <w:pStyle w:val="5"/>
        <w:keepNext w:val="0"/>
        <w:keepLines w:val="0"/>
        <w:widowControl/>
        <w:suppressLineNumbers w:val="0"/>
        <w:spacing w:before="0" w:beforeAutospacing="0" w:after="150" w:afterAutospacing="0" w:line="293" w:lineRule="atLeast"/>
        <w:ind w:left="0" w:right="0" w:firstLine="480"/>
      </w:pPr>
      <w:r>
        <w:rPr>
          <w:rFonts w:hint="eastAsia" w:ascii="宋体" w:hAnsi="宋体" w:eastAsia="宋体" w:cs="宋体"/>
          <w:sz w:val="24"/>
          <w:szCs w:val="24"/>
        </w:rPr>
        <w:t>本设备主要用于陈伟利智慧训练馆、击剑房的空调制冷使用。原有的体育场馆是开放式，没有空调，东面及屋顶直接暴露于阳光下，夏天室内温度高达40℃以上，热浪滚滚。鉴于以上情况当前无法满足教学、训练、比赛、以及师生锻炼的需要，急需采购进行改善优化教学条件。</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5"/>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4"/>
          <w:szCs w:val="24"/>
        </w:rPr>
        <w:t>1、主要项目清单：</w:t>
      </w:r>
    </w:p>
    <w:p>
      <w:pPr>
        <w:pStyle w:val="5"/>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4"/>
          <w:szCs w:val="24"/>
        </w:rPr>
        <w:t>1.1陈伟利智慧训练馆</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38"/>
        <w:gridCol w:w="758"/>
        <w:gridCol w:w="1217"/>
        <w:gridCol w:w="4596"/>
        <w:gridCol w:w="6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序号</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品目号</w:t>
            </w:r>
          </w:p>
        </w:tc>
        <w:tc>
          <w:tcPr>
            <w:tcW w:w="1980"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150" w:afterAutospacing="0"/>
              <w:ind w:left="0" w:right="0"/>
            </w:pPr>
            <w:r>
              <w:rPr>
                <w:rFonts w:hint="eastAsia" w:ascii="黑体" w:hAnsi="宋体" w:eastAsia="黑体" w:cs="黑体"/>
                <w:sz w:val="24"/>
                <w:szCs w:val="24"/>
              </w:rPr>
              <w:t>商品名 称</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参数规格及性能要求</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计量单位</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005" w:hRule="atLeast"/>
        </w:trPr>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1-1</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室内空调器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18"/>
                <w:szCs w:val="18"/>
              </w:rPr>
              <w:t>四面出风嵌入式天花式内机，制冷量≥16kW，制冷功率≤170W，</w:t>
            </w:r>
          </w:p>
          <w:p>
            <w:pPr>
              <w:pStyle w:val="5"/>
              <w:keepNext w:val="0"/>
              <w:keepLines w:val="0"/>
              <w:widowControl/>
              <w:suppressLineNumbers w:val="0"/>
              <w:wordWrap w:val="0"/>
              <w:spacing w:before="0" w:beforeAutospacing="0" w:after="150" w:afterAutospacing="0"/>
              <w:ind w:left="0" w:right="0"/>
              <w:jc w:val="center"/>
              <w:textAlignment w:val="center"/>
            </w:pPr>
            <w:r>
              <w:rPr>
                <w:rFonts w:hint="eastAsia" w:ascii="宋体" w:hAnsi="宋体" w:eastAsia="宋体" w:cs="宋体"/>
                <w:sz w:val="18"/>
                <w:szCs w:val="18"/>
              </w:rPr>
              <w:t>风量≥2100m3/h，最小噪音值≤37dB（A）</w:t>
            </w:r>
          </w:p>
          <w:p>
            <w:pPr>
              <w:pStyle w:val="5"/>
              <w:keepNext w:val="0"/>
              <w:keepLines w:val="0"/>
              <w:widowControl/>
              <w:suppressLineNumbers w:val="0"/>
              <w:wordWrap w:val="0"/>
              <w:spacing w:before="0" w:beforeAutospacing="0" w:after="150" w:afterAutospacing="0"/>
              <w:ind w:left="0" w:right="0"/>
              <w:jc w:val="center"/>
              <w:textAlignment w:val="center"/>
            </w:pPr>
            <w:r>
              <w:rPr>
                <w:rFonts w:hint="eastAsia" w:ascii="宋体" w:hAnsi="宋体" w:eastAsia="宋体" w:cs="宋体"/>
                <w:sz w:val="18"/>
                <w:szCs w:val="18"/>
              </w:rPr>
              <w:t>360°环形出风，具有远距离送风、四面出风独立调节、防直吹功能。</w:t>
            </w:r>
          </w:p>
          <w:p>
            <w:pPr>
              <w:pStyle w:val="5"/>
              <w:keepNext w:val="0"/>
              <w:keepLines w:val="0"/>
              <w:widowControl/>
              <w:suppressLineNumbers w:val="0"/>
              <w:wordWrap w:val="0"/>
              <w:spacing w:before="0" w:beforeAutospacing="0" w:after="150" w:afterAutospacing="0"/>
              <w:ind w:left="0" w:right="0"/>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71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cs="Calibri"/>
                <w:sz w:val="24"/>
                <w:szCs w:val="24"/>
              </w:rPr>
              <w:t>1-</w:t>
            </w:r>
            <w:r>
              <w:rPr>
                <w:rFonts w:hint="default" w:ascii="Calibri" w:hAnsi="Calibri" w:eastAsia="宋体" w:cs="Calibri"/>
                <w:sz w:val="24"/>
                <w:szCs w:val="24"/>
              </w:rPr>
              <w:t>2</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VRV室外机</w:t>
            </w:r>
          </w:p>
        </w:tc>
        <w:tc>
          <w:tcPr>
            <w:tcW w:w="6465" w:type="dxa"/>
            <w:shd w:val="clear"/>
            <w:tcMar>
              <w:top w:w="0" w:type="dxa"/>
              <w:left w:w="105" w:type="dxa"/>
              <w:bottom w:w="0" w:type="dxa"/>
              <w:right w:w="105" w:type="dxa"/>
            </w:tcMar>
            <w:vAlign w:val="center"/>
          </w:tcPr>
          <w:p>
            <w:pPr>
              <w:pStyle w:val="5"/>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18"/>
                <w:szCs w:val="18"/>
              </w:rPr>
              <w:t>制冷量≥61.50kW，制热量≥69.00kW，制冷功率≤17.75kW，风量≥22000m3/h，最小噪音值≤40dB（A），净重≥295kg，IPLV≥8.80；</w:t>
            </w:r>
          </w:p>
          <w:p>
            <w:pPr>
              <w:pStyle w:val="5"/>
              <w:keepNext w:val="0"/>
              <w:keepLines w:val="0"/>
              <w:widowControl/>
              <w:suppressLineNumbers w:val="0"/>
              <w:wordWrap w:val="0"/>
              <w:spacing w:before="0" w:beforeAutospacing="0" w:after="150" w:afterAutospacing="0"/>
              <w:ind w:left="0" w:right="0"/>
              <w:jc w:val="center"/>
            </w:pPr>
            <w:r>
              <w:rPr>
                <w:rFonts w:hint="eastAsia" w:ascii="宋体" w:hAnsi="宋体" w:eastAsia="宋体" w:cs="宋体"/>
                <w:sz w:val="18"/>
                <w:szCs w:val="18"/>
              </w:rPr>
              <w:t>全智能化控制，具有实时监测，数据异常提前预警、设备异常提醒、终端产品（电脑、平板或手机）控制、远程集中控制、故障自动报警、云计算、运行数据可视化功能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545"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1-3</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VRV室外机</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制冷量≥73.50kW，制热量≥81.50kW，制冷功率≤19.59kW，风量≥21500m3/h，最小噪音值≤40dB（A），净重≥315kg，IPLV≥8.50；</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全智能化控制，具有实时监测，数据异常提前预警、设备异常提醒、终端产品（电脑、平板或手机）控制、远程集中控制、故障自动报警、云计算、运行数据可视化功能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56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1-4</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VRV室外机</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制冷量≥90.00kW，制热量≥100.00kW，制冷功率≤24.95kW，风量≥28000m3，最小噪音值≤40dB（A），净重≥405kg，IPLV≥8.30；</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全智能化控制，具有实时监测，数据异常提前预警、设备异常提醒、终端产品（电脑、平板或手机）控制、远程集中控制、故障自动报警、云计算、运行数据可视化功能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1-5</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控制器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1800"/>
            </w:pPr>
            <w:r>
              <w:rPr>
                <w:rFonts w:hint="eastAsia" w:ascii="宋体" w:hAnsi="宋体" w:eastAsia="宋体" w:cs="宋体"/>
                <w:sz w:val="18"/>
                <w:szCs w:val="18"/>
              </w:rPr>
              <w:t>86mm*86mm ， 触控式液晶控制器</w:t>
            </w:r>
          </w:p>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 </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个</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1-6</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铜管φ9.5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1-7</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铜管φ15.9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1-8</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铜管φ19.1保温棉厚度15mm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1-9</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铜管φ22.2保温棉厚度15mm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1-10</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铜管φ31.8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1-11</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铜管φ38.1保温棉厚度15mm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1-12</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冷媒</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1095"/>
              <w:jc w:val="center"/>
              <w:textAlignment w:val="center"/>
            </w:pPr>
            <w:r>
              <w:rPr>
                <w:rFonts w:hint="eastAsia" w:ascii="宋体" w:hAnsi="宋体" w:eastAsia="宋体" w:cs="宋体"/>
                <w:sz w:val="22"/>
                <w:szCs w:val="22"/>
              </w:rPr>
              <w:t>R410a</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KG</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1-13</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排水管（保温15mm）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1050"/>
              <w:jc w:val="center"/>
              <w:textAlignment w:val="center"/>
            </w:pPr>
            <w:r>
              <w:rPr>
                <w:rFonts w:hint="eastAsia" w:ascii="宋体" w:hAnsi="宋体" w:eastAsia="宋体" w:cs="宋体"/>
                <w:sz w:val="21"/>
                <w:szCs w:val="21"/>
              </w:rPr>
              <w:t>PVC（DN25-32）</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200</w:t>
            </w:r>
          </w:p>
        </w:tc>
      </w:tr>
    </w:tbl>
    <w:p>
      <w:pPr>
        <w:pStyle w:val="5"/>
        <w:keepNext w:val="0"/>
        <w:keepLines w:val="0"/>
        <w:widowControl/>
        <w:suppressLineNumbers w:val="0"/>
        <w:spacing w:before="105" w:beforeAutospacing="0" w:after="105" w:afterAutospacing="0"/>
        <w:ind w:left="0" w:right="0"/>
      </w:pPr>
      <w:r>
        <w:rPr>
          <w:rStyle w:val="8"/>
          <w:rFonts w:hint="eastAsia" w:ascii="宋体" w:hAnsi="宋体" w:eastAsia="宋体" w:cs="宋体"/>
          <w:b/>
          <w:bCs/>
          <w:sz w:val="18"/>
          <w:szCs w:val="18"/>
        </w:rPr>
        <w:t>备注：1、上述参数及规格为最低要求，谈判供 应商全部满足或者谈判供 应商可提供更优产品，否则为无效谈判。</w:t>
      </w:r>
    </w:p>
    <w:p>
      <w:pPr>
        <w:pStyle w:val="5"/>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4"/>
          <w:szCs w:val="24"/>
        </w:rPr>
        <w:t>1.2第二田径场击剑馆</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53"/>
        <w:gridCol w:w="784"/>
        <w:gridCol w:w="1393"/>
        <w:gridCol w:w="4267"/>
        <w:gridCol w:w="64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60" w:hRule="atLeast"/>
        </w:trPr>
        <w:tc>
          <w:tcPr>
            <w:tcW w:w="94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2</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2</w:t>
            </w:r>
            <w:r>
              <w:rPr>
                <w:rFonts w:hint="default" w:ascii="Calibri" w:hAnsi="Calibri" w:cs="Calibri"/>
                <w:sz w:val="24"/>
                <w:szCs w:val="24"/>
              </w:rPr>
              <w:t>-1</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室内空调器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720"/>
              <w:textAlignment w:val="center"/>
            </w:pPr>
            <w:r>
              <w:rPr>
                <w:rFonts w:hint="eastAsia" w:ascii="宋体" w:hAnsi="宋体" w:eastAsia="宋体" w:cs="宋体"/>
                <w:sz w:val="18"/>
                <w:szCs w:val="18"/>
              </w:rPr>
              <w:t>四面出风嵌入式天花式内机，制冷量≥16kW，制冷功率≤170W，</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风量≥2100m3/h，噪音值≤37dB（A）</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360°环形出风，具有远距离送风、四面出风独立调节、防直吹功能。</w:t>
            </w:r>
          </w:p>
          <w:p>
            <w:pPr>
              <w:pStyle w:val="5"/>
              <w:keepNext w:val="0"/>
              <w:keepLines w:val="0"/>
              <w:widowControl/>
              <w:suppressLineNumbers w:val="0"/>
              <w:spacing w:before="0" w:beforeAutospacing="0" w:after="150" w:afterAutospacing="0"/>
              <w:ind w:left="0" w:right="0"/>
            </w:pPr>
            <w:r>
              <w:rPr>
                <w:rFonts w:hint="default" w:ascii="Calibri" w:hAnsi="Calibri" w:cs="Calibri"/>
                <w:sz w:val="24"/>
                <w:szCs w:val="24"/>
              </w:rPr>
              <w:t> </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6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2</w:t>
            </w:r>
            <w:r>
              <w:rPr>
                <w:rFonts w:hint="default" w:ascii="Calibri" w:hAnsi="Calibri" w:cs="Calibri"/>
                <w:sz w:val="24"/>
                <w:szCs w:val="24"/>
              </w:rPr>
              <w:t>-</w:t>
            </w:r>
            <w:r>
              <w:rPr>
                <w:rFonts w:hint="default" w:ascii="Calibri" w:hAnsi="Calibri" w:eastAsia="宋体" w:cs="Calibri"/>
                <w:sz w:val="24"/>
                <w:szCs w:val="24"/>
              </w:rPr>
              <w:t>2</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室内空调器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四面出风嵌入式天花式内机，制冷量≥9kW，制冷功率≤43W，</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风量≥1330m3/h，最小噪音值≤29dB（A）</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360°环形出风，具有远距离送风、四面出风独立调节、防直吹功能。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9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2-3</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室内空调器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四面出风嵌入式天花式内机，制冷量≥4.5kW，功率≤23W，</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风量≥840m3/h，最小噪音值≤27dB（A）</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360°环形出风，具有远距离送风、四面出风独立调节、防直吹功能。</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4"/>
                <w:szCs w:val="24"/>
              </w:rPr>
              <w:t> </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71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2-4</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VRV室外机</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室外空调器，制冷量≥45.00kW，制热量≥50.00kW，制冷功率≤12.09kW，</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风量≥15600m3/h，最小噪音值≤40dB（A），净重≥213kg，IPLV≥9.20；</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全智能化控制，具有实时监测，数据异常提前预警、设备异常提醒、终端产品（电脑、平板或手机）控制、远程集中控制、故障自动报警、云计算、运行数据可视化功能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56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default" w:ascii="Calibri" w:hAnsi="Calibri" w:eastAsia="宋体" w:cs="Calibri"/>
                <w:sz w:val="24"/>
                <w:szCs w:val="24"/>
              </w:rPr>
              <w:t>2-5</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VRV室外机</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室外空调器，制冷量≥56.00kW，制热量≥63.00kW，制冷功率≤15.70kW，</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风量≥22000m3/h，最小噪音值≤40dB（A），净重≥295kg，IPLV≥8.95；</w:t>
            </w:r>
          </w:p>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全智能化控制，具有实时监测，数据异常提前预警、设备异常提醒、终端产品（电脑、平板或手机）控制、远程集中控制、故障自动报警、云计算、运行数据可视化功能</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台</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2-6</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控制器</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86mm*86mm，触控式液晶控制器</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个</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2-7</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铜管φ9.5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2-8</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铜管φ15.9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2-9</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铜管φ19.1保温棉厚度15mm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2-10</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铜管φ28.6保温棉厚度15mm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2-11</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脱脂铜管（保温15mm）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铜管φ31.8 保温棉厚度15mm</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2-12</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冷媒</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1095"/>
              <w:jc w:val="center"/>
              <w:textAlignment w:val="center"/>
            </w:pPr>
            <w:r>
              <w:rPr>
                <w:rFonts w:hint="eastAsia" w:ascii="宋体" w:hAnsi="宋体" w:eastAsia="宋体" w:cs="宋体"/>
                <w:sz w:val="22"/>
                <w:szCs w:val="22"/>
              </w:rPr>
              <w:t>R410a</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KG</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945" w:type="dxa"/>
            <w:shd w:val="clear"/>
            <w:tcMar>
              <w:top w:w="0" w:type="dxa"/>
              <w:left w:w="105" w:type="dxa"/>
              <w:bottom w:w="0" w:type="dxa"/>
              <w:right w:w="105" w:type="dxa"/>
            </w:tcMar>
            <w:vAlign w:val="center"/>
          </w:tcPr>
          <w:p>
            <w:pPr>
              <w:keepNext w:val="0"/>
              <w:keepLines w:val="0"/>
              <w:widowControl/>
              <w:suppressLineNumbers w:val="0"/>
              <w:jc w:val="left"/>
            </w:pP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黑体" w:hAnsi="宋体" w:eastAsia="黑体" w:cs="黑体"/>
                <w:sz w:val="24"/>
                <w:szCs w:val="24"/>
              </w:rPr>
              <w:t>2-13</w:t>
            </w:r>
          </w:p>
        </w:tc>
        <w:tc>
          <w:tcPr>
            <w:tcW w:w="19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8"/>
                <w:szCs w:val="18"/>
              </w:rPr>
              <w:t>U-PVC排水管（保温15mm）</w:t>
            </w:r>
          </w:p>
        </w:tc>
        <w:tc>
          <w:tcPr>
            <w:tcW w:w="64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firstLine="840"/>
              <w:jc w:val="center"/>
              <w:textAlignment w:val="center"/>
            </w:pPr>
            <w:r>
              <w:rPr>
                <w:rFonts w:hint="eastAsia" w:ascii="宋体" w:hAnsi="宋体" w:eastAsia="宋体" w:cs="宋体"/>
                <w:sz w:val="21"/>
                <w:szCs w:val="21"/>
              </w:rPr>
              <w:t>PVC（DN25-32）</w:t>
            </w:r>
          </w:p>
        </w:tc>
        <w:tc>
          <w:tcPr>
            <w:tcW w:w="8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m</w:t>
            </w:r>
          </w:p>
        </w:tc>
        <w:tc>
          <w:tcPr>
            <w:tcW w:w="10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80</w:t>
            </w:r>
          </w:p>
        </w:tc>
      </w:tr>
    </w:tbl>
    <w:p>
      <w:pPr>
        <w:pStyle w:val="5"/>
        <w:keepNext w:val="0"/>
        <w:keepLines w:val="0"/>
        <w:widowControl/>
        <w:suppressLineNumbers w:val="0"/>
        <w:spacing w:before="105" w:beforeAutospacing="0" w:after="105" w:afterAutospacing="0"/>
        <w:ind w:left="0" w:right="0"/>
      </w:pPr>
      <w:r>
        <w:rPr>
          <w:rStyle w:val="8"/>
          <w:rFonts w:hint="eastAsia" w:ascii="宋体" w:hAnsi="宋体" w:eastAsia="宋体" w:cs="宋体"/>
          <w:b/>
          <w:bCs/>
          <w:sz w:val="18"/>
          <w:szCs w:val="18"/>
        </w:rPr>
        <w:t>备注：1、上述参数及规格为最低要求，谈判供 应商全部满足或者谈判供 应商可提供更优产品，否则为无效谈判。</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24"/>
          <w:szCs w:val="24"/>
        </w:rPr>
        <w:t>2、技术参数性能要求</w:t>
      </w:r>
    </w:p>
    <w:p>
      <w:pPr>
        <w:pStyle w:val="5"/>
        <w:keepNext w:val="0"/>
        <w:keepLines w:val="0"/>
        <w:widowControl/>
        <w:suppressLineNumbers w:val="0"/>
        <w:spacing w:before="75" w:beforeAutospacing="0" w:after="75" w:afterAutospacing="0" w:line="540" w:lineRule="atLeast"/>
        <w:ind w:left="0" w:right="0"/>
      </w:pPr>
      <w:r>
        <w:rPr>
          <w:rFonts w:hint="eastAsia" w:ascii="宋体" w:hAnsi="宋体" w:eastAsia="宋体" w:cs="宋体"/>
          <w:sz w:val="24"/>
          <w:szCs w:val="24"/>
        </w:rPr>
        <w:t>2.1.多联室外机系列主机电控盒及多联机室内线控器为防止风沙、雨雪、蚊虫入侵电控组件，采用全密闭电控防护设 计，防护设 计等级应达到IP55级别。</w:t>
      </w:r>
    </w:p>
    <w:p>
      <w:pPr>
        <w:pStyle w:val="5"/>
        <w:keepNext w:val="0"/>
        <w:keepLines w:val="0"/>
        <w:widowControl/>
        <w:suppressLineNumbers w:val="0"/>
        <w:spacing w:before="0" w:beforeAutospacing="0" w:after="150" w:afterAutospacing="0" w:line="540" w:lineRule="atLeast"/>
        <w:ind w:left="0" w:right="0"/>
      </w:pPr>
      <w:r>
        <w:rPr>
          <w:rFonts w:hint="eastAsia" w:ascii="宋体" w:hAnsi="宋体" w:eastAsia="宋体" w:cs="宋体"/>
          <w:sz w:val="24"/>
          <w:szCs w:val="24"/>
        </w:rPr>
        <w:t>2.2.供 应商所投变频多联空调室内机、室外机、压缩机同一品 牌，压缩机型式必须为涡旋式压缩机，压缩机不允许采用OEM、贴牌和代加工的设备。</w:t>
      </w:r>
    </w:p>
    <w:p>
      <w:pPr>
        <w:pStyle w:val="5"/>
        <w:keepNext w:val="0"/>
        <w:keepLines w:val="0"/>
        <w:widowControl/>
        <w:suppressLineNumbers w:val="0"/>
        <w:spacing w:before="0" w:beforeAutospacing="0" w:after="150" w:afterAutospacing="0"/>
        <w:ind w:left="0" w:right="0"/>
      </w:pPr>
      <w:r>
        <w:rPr>
          <w:rStyle w:val="8"/>
          <w:rFonts w:hint="default" w:ascii="Calibri" w:hAnsi="Calibri" w:cs="Calibri"/>
          <w:b/>
          <w:bCs/>
          <w:sz w:val="21"/>
          <w:szCs w:val="21"/>
        </w:rPr>
        <w:t> </w:t>
      </w:r>
    </w:p>
    <w:p>
      <w:pPr>
        <w:pStyle w:val="5"/>
        <w:keepNext w:val="0"/>
        <w:keepLines w:val="0"/>
        <w:widowControl/>
        <w:suppressLineNumbers w:val="0"/>
        <w:spacing w:before="0" w:beforeAutospacing="0" w:after="150" w:afterAutospacing="0"/>
        <w:ind w:left="0" w:right="0"/>
      </w:pPr>
      <w:r>
        <w:rPr>
          <w:rStyle w:val="8"/>
          <w:rFonts w:hint="eastAsia" w:ascii="宋体" w:hAnsi="宋体" w:eastAsia="宋体" w:cs="宋体"/>
          <w:b/>
          <w:bCs/>
          <w:sz w:val="21"/>
          <w:szCs w:val="21"/>
        </w:rPr>
        <w:t>以上任一项要求负偏离拒绝其投标。</w:t>
      </w:r>
    </w:p>
    <w:p>
      <w:pPr>
        <w:pStyle w:val="5"/>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1、交付地点：福建省泉州市丰泽区东海大街398号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2、交付时间：签订合同后，设备7天内到场，60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3、交付条件：本项目必须是完整的、功能齐全的；并符合国家标准的，符合竞争性谈判文件中的配置要求，最终安装调试完毕，验收合格。</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是。履约保证金百分比：2%。说明：成交人与采购人签订合同前，应按合同总金额的 2 %向采购人提交履约保证金，该保证金在成交人供应的货物全部验收合格，合同约定事项全部履行完毕且无未了事项后，30日内一次性无息退还。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（一）验收标准 按厂家设备验收标准(符合国家或行业或地方标准)、招标文件、投标文件、合同等相关文件执行。验收结果应符合采购人使用要求。 （二）验收程序 （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 （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并完成报销流程后，中标供应商方可从三方共管账户支取款项。</w:t>
            </w:r>
          </w:p>
        </w:tc>
      </w:tr>
    </w:tbl>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1"/>
          <w:szCs w:val="21"/>
        </w:rPr>
        <w:t>8、商务及售 后服 务要求</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8.1投标人对提供的货物或服务，因产品及服务质量、或知识产权纠纷等问题，必须提供保修、包换、包退等服务。</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8.2货物安装调试合格后，投标人负责对采购人技术人员进行免费现场培训，培训内容包括系统的功能、原理、使用与维护等，培训日程视实际情况另定。</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8.3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8.4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8.5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8.6履行所承诺的其他服务条款。</w:t>
      </w:r>
    </w:p>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1"/>
          <w:szCs w:val="21"/>
        </w:rPr>
        <w:t>9、验收要求</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9.1验收标准</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按厂家设备验收标准(符合国家或行业或地方标准)、招标文件、投标文件、合同等相关文件执行。验收结果应符合采购人使用要求。</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9.2验收程序</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 定交货地点。</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1"/>
          <w:szCs w:val="21"/>
        </w:rPr>
        <w:t>10、其他商务要求</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（1）投标人不得虚报各项技术指标，中标产品若不能符合技术要求，采购人有权解除合同，并向政府采购管理部门通报，因此给采购人造成的一切损失，由投标人承担。</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（2）培训：投标人应结合本次采购的货物，有计划地对采购人派出管理、维护及使用人员进行安装现场的基本知识、使用、维护与保养技术的培训。</w:t>
      </w:r>
    </w:p>
    <w:p>
      <w:pPr>
        <w:pStyle w:val="5"/>
        <w:keepNext w:val="0"/>
        <w:keepLines w:val="0"/>
        <w:widowControl/>
        <w:suppressLineNumbers w:val="0"/>
        <w:spacing w:before="0" w:beforeAutospacing="0" w:after="150" w:afterAutospacing="0" w:line="465" w:lineRule="atLeast"/>
        <w:ind w:left="0" w:right="0"/>
      </w:pPr>
      <w:r>
        <w:rPr>
          <w:rStyle w:val="8"/>
          <w:rFonts w:hint="eastAsia" w:ascii="宋体" w:hAnsi="宋体" w:eastAsia="宋体" w:cs="宋体"/>
          <w:b/>
          <w:bCs/>
          <w:sz w:val="21"/>
          <w:szCs w:val="21"/>
        </w:rPr>
        <w:t>11、付款要求</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（1）所有货款均由泉州师范学院支付；</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（2）支付货款时应提供的资料：《泉州师范学院采购申请表》、成交通知书、采购验收单及合同的原件，正式的完税税务发票复印件（均应加盖财务专用章）和政府采购计划表（政府采购系统上打印）。</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（3）付款：在合同签订后，中标供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 应商从三方共管账户支取款项。</w:t>
      </w:r>
    </w:p>
    <w:p>
      <w:pPr>
        <w:pStyle w:val="5"/>
        <w:keepNext w:val="0"/>
        <w:keepLines w:val="0"/>
        <w:widowControl/>
        <w:suppressLineNumbers w:val="0"/>
        <w:spacing w:before="0" w:beforeAutospacing="0" w:after="150" w:afterAutospacing="0" w:line="465" w:lineRule="atLeast"/>
        <w:ind w:left="0" w:right="0" w:firstLine="420"/>
      </w:pPr>
      <w:r>
        <w:rPr>
          <w:rFonts w:hint="eastAsia" w:ascii="宋体" w:hAnsi="宋体" w:eastAsia="宋体" w:cs="宋体"/>
          <w:sz w:val="21"/>
          <w:szCs w:val="21"/>
        </w:rPr>
        <w:t>（4）投标人、收款单位、购货票证开票单位三者应一致，投标人收款帐号应为中国人民银行批准的基本帐户。</w:t>
      </w:r>
    </w:p>
    <w:p>
      <w:pPr>
        <w:pStyle w:val="5"/>
        <w:keepNext w:val="0"/>
        <w:keepLines w:val="0"/>
        <w:widowControl/>
        <w:suppressLineNumbers w:val="0"/>
        <w:spacing w:before="0" w:beforeAutospacing="0" w:after="150" w:afterAutospacing="0" w:line="465" w:lineRule="atLeast"/>
        <w:ind w:left="0" w:right="0"/>
      </w:pPr>
      <w:r>
        <w:rPr>
          <w:rFonts w:hint="default" w:ascii="Calibri" w:hAnsi="Calibri" w:cs="Calibri"/>
          <w:sz w:val="24"/>
          <w:szCs w:val="24"/>
        </w:rPr>
        <w:t> </w:t>
      </w:r>
    </w:p>
    <w:p>
      <w:pPr>
        <w:pStyle w:val="5"/>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（1）凡参与政府采购并依法取得政府采购合同的供 应商，均可使用政府采购合同向福建省政府采购网发布的政府采购合同融资业务信息的银行业金融机构申请融资，可在“政采贷”模块进行具体操作。</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（2）企业申请所需提交的材料可登录“福建省政府采购网”查询。</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8"/>
          <w:rFonts w:hint="eastAsia" w:ascii="宋体" w:hAnsi="宋体" w:eastAsia="宋体" w:cs="宋体"/>
          <w:b/>
          <w:bCs/>
          <w:spacing w:val="0"/>
          <w:sz w:val="24"/>
          <w:szCs w:val="24"/>
        </w:rPr>
        <w:t>第四章  合同主要条款及格式</w:t>
      </w:r>
    </w:p>
    <w:p>
      <w:pPr>
        <w:pStyle w:val="5"/>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1、签订合同应遵守《中华人民共和国政府采购法》、《中华人民共和国民法典》。</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[350500]FJHDCG[TP]2022006</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泉州师范学院体育学院多联式中央空调采购项目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甲方：泉州师范学院乙方：</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住所：泉州市丰泽区东海大街398号住所：</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单位负责人：单位负责人：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委托代理人：0595-22919532委托代理人：</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联系方法：0595-22919532联系方法：</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开户银行：开户银行：</w:t>
      </w:r>
    </w:p>
    <w:p>
      <w:pPr>
        <w:pStyle w:val="5"/>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账号：账号：</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5"/>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第五章  首次响应文件格式</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编制说明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福建省政府采购项目竞争性谈判</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响应文件</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（首次）</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项目名称：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项目编号：               </w:t>
      </w:r>
    </w:p>
    <w:p>
      <w:pPr>
        <w:pStyle w:val="5"/>
        <w:keepNext w:val="0"/>
        <w:keepLines w:val="0"/>
        <w:widowControl/>
        <w:suppressLineNumbers w:val="0"/>
        <w:spacing w:before="75" w:beforeAutospacing="0" w:after="75" w:afterAutospacing="0"/>
        <w:ind w:left="0" w:right="0" w:firstLine="1260"/>
      </w:pPr>
      <w:r>
        <w:rPr>
          <w:rStyle w:val="8"/>
          <w:rFonts w:hint="eastAsia" w:ascii="宋体" w:hAnsi="宋体" w:eastAsia="宋体" w:cs="宋体"/>
          <w:b/>
          <w:bCs/>
          <w:spacing w:val="0"/>
          <w:sz w:val="24"/>
          <w:szCs w:val="24"/>
        </w:rPr>
        <w:t>合同包: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供应商名称 ：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日    期 ：               </w:t>
      </w:r>
    </w:p>
    <w:p>
      <w:pPr>
        <w:pStyle w:val="5"/>
        <w:keepNext w:val="0"/>
        <w:keepLines w:val="0"/>
        <w:widowControl/>
        <w:suppressLineNumbers w:val="0"/>
        <w:spacing w:before="75" w:beforeAutospacing="0" w:after="75" w:afterAutospacing="0"/>
        <w:ind w:left="0" w:right="0" w:firstLine="0"/>
        <w:jc w:val="center"/>
      </w:pPr>
      <w:r>
        <w:rPr>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br w:type="textWrapping"/>
      </w:r>
      <w:r>
        <w:rPr>
          <w:rStyle w:val="8"/>
          <w:rFonts w:hint="eastAsia" w:ascii="宋体" w:hAnsi="宋体" w:eastAsia="宋体" w:cs="宋体"/>
          <w:b/>
          <w:bCs/>
          <w:spacing w:val="0"/>
          <w:sz w:val="24"/>
          <w:szCs w:val="24"/>
        </w:rPr>
        <w:t>目  录</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5"/>
        <w:keepNext w:val="0"/>
        <w:keepLines w:val="0"/>
        <w:widowControl/>
        <w:suppressLineNumbers w:val="0"/>
        <w:spacing w:before="75" w:beforeAutospacing="0" w:after="75" w:afterAutospacing="0" w:line="46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8"/>
          <w:rFonts w:hint="eastAsia" w:ascii="宋体" w:hAnsi="宋体" w:eastAsia="宋体" w:cs="宋体"/>
          <w:b/>
          <w:bCs/>
          <w:spacing w:val="0"/>
          <w:sz w:val="24"/>
          <w:szCs w:val="24"/>
        </w:rPr>
        <w:t>谈判响应声明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8"/>
          <w:rFonts w:hint="eastAsia" w:ascii="宋体" w:hAnsi="宋体" w:eastAsia="宋体" w:cs="宋体"/>
          <w:b/>
          <w:bCs/>
          <w:spacing w:val="0"/>
          <w:sz w:val="36"/>
          <w:szCs w:val="36"/>
        </w:rPr>
        <w:t>   报价一览表</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037"/>
        <w:gridCol w:w="3756"/>
        <w:gridCol w:w="1803"/>
        <w:gridCol w:w="100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shd w:val="clear"/>
            <w:tcMar>
              <w:top w:w="0" w:type="dxa"/>
              <w:left w:w="105" w:type="dxa"/>
              <w:bottom w:w="0" w:type="dxa"/>
              <w:right w:w="105" w:type="dxa"/>
            </w:tcMar>
            <w:vAlign w:val="center"/>
          </w:tcPr>
          <w:p>
            <w:pPr>
              <w:keepNext w:val="0"/>
              <w:keepLines w:val="0"/>
              <w:widowControl/>
              <w:suppressLineNumbers w:val="0"/>
              <w:jc w:val="left"/>
            </w:pPr>
          </w:p>
        </w:tc>
        <w:tc>
          <w:tcPr>
            <w:tcW w:w="1800" w:type="dxa"/>
            <w:shd w:val="clear"/>
            <w:tcMar>
              <w:top w:w="0" w:type="dxa"/>
              <w:left w:w="105" w:type="dxa"/>
              <w:bottom w:w="0" w:type="dxa"/>
              <w:right w:w="105" w:type="dxa"/>
            </w:tcMar>
            <w:vAlign w:val="center"/>
          </w:tcPr>
          <w:p>
            <w:pPr>
              <w:keepNext w:val="0"/>
              <w:keepLines w:val="0"/>
              <w:widowControl/>
              <w:suppressLineNumbers w:val="0"/>
              <w:jc w:val="left"/>
            </w:pPr>
          </w:p>
        </w:tc>
        <w:tc>
          <w:tcPr>
            <w:tcW w:w="1005" w:type="dxa"/>
            <w:shd w:val="clear"/>
            <w:tcMar>
              <w:top w:w="0" w:type="dxa"/>
              <w:left w:w="105" w:type="dxa"/>
              <w:bottom w:w="0" w:type="dxa"/>
              <w:right w:w="105" w:type="dxa"/>
            </w:tcMar>
            <w:vAlign w:val="center"/>
          </w:tcPr>
          <w:p>
            <w:pPr>
              <w:keepNext w:val="0"/>
              <w:keepLines w:val="0"/>
              <w:widowControl/>
              <w:suppressLineNumbers w:val="0"/>
              <w:jc w:val="left"/>
            </w:pPr>
          </w:p>
        </w:tc>
        <w:tc>
          <w:tcPr>
            <w:tcW w:w="117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shd w:val="clear"/>
            <w:tcMar>
              <w:top w:w="0" w:type="dxa"/>
              <w:left w:w="105" w:type="dxa"/>
              <w:bottom w:w="0" w:type="dxa"/>
              <w:right w:w="105" w:type="dxa"/>
            </w:tcMar>
            <w:vAlign w:val="center"/>
          </w:tcPr>
          <w:p>
            <w:pPr>
              <w:keepNext w:val="0"/>
              <w:keepLines w:val="0"/>
              <w:widowControl/>
              <w:suppressLineNumbers w:val="0"/>
              <w:jc w:val="left"/>
            </w:pPr>
          </w:p>
        </w:tc>
        <w:tc>
          <w:tcPr>
            <w:tcW w:w="1800" w:type="dxa"/>
            <w:shd w:val="clear"/>
            <w:tcMar>
              <w:top w:w="0" w:type="dxa"/>
              <w:left w:w="105" w:type="dxa"/>
              <w:bottom w:w="0" w:type="dxa"/>
              <w:right w:w="105" w:type="dxa"/>
            </w:tcMar>
            <w:vAlign w:val="center"/>
          </w:tcPr>
          <w:p>
            <w:pPr>
              <w:keepNext w:val="0"/>
              <w:keepLines w:val="0"/>
              <w:widowControl/>
              <w:suppressLineNumbers w:val="0"/>
              <w:jc w:val="left"/>
            </w:pPr>
          </w:p>
        </w:tc>
        <w:tc>
          <w:tcPr>
            <w:tcW w:w="1005" w:type="dxa"/>
            <w:shd w:val="clear"/>
            <w:tcMar>
              <w:top w:w="0" w:type="dxa"/>
              <w:left w:w="105" w:type="dxa"/>
              <w:bottom w:w="0" w:type="dxa"/>
              <w:right w:w="105" w:type="dxa"/>
            </w:tcMar>
            <w:vAlign w:val="center"/>
          </w:tcPr>
          <w:p>
            <w:pPr>
              <w:keepNext w:val="0"/>
              <w:keepLines w:val="0"/>
              <w:widowControl/>
              <w:suppressLineNumbers w:val="0"/>
              <w:jc w:val="left"/>
            </w:pPr>
          </w:p>
        </w:tc>
        <w:tc>
          <w:tcPr>
            <w:tcW w:w="117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shd w:val="clear"/>
            <w:tcMar>
              <w:top w:w="0" w:type="dxa"/>
              <w:left w:w="105" w:type="dxa"/>
              <w:bottom w:w="0" w:type="dxa"/>
              <w:right w:w="105" w:type="dxa"/>
            </w:tcMar>
            <w:vAlign w:val="center"/>
          </w:tcPr>
          <w:p>
            <w:pPr>
              <w:keepNext w:val="0"/>
              <w:keepLines w:val="0"/>
              <w:widowControl/>
              <w:suppressLineNumbers w:val="0"/>
              <w:jc w:val="left"/>
            </w:pPr>
          </w:p>
        </w:tc>
        <w:tc>
          <w:tcPr>
            <w:tcW w:w="1800" w:type="dxa"/>
            <w:shd w:val="clear"/>
            <w:tcMar>
              <w:top w:w="0" w:type="dxa"/>
              <w:left w:w="105" w:type="dxa"/>
              <w:bottom w:w="0" w:type="dxa"/>
              <w:right w:w="105" w:type="dxa"/>
            </w:tcMar>
            <w:vAlign w:val="center"/>
          </w:tcPr>
          <w:p>
            <w:pPr>
              <w:keepNext w:val="0"/>
              <w:keepLines w:val="0"/>
              <w:widowControl/>
              <w:suppressLineNumbers w:val="0"/>
              <w:jc w:val="left"/>
            </w:pPr>
          </w:p>
        </w:tc>
        <w:tc>
          <w:tcPr>
            <w:tcW w:w="1005" w:type="dxa"/>
            <w:shd w:val="clear"/>
            <w:tcMar>
              <w:top w:w="0" w:type="dxa"/>
              <w:left w:w="105" w:type="dxa"/>
              <w:bottom w:w="0" w:type="dxa"/>
              <w:right w:w="105" w:type="dxa"/>
            </w:tcMar>
            <w:vAlign w:val="center"/>
          </w:tcPr>
          <w:p>
            <w:pPr>
              <w:keepNext w:val="0"/>
              <w:keepLines w:val="0"/>
              <w:widowControl/>
              <w:suppressLineNumbers w:val="0"/>
              <w:jc w:val="left"/>
            </w:pPr>
          </w:p>
        </w:tc>
        <w:tc>
          <w:tcPr>
            <w:tcW w:w="117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shd w:val="clear"/>
            <w:tcMar>
              <w:top w:w="0" w:type="dxa"/>
              <w:left w:w="105" w:type="dxa"/>
              <w:bottom w:w="0" w:type="dxa"/>
              <w:right w:w="105" w:type="dxa"/>
            </w:tcMar>
            <w:vAlign w:val="center"/>
          </w:tcPr>
          <w:p>
            <w:pPr>
              <w:keepNext w:val="0"/>
              <w:keepLines w:val="0"/>
              <w:widowControl/>
              <w:suppressLineNumbers w:val="0"/>
              <w:jc w:val="left"/>
            </w:pPr>
          </w:p>
        </w:tc>
        <w:tc>
          <w:tcPr>
            <w:tcW w:w="1800" w:type="dxa"/>
            <w:shd w:val="clear"/>
            <w:tcMar>
              <w:top w:w="0" w:type="dxa"/>
              <w:left w:w="105" w:type="dxa"/>
              <w:bottom w:w="0" w:type="dxa"/>
              <w:right w:w="105" w:type="dxa"/>
            </w:tcMar>
            <w:vAlign w:val="center"/>
          </w:tcPr>
          <w:p>
            <w:pPr>
              <w:keepNext w:val="0"/>
              <w:keepLines w:val="0"/>
              <w:widowControl/>
              <w:suppressLineNumbers w:val="0"/>
              <w:jc w:val="left"/>
            </w:pPr>
          </w:p>
        </w:tc>
        <w:tc>
          <w:tcPr>
            <w:tcW w:w="1005" w:type="dxa"/>
            <w:shd w:val="clear"/>
            <w:tcMar>
              <w:top w:w="0" w:type="dxa"/>
              <w:left w:w="105" w:type="dxa"/>
              <w:bottom w:w="0" w:type="dxa"/>
              <w:right w:w="105" w:type="dxa"/>
            </w:tcMar>
            <w:vAlign w:val="center"/>
          </w:tcPr>
          <w:p>
            <w:pPr>
              <w:keepNext w:val="0"/>
              <w:keepLines w:val="0"/>
              <w:widowControl/>
              <w:suppressLineNumbers w:val="0"/>
              <w:jc w:val="left"/>
            </w:pPr>
          </w:p>
        </w:tc>
        <w:tc>
          <w:tcPr>
            <w:tcW w:w="117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03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shd w:val="clear"/>
            <w:tcMar>
              <w:top w:w="0" w:type="dxa"/>
              <w:left w:w="105" w:type="dxa"/>
              <w:bottom w:w="0" w:type="dxa"/>
              <w:right w:w="105" w:type="dxa"/>
            </w:tcMar>
            <w:vAlign w:val="center"/>
          </w:tcPr>
          <w:p>
            <w:pPr>
              <w:keepNext w:val="0"/>
              <w:keepLines w:val="0"/>
              <w:widowControl/>
              <w:suppressLineNumbers w:val="0"/>
              <w:jc w:val="left"/>
            </w:pPr>
          </w:p>
        </w:tc>
        <w:tc>
          <w:tcPr>
            <w:tcW w:w="1800" w:type="dxa"/>
            <w:shd w:val="clear"/>
            <w:tcMar>
              <w:top w:w="0" w:type="dxa"/>
              <w:left w:w="105" w:type="dxa"/>
              <w:bottom w:w="0" w:type="dxa"/>
              <w:right w:w="105" w:type="dxa"/>
            </w:tcMar>
            <w:vAlign w:val="center"/>
          </w:tcPr>
          <w:p>
            <w:pPr>
              <w:keepNext w:val="0"/>
              <w:keepLines w:val="0"/>
              <w:widowControl/>
              <w:suppressLineNumbers w:val="0"/>
              <w:jc w:val="left"/>
            </w:pPr>
          </w:p>
        </w:tc>
        <w:tc>
          <w:tcPr>
            <w:tcW w:w="1005" w:type="dxa"/>
            <w:shd w:val="clear"/>
            <w:tcMar>
              <w:top w:w="0" w:type="dxa"/>
              <w:left w:w="105" w:type="dxa"/>
              <w:bottom w:w="0" w:type="dxa"/>
              <w:right w:w="105" w:type="dxa"/>
            </w:tcMar>
            <w:vAlign w:val="center"/>
          </w:tcPr>
          <w:p>
            <w:pPr>
              <w:keepNext w:val="0"/>
              <w:keepLines w:val="0"/>
              <w:widowControl/>
              <w:suppressLineNumbers w:val="0"/>
              <w:jc w:val="left"/>
            </w:pPr>
          </w:p>
        </w:tc>
        <w:tc>
          <w:tcPr>
            <w:tcW w:w="1170" w:type="dxa"/>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8"/>
          <w:rFonts w:hint="eastAsia" w:ascii="宋体" w:hAnsi="宋体" w:eastAsia="宋体" w:cs="宋体"/>
          <w:b/>
          <w:bCs/>
          <w:spacing w:val="0"/>
          <w:sz w:val="36"/>
          <w:szCs w:val="36"/>
        </w:rPr>
        <w:t>详细报价书</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w:t>
      </w:r>
    </w:p>
    <w:p>
      <w:pPr>
        <w:pStyle w:val="5"/>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5"/>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8"/>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8"/>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8"/>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375" w:lineRule="atLeast"/>
        <w:ind w:left="0" w:right="0" w:firstLine="0"/>
        <w:jc w:val="both"/>
      </w:pPr>
      <w:r>
        <w:rPr>
          <w:rStyle w:val="8"/>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64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《中华人民共和国政府采购法》第二十二条对供应商的要求</w:t>
            </w:r>
          </w:p>
        </w:tc>
        <w:tc>
          <w:tcPr>
            <w:tcW w:w="28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谈判文件对合格供应商的一般规定</w:t>
            </w:r>
          </w:p>
        </w:tc>
        <w:tc>
          <w:tcPr>
            <w:tcW w:w="288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Style w:val="8"/>
                <w:rFonts w:hint="eastAsia" w:ascii="宋体" w:hAnsi="宋体" w:eastAsia="宋体" w:cs="宋体"/>
                <w:b/>
                <w:bCs/>
                <w:spacing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56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8"/>
          <w:rFonts w:hint="eastAsia" w:ascii="宋体" w:hAnsi="宋体" w:eastAsia="宋体" w:cs="宋体"/>
          <w:b/>
          <w:bCs/>
          <w:spacing w:val="0"/>
          <w:sz w:val="24"/>
          <w:szCs w:val="24"/>
        </w:rPr>
        <w:t>单位负责人授权书</w:t>
      </w: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5"/>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60" w:lineRule="atLeast"/>
        <w:ind w:left="0" w:right="0" w:firstLine="0"/>
        <w:jc w:val="right"/>
      </w:pPr>
    </w:p>
    <w:p>
      <w:pPr>
        <w:pStyle w:val="5"/>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645" w:hRule="atLeast"/>
        </w:trPr>
        <w:tc>
          <w:tcPr>
            <w:tcW w:w="856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要求：真实、有效、清晰</w:t>
            </w:r>
          </w:p>
          <w:p>
            <w:pPr>
              <w:pStyle w:val="5"/>
              <w:keepNext w:val="0"/>
              <w:keepLines w:val="0"/>
              <w:widowControl/>
              <w:suppressLineNumbers w:val="0"/>
              <w:spacing w:before="0" w:beforeAutospacing="0" w:after="0" w:afterAutospacing="0" w:line="405" w:lineRule="atLeast"/>
              <w:ind w:left="0" w:right="0"/>
              <w:jc w:val="center"/>
            </w:pPr>
            <w:r>
              <w:rPr>
                <w:rStyle w:val="8"/>
                <w:rFonts w:hint="eastAsia" w:ascii="宋体" w:hAnsi="宋体" w:eastAsia="宋体" w:cs="宋体"/>
                <w:b/>
                <w:bCs/>
                <w:spacing w:val="0"/>
                <w:sz w:val="24"/>
                <w:szCs w:val="24"/>
              </w:rPr>
              <w:t> </w:t>
            </w:r>
          </w:p>
        </w:tc>
      </w:tr>
    </w:tbl>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8"/>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8"/>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8"/>
          <w:rFonts w:hint="eastAsia" w:ascii="宋体" w:hAnsi="宋体" w:eastAsia="宋体" w:cs="宋体"/>
          <w:b/>
          <w:bCs/>
          <w:spacing w:val="0"/>
          <w:sz w:val="24"/>
          <w:szCs w:val="24"/>
        </w:rPr>
        <w:t>       营业执照等证明文件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8"/>
          <w:rFonts w:hint="eastAsia" w:ascii="宋体" w:hAnsi="宋体" w:eastAsia="宋体" w:cs="宋体"/>
          <w:b/>
          <w:bCs/>
          <w:spacing w:val="0"/>
          <w:sz w:val="24"/>
          <w:szCs w:val="24"/>
        </w:rPr>
        <w:t>财务状况报告</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1"/>
          <w:szCs w:val="21"/>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8"/>
          <w:rFonts w:hint="eastAsia" w:ascii="宋体" w:hAnsi="宋体" w:eastAsia="宋体" w:cs="宋体"/>
          <w:b/>
          <w:bCs/>
          <w:spacing w:val="0"/>
          <w:sz w:val="24"/>
          <w:szCs w:val="24"/>
        </w:rPr>
        <w:t>依法缴纳税收证明材料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1、依法缴纳税收的供应商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Style w:val="8"/>
          <w:rFonts w:hint="eastAsia" w:ascii="宋体" w:hAnsi="宋体" w:eastAsia="宋体" w:cs="宋体"/>
          <w:b/>
          <w:bCs/>
          <w:spacing w:val="0"/>
          <w:sz w:val="24"/>
          <w:szCs w:val="24"/>
        </w:rPr>
        <w:t>2、依法免税的供应商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8"/>
          <w:rFonts w:hint="eastAsia" w:ascii="宋体" w:hAnsi="宋体" w:eastAsia="宋体" w:cs="宋体"/>
          <w:b/>
          <w:bCs/>
          <w:spacing w:val="0"/>
          <w:sz w:val="24"/>
          <w:szCs w:val="24"/>
        </w:rPr>
        <w:t>依法缴纳社会保障资金证明材料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1、依法缴纳社会保障资金的供应商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5"/>
        <w:keepNext w:val="0"/>
        <w:keepLines w:val="0"/>
        <w:widowControl/>
        <w:suppressLineNumbers w:val="0"/>
        <w:spacing w:before="75" w:beforeAutospacing="0" w:after="75" w:afterAutospacing="0"/>
        <w:ind w:left="0" w:right="0" w:firstLine="480"/>
      </w:pPr>
      <w:r>
        <w:rPr>
          <w:rStyle w:val="8"/>
          <w:rFonts w:hint="eastAsia" w:ascii="宋体" w:hAnsi="宋体" w:eastAsia="宋体" w:cs="宋体"/>
          <w:b/>
          <w:bCs/>
          <w:spacing w:val="0"/>
          <w:sz w:val="24"/>
          <w:szCs w:val="24"/>
        </w:rPr>
        <w:t>2、依法不需要缴纳社会保障资金的供应商</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8"/>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8"/>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8"/>
          <w:rFonts w:hint="eastAsia" w:ascii="宋体" w:hAnsi="宋体" w:eastAsia="宋体" w:cs="宋体"/>
          <w:b/>
          <w:bCs/>
          <w:spacing w:val="0"/>
          <w:sz w:val="24"/>
          <w:szCs w:val="24"/>
        </w:rPr>
        <w:t>具备履行合同所必需设备和专业技术能力证明材料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声明函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8"/>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8"/>
          <w:rFonts w:hint="eastAsia" w:ascii="宋体" w:hAnsi="宋体" w:eastAsia="宋体" w:cs="宋体"/>
          <w:b/>
          <w:bCs/>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8"/>
          <w:rFonts w:hint="eastAsia" w:ascii="宋体" w:hAnsi="宋体" w:eastAsia="宋体" w:cs="宋体"/>
          <w:b/>
          <w:bCs/>
          <w:spacing w:val="0"/>
          <w:sz w:val="24"/>
          <w:szCs w:val="24"/>
        </w:rPr>
        <w:t>参加采购活动前三年内在经营活动中</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1935"/>
      </w:pPr>
      <w:r>
        <w:rPr>
          <w:rStyle w:val="8"/>
          <w:rFonts w:hint="eastAsia" w:ascii="宋体" w:hAnsi="宋体" w:eastAsia="宋体" w:cs="宋体"/>
          <w:b/>
          <w:bCs/>
          <w:spacing w:val="0"/>
          <w:sz w:val="24"/>
          <w:szCs w:val="24"/>
        </w:rPr>
        <w:t>没有重大违法记录书面声明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8"/>
          <w:rFonts w:hint="eastAsia" w:ascii="宋体" w:hAnsi="宋体" w:eastAsia="宋体" w:cs="宋体"/>
          <w:b/>
          <w:bCs/>
          <w:spacing w:val="0"/>
          <w:sz w:val="24"/>
          <w:szCs w:val="24"/>
        </w:rPr>
        <w:t>信用记录查询结果</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8"/>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8"/>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8"/>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Style w:val="8"/>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8"/>
          <w:rFonts w:hint="eastAsia" w:ascii="宋体" w:hAnsi="宋体" w:eastAsia="宋体" w:cs="宋体"/>
          <w:b/>
          <w:bCs/>
          <w:spacing w:val="0"/>
          <w:sz w:val="24"/>
          <w:szCs w:val="24"/>
        </w:rPr>
        <w:t>检察机关行贿犯罪档案查询结果告知函（如果需要）</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8"/>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8"/>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5"/>
        <w:keepNext w:val="0"/>
        <w:keepLines w:val="0"/>
        <w:widowControl/>
        <w:suppressLineNumbers w:val="0"/>
        <w:spacing w:before="75" w:beforeAutospacing="0" w:after="75" w:afterAutospacing="0" w:line="435" w:lineRule="atLeast"/>
        <w:ind w:left="0" w:right="0" w:firstLine="0"/>
      </w:pP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8"/>
          <w:rFonts w:hint="eastAsia" w:ascii="宋体" w:hAnsi="宋体" w:eastAsia="宋体" w:cs="宋体"/>
          <w:b/>
          <w:bCs/>
          <w:spacing w:val="0"/>
          <w:sz w:val="24"/>
          <w:szCs w:val="24"/>
        </w:rPr>
        <w:t>  联合体协议</w:t>
      </w:r>
    </w:p>
    <w:p>
      <w:pPr>
        <w:pStyle w:val="5"/>
        <w:keepNext w:val="0"/>
        <w:keepLines w:val="0"/>
        <w:widowControl/>
        <w:suppressLineNumbers w:val="0"/>
        <w:spacing w:before="75" w:beforeAutospacing="0" w:after="75" w:afterAutospacing="0" w:line="435" w:lineRule="atLeast"/>
        <w:ind w:left="0" w:right="0" w:firstLine="0"/>
        <w:jc w:val="center"/>
      </w:pPr>
      <w:r>
        <w:rPr>
          <w:rStyle w:val="8"/>
          <w:rFonts w:hint="eastAsia" w:ascii="宋体" w:hAnsi="宋体" w:eastAsia="宋体" w:cs="宋体"/>
          <w:b/>
          <w:bCs/>
          <w:spacing w:val="0"/>
          <w:sz w:val="24"/>
          <w:szCs w:val="24"/>
        </w:rPr>
        <w:t>（接受联合体的项目使用）</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5"/>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5"/>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5"/>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8"/>
          <w:rFonts w:hint="eastAsia" w:ascii="宋体" w:hAnsi="宋体" w:eastAsia="宋体" w:cs="宋体"/>
          <w:b/>
          <w:bCs/>
          <w:spacing w:val="0"/>
          <w:sz w:val="24"/>
          <w:szCs w:val="24"/>
        </w:rPr>
        <w:t>其它资格证明文件</w:t>
      </w:r>
    </w:p>
    <w:p>
      <w:pPr>
        <w:pStyle w:val="5"/>
        <w:keepNext w:val="0"/>
        <w:keepLines w:val="0"/>
        <w:widowControl/>
        <w:suppressLineNumbers w:val="0"/>
        <w:spacing w:before="75" w:beforeAutospacing="0" w:after="75" w:afterAutospacing="0" w:line="420" w:lineRule="atLeast"/>
        <w:ind w:left="0" w:right="0" w:firstLine="0"/>
        <w:jc w:val="center"/>
      </w:pPr>
      <w:r>
        <w:rPr>
          <w:rStyle w:val="8"/>
          <w:rFonts w:hint="eastAsia" w:ascii="宋体" w:hAnsi="宋体" w:eastAsia="宋体" w:cs="宋体"/>
          <w:b/>
          <w:bCs/>
          <w:spacing w:val="0"/>
          <w:sz w:val="24"/>
          <w:szCs w:val="24"/>
        </w:rPr>
        <w:t>（如果有的话）</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48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8"/>
          <w:rFonts w:hint="eastAsia" w:ascii="宋体" w:hAnsi="宋体" w:eastAsia="宋体" w:cs="宋体"/>
          <w:b/>
          <w:bCs/>
          <w:spacing w:val="0"/>
          <w:sz w:val="24"/>
          <w:szCs w:val="24"/>
        </w:rPr>
        <w:t>谈判保证金凭证</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8"/>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8"/>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90"/>
        <w:gridCol w:w="1410"/>
        <w:gridCol w:w="2370"/>
        <w:gridCol w:w="205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45" w:hRule="atLeast"/>
        </w:trPr>
        <w:tc>
          <w:tcPr>
            <w:tcW w:w="6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55" w:type="dxa"/>
            <w:shd w:val="clear"/>
            <w:tcMar>
              <w:top w:w="0" w:type="dxa"/>
              <w:left w:w="105" w:type="dxa"/>
              <w:bottom w:w="0" w:type="dxa"/>
              <w:right w:w="105" w:type="dxa"/>
            </w:tcMar>
            <w:vAlign w:val="center"/>
          </w:tcPr>
          <w:p>
            <w:pPr>
              <w:keepNext w:val="0"/>
              <w:keepLines w:val="0"/>
              <w:widowControl/>
              <w:suppressLineNumbers w:val="0"/>
              <w:jc w:val="left"/>
            </w:pPr>
          </w:p>
        </w:tc>
        <w:tc>
          <w:tcPr>
            <w:tcW w:w="1200" w:type="dxa"/>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8"/>
          <w:rFonts w:hint="eastAsia" w:ascii="宋体" w:hAnsi="宋体" w:eastAsia="宋体" w:cs="宋体"/>
          <w:b/>
          <w:bCs/>
          <w:spacing w:val="0"/>
          <w:sz w:val="24"/>
          <w:szCs w:val="24"/>
        </w:rPr>
        <w:t> 商务条件和其它事项响应表 </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90"/>
        <w:gridCol w:w="1410"/>
        <w:gridCol w:w="2370"/>
        <w:gridCol w:w="207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rPr>
        <w:tc>
          <w:tcPr>
            <w:tcW w:w="69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540" w:hRule="atLeast"/>
        </w:trPr>
        <w:tc>
          <w:tcPr>
            <w:tcW w:w="690" w:type="dxa"/>
            <w:shd w:val="clear"/>
            <w:tcMar>
              <w:top w:w="0" w:type="dxa"/>
              <w:left w:w="105" w:type="dxa"/>
              <w:bottom w:w="0" w:type="dxa"/>
              <w:right w:w="105" w:type="dxa"/>
            </w:tcMar>
            <w:vAlign w:val="center"/>
          </w:tcPr>
          <w:p>
            <w:pPr>
              <w:keepNext w:val="0"/>
              <w:keepLines w:val="0"/>
              <w:widowControl/>
              <w:suppressLineNumbers w:val="0"/>
              <w:jc w:val="left"/>
            </w:pPr>
          </w:p>
        </w:tc>
        <w:tc>
          <w:tcPr>
            <w:tcW w:w="1410" w:type="dxa"/>
            <w:shd w:val="clear"/>
            <w:tcMar>
              <w:top w:w="0" w:type="dxa"/>
              <w:left w:w="105" w:type="dxa"/>
              <w:bottom w:w="0" w:type="dxa"/>
              <w:right w:w="105" w:type="dxa"/>
            </w:tcMar>
            <w:vAlign w:val="center"/>
          </w:tcPr>
          <w:p>
            <w:pPr>
              <w:keepNext w:val="0"/>
              <w:keepLines w:val="0"/>
              <w:widowControl/>
              <w:suppressLineNumbers w:val="0"/>
              <w:jc w:val="left"/>
            </w:pPr>
          </w:p>
        </w:tc>
        <w:tc>
          <w:tcPr>
            <w:tcW w:w="2370" w:type="dxa"/>
            <w:shd w:val="clear"/>
            <w:tcMar>
              <w:top w:w="0" w:type="dxa"/>
              <w:left w:w="105" w:type="dxa"/>
              <w:bottom w:w="0" w:type="dxa"/>
              <w:right w:w="105" w:type="dxa"/>
            </w:tcMar>
            <w:vAlign w:val="center"/>
          </w:tcPr>
          <w:p>
            <w:pPr>
              <w:keepNext w:val="0"/>
              <w:keepLines w:val="0"/>
              <w:widowControl/>
              <w:suppressLineNumbers w:val="0"/>
              <w:jc w:val="left"/>
            </w:pPr>
          </w:p>
        </w:tc>
        <w:tc>
          <w:tcPr>
            <w:tcW w:w="2070" w:type="dxa"/>
            <w:shd w:val="clear"/>
            <w:tcMar>
              <w:top w:w="0" w:type="dxa"/>
              <w:left w:w="105" w:type="dxa"/>
              <w:bottom w:w="0" w:type="dxa"/>
              <w:right w:w="105" w:type="dxa"/>
            </w:tcMar>
            <w:vAlign w:val="center"/>
          </w:tcPr>
          <w:p>
            <w:pPr>
              <w:keepNext w:val="0"/>
              <w:keepLines w:val="0"/>
              <w:widowControl/>
              <w:suppressLineNumbers w:val="0"/>
              <w:jc w:val="left"/>
            </w:pPr>
          </w:p>
        </w:tc>
        <w:tc>
          <w:tcPr>
            <w:tcW w:w="1140" w:type="dxa"/>
            <w:shd w:val="clear"/>
            <w:tcMar>
              <w:top w:w="0" w:type="dxa"/>
              <w:left w:w="105" w:type="dxa"/>
              <w:bottom w:w="0" w:type="dxa"/>
              <w:right w:w="105" w:type="dxa"/>
            </w:tcMar>
            <w:vAlign w:val="center"/>
          </w:tcPr>
          <w:p>
            <w:pPr>
              <w:keepNext w:val="0"/>
              <w:keepLines w:val="0"/>
              <w:widowControl/>
              <w:suppressLineNumbers w:val="0"/>
              <w:jc w:val="left"/>
            </w:pPr>
          </w:p>
        </w:tc>
      </w:tr>
    </w:tbl>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5"/>
        <w:keepNext w:val="0"/>
        <w:keepLines w:val="0"/>
        <w:widowControl/>
        <w:suppressLineNumbers w:val="0"/>
        <w:spacing w:before="75" w:beforeAutospacing="0" w:after="75" w:afterAutospacing="0" w:line="375" w:lineRule="atLeast"/>
        <w:ind w:left="0" w:right="0" w:firstLine="0"/>
      </w:pPr>
      <w:r>
        <w:rPr>
          <w:rStyle w:val="8"/>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5"/>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8"/>
          <w:rFonts w:hint="eastAsia" w:ascii="宋体" w:hAnsi="宋体" w:eastAsia="宋体" w:cs="宋体"/>
          <w:b/>
          <w:bCs/>
          <w:spacing w:val="0"/>
          <w:sz w:val="24"/>
          <w:szCs w:val="24"/>
        </w:rPr>
        <w:t>  相关技术、商务、服务响应承诺及资料</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说明：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95" w:lineRule="atLeast"/>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5"/>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8"/>
          <w:rFonts w:hint="eastAsia" w:ascii="宋体" w:hAnsi="宋体" w:eastAsia="宋体" w:cs="宋体"/>
          <w:b/>
          <w:bCs/>
          <w:spacing w:val="0"/>
          <w:sz w:val="24"/>
          <w:szCs w:val="24"/>
        </w:rPr>
        <w:t>供应商提交符合政府采购政策的证明材料</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8"/>
          <w:rFonts w:hint="eastAsia" w:ascii="宋体" w:hAnsi="宋体" w:eastAsia="宋体" w:cs="宋体"/>
          <w:b/>
          <w:bCs/>
          <w:spacing w:val="0"/>
          <w:sz w:val="24"/>
          <w:szCs w:val="24"/>
        </w:rPr>
        <w:t>中小企业声明函（如果有的话）</w:t>
      </w:r>
    </w:p>
    <w:p>
      <w:pPr>
        <w:pStyle w:val="5"/>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5"/>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5"/>
        <w:keepNext w:val="0"/>
        <w:keepLines w:val="0"/>
        <w:widowControl/>
        <w:suppressLineNumbers w:val="0"/>
        <w:spacing w:before="75" w:beforeAutospacing="0" w:after="75" w:afterAutospacing="0" w:line="315" w:lineRule="atLeast"/>
        <w:ind w:left="0" w:right="0" w:firstLine="480"/>
        <w:jc w:val="both"/>
      </w:pP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5"/>
        <w:keepNext w:val="0"/>
        <w:keepLines w:val="0"/>
        <w:widowControl/>
        <w:suppressLineNumbers w:val="0"/>
        <w:spacing w:before="75" w:beforeAutospacing="0" w:after="75" w:afterAutospacing="0"/>
        <w:ind w:left="0" w:right="0" w:firstLine="0"/>
        <w:jc w:val="center"/>
      </w:pPr>
      <w:r>
        <w:rPr>
          <w:rStyle w:val="8"/>
          <w:rFonts w:hint="eastAsia" w:ascii="宋体" w:hAnsi="宋体" w:eastAsia="宋体" w:cs="宋体"/>
          <w:b/>
          <w:bCs/>
          <w:spacing w:val="0"/>
          <w:sz w:val="24"/>
          <w:szCs w:val="24"/>
        </w:rPr>
        <w:t>残疾人福利性单位声明函（如果有的话）</w:t>
      </w:r>
    </w:p>
    <w:p>
      <w:pPr>
        <w:pStyle w:val="5"/>
        <w:keepNext w:val="0"/>
        <w:keepLines w:val="0"/>
        <w:widowControl/>
        <w:suppressLineNumbers w:val="0"/>
        <w:spacing w:before="75" w:beforeAutospacing="0" w:after="75" w:afterAutospacing="0"/>
        <w:ind w:left="0" w:right="0" w:firstLine="0"/>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0"/>
        <w:jc w:val="both"/>
      </w:pPr>
      <w:r>
        <w:rPr>
          <w:rStyle w:val="8"/>
          <w:rFonts w:hint="eastAsia" w:ascii="宋体" w:hAnsi="宋体" w:eastAsia="宋体" w:cs="宋体"/>
          <w:b/>
          <w:bCs/>
          <w:spacing w:val="0"/>
          <w:sz w:val="24"/>
          <w:szCs w:val="24"/>
        </w:rPr>
        <w:t> </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5"/>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5"/>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5"/>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5"/>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5"/>
        <w:keepNext w:val="0"/>
        <w:keepLines w:val="0"/>
        <w:widowControl/>
        <w:suppressLineNumbers w:val="0"/>
        <w:spacing w:before="75" w:beforeAutospacing="0" w:after="75" w:afterAutospacing="0" w:line="435" w:lineRule="atLeast"/>
        <w:ind w:left="0" w:right="0" w:firstLine="420"/>
        <w:jc w:val="both"/>
      </w:pP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8"/>
          <w:rFonts w:hint="eastAsia" w:ascii="宋体" w:hAnsi="宋体" w:eastAsia="宋体" w:cs="宋体"/>
          <w:b/>
          <w:bCs/>
          <w:spacing w:val="0"/>
          <w:sz w:val="24"/>
          <w:szCs w:val="24"/>
        </w:rPr>
        <w:t>优先类节能产品、环境标志产品价格扣除证明材料（如果有的话）</w:t>
      </w:r>
    </w:p>
    <w:p>
      <w:pPr>
        <w:pStyle w:val="5"/>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215" w:type="dxa"/>
            <w:shd w:val="clear"/>
            <w:tcMar>
              <w:top w:w="0" w:type="dxa"/>
              <w:left w:w="105" w:type="dxa"/>
              <w:bottom w:w="0" w:type="dxa"/>
              <w:right w:w="105" w:type="dxa"/>
            </w:tcMar>
            <w:vAlign w:val="center"/>
          </w:tcPr>
          <w:p>
            <w:pPr>
              <w:keepNext w:val="0"/>
              <w:keepLines w:val="0"/>
              <w:widowControl/>
              <w:suppressLineNumbers w:val="0"/>
              <w:jc w:val="left"/>
            </w:pPr>
            <w:bookmarkStart w:id="0" w:name="_GoBack"/>
          </w:p>
        </w:tc>
        <w:tc>
          <w:tcPr>
            <w:tcW w:w="7305" w:type="dxa"/>
            <w:gridSpan w:val="6"/>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15" w:type="dxa"/>
            <w:vMerge w:val="restart"/>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3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215" w:type="dxa"/>
            <w:vMerge w:val="continue"/>
            <w:shd w:val="clear"/>
            <w:tcMar>
              <w:top w:w="0" w:type="dxa"/>
              <w:left w:w="105" w:type="dxa"/>
              <w:bottom w:w="0" w:type="dxa"/>
              <w:right w:w="105" w:type="dxa"/>
            </w:tcMar>
            <w:vAlign w:val="center"/>
          </w:tcPr>
          <w:p>
            <w:pPr>
              <w:rPr>
                <w:rFonts w:hint="eastAsia" w:ascii="宋体"/>
                <w:sz w:val="24"/>
                <w:szCs w:val="24"/>
              </w:rPr>
            </w:pPr>
          </w:p>
        </w:tc>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15" w:type="dxa"/>
            <w:shd w:val="clear"/>
            <w:tcMar>
              <w:top w:w="0" w:type="dxa"/>
              <w:left w:w="105" w:type="dxa"/>
              <w:bottom w:w="0" w:type="dxa"/>
              <w:right w:w="105" w:type="dxa"/>
            </w:tcMar>
            <w:vAlign w:val="center"/>
          </w:tcPr>
          <w:p>
            <w:pPr>
              <w:keepNext w:val="0"/>
              <w:keepLines w:val="0"/>
              <w:widowControl/>
              <w:suppressLineNumbers w:val="0"/>
              <w:jc w:val="left"/>
            </w:pPr>
          </w:p>
        </w:tc>
        <w:tc>
          <w:tcPr>
            <w:tcW w:w="1230" w:type="dxa"/>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1215" w:type="dxa"/>
            <w:shd w:val="clear"/>
            <w:tcMar>
              <w:top w:w="0" w:type="dxa"/>
              <w:left w:w="105" w:type="dxa"/>
              <w:bottom w:w="0" w:type="dxa"/>
              <w:right w:w="105" w:type="dxa"/>
            </w:tcMar>
            <w:vAlign w:val="center"/>
          </w:tcPr>
          <w:p>
            <w:pPr>
              <w:pStyle w:val="5"/>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shd w:val="clear"/>
            <w:tcMar>
              <w:top w:w="0" w:type="dxa"/>
              <w:left w:w="105" w:type="dxa"/>
              <w:bottom w:w="0" w:type="dxa"/>
              <w:right w:w="105" w:type="dxa"/>
            </w:tcMar>
            <w:vAlign w:val="top"/>
          </w:tcPr>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5"/>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bookmarkEnd w:id="0"/>
    </w:tbl>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5"/>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1"/>
          <w:szCs w:val="21"/>
        </w:rPr>
        <w:sectPr>
          <w:headerReference r:id="rId3" w:type="default"/>
          <w:footerReference r:id="rId4" w:type="default"/>
          <w:pgSz w:w="11906" w:h="16838"/>
          <w:pgMar w:top="1440" w:right="1800" w:bottom="1440" w:left="1800" w:header="851" w:footer="992" w:gutter="0"/>
          <w:pgNumType w:fmt="decimal" w:start="0"/>
          <w:cols w:space="425" w:num="1"/>
          <w:docGrid w:type="lines" w:linePitch="312" w:charSpace="0"/>
        </w:sectPr>
      </w:pP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5"/>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5"/>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8"/>
          <w:rFonts w:hint="eastAsia" w:ascii="宋体" w:hAnsi="宋体" w:eastAsia="宋体" w:cs="宋体"/>
          <w:b/>
          <w:bCs/>
          <w:spacing w:val="0"/>
          <w:sz w:val="24"/>
          <w:szCs w:val="24"/>
        </w:rPr>
        <w:t>要求作为响应文件组成部分的其他内容（若有）</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5"/>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5"/>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5"/>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5"/>
        <w:keepNext w:val="0"/>
        <w:keepLines w:val="0"/>
        <w:widowControl/>
        <w:suppressLineNumbers w:val="0"/>
        <w:spacing w:before="75" w:beforeAutospacing="0" w:after="75" w:afterAutospacing="0"/>
        <w:ind w:left="0" w:right="0" w:firstLine="0"/>
      </w:pPr>
      <w:r>
        <w:rPr>
          <w:spacing w:val="0"/>
          <w:sz w:val="24"/>
          <w:szCs w:val="24"/>
        </w:rPr>
        <w:t> </w:t>
      </w:r>
    </w:p>
    <w:p>
      <w:pPr>
        <w:pStyle w:val="5"/>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pPr>
      <w:r>
        <w:rPr>
          <w:rFonts w:hint="default" w:ascii="Helvetica" w:hAnsi="Helvetica" w:eastAsia="Helvetica" w:cs="Helvetica"/>
          <w:b w:val="0"/>
          <w:bCs w:val="0"/>
          <w:i w:val="0"/>
          <w:iCs w:val="0"/>
          <w:caps w:val="0"/>
          <w:color w:val="393939"/>
          <w:spacing w:val="0"/>
          <w:sz w:val="33"/>
          <w:szCs w:val="33"/>
          <w:shd w:val="clear" w:fill="FFFFFF"/>
        </w:rPr>
        <w:t>采购文件相关附件</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I0NjljMjRjNjY1NGI2ODg0MWU0ZTFiOTc1MGIifQ=="/>
  </w:docVars>
  <w:rsids>
    <w:rsidRoot w:val="00000000"/>
    <w:rsid w:val="2AD317E9"/>
    <w:rsid w:val="5A532B6A"/>
    <w:rsid w:val="76F7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2022-12-02T09:24:03Z</dcterms:created>
  <dc:creator>USER</dc:creator>
  <cp:lastModifiedBy>USER</cp:lastModifiedBy>
  <dcterms:modified xsi:type="dcterms:W3CDTF">2022-12-02T09:27:32Z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D316BD58ADF0461A9F02A9CB2AC55F6A</vt:lpwstr>
  </property>
</Properties>
</file>