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hint="eastAsia" w:ascii="宋体" w:hAnsi="宋体" w:eastAsia="宋体" w:cs="宋体"/>
          <w:b/>
          <w:bCs/>
          <w:color w:val="auto"/>
          <w:spacing w:val="20"/>
          <w:sz w:val="84"/>
          <w:szCs w:val="84"/>
          <w:highlight w:val="none"/>
          <w:lang w:val="en-US" w:eastAsia="zh-CN"/>
        </w:rPr>
      </w:pPr>
      <w:r>
        <w:rPr>
          <w:rFonts w:hint="eastAsia" w:ascii="宋体" w:hAnsi="宋体" w:cs="宋体"/>
          <w:b/>
          <w:bCs/>
          <w:color w:val="auto"/>
          <w:spacing w:val="20"/>
          <w:sz w:val="84"/>
          <w:szCs w:val="84"/>
          <w:highlight w:val="none"/>
          <w:lang w:val="en-US" w:eastAsia="zh-CN"/>
        </w:rPr>
        <w:t xml:space="preserve"> </w:t>
      </w:r>
    </w:p>
    <w:p>
      <w:pPr>
        <w:spacing w:line="640" w:lineRule="exact"/>
        <w:jc w:val="center"/>
        <w:rPr>
          <w:rFonts w:hint="eastAsia" w:ascii="宋体" w:hAnsi="宋体" w:eastAsia="宋体" w:cs="宋体"/>
          <w:color w:val="auto"/>
          <w:sz w:val="72"/>
          <w:highlight w:val="none"/>
        </w:rPr>
      </w:pPr>
    </w:p>
    <w:p>
      <w:pPr>
        <w:spacing w:line="640" w:lineRule="exact"/>
        <w:jc w:val="center"/>
        <w:rPr>
          <w:rFonts w:hint="eastAsia" w:ascii="宋体" w:hAnsi="宋体" w:eastAsia="宋体" w:cs="宋体"/>
          <w:color w:val="auto"/>
          <w:sz w:val="72"/>
          <w:highlight w:val="none"/>
        </w:rPr>
      </w:pPr>
    </w:p>
    <w:p>
      <w:pPr>
        <w:spacing w:line="1000" w:lineRule="exact"/>
        <w:ind w:firstLine="2749" w:firstLineChars="326"/>
        <w:rPr>
          <w:rFonts w:hint="eastAsia" w:ascii="宋体" w:hAnsi="宋体" w:eastAsia="宋体" w:cs="宋体"/>
          <w:b/>
          <w:color w:val="auto"/>
          <w:sz w:val="84"/>
          <w:szCs w:val="84"/>
          <w:highlight w:val="none"/>
        </w:rPr>
      </w:pPr>
    </w:p>
    <w:p>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pPr>
        <w:spacing w:line="600" w:lineRule="exact"/>
        <w:rPr>
          <w:rFonts w:hint="eastAsia" w:ascii="宋体" w:hAnsi="宋体" w:eastAsia="宋体" w:cs="宋体"/>
          <w:b/>
          <w:color w:val="auto"/>
          <w:sz w:val="32"/>
          <w:szCs w:val="32"/>
          <w:highlight w:val="none"/>
        </w:rPr>
      </w:pPr>
    </w:p>
    <w:p>
      <w:pPr>
        <w:spacing w:line="600" w:lineRule="exact"/>
        <w:rPr>
          <w:rFonts w:hint="eastAsia" w:ascii="宋体" w:hAnsi="宋体" w:eastAsia="宋体" w:cs="宋体"/>
          <w:b/>
          <w:color w:val="auto"/>
          <w:sz w:val="32"/>
          <w:szCs w:val="32"/>
          <w:highlight w:val="none"/>
        </w:rPr>
      </w:pPr>
    </w:p>
    <w:p>
      <w:pPr>
        <w:spacing w:line="600" w:lineRule="exact"/>
        <w:rPr>
          <w:rFonts w:hint="eastAsia" w:ascii="宋体" w:hAnsi="宋体" w:eastAsia="宋体" w:cs="宋体"/>
          <w:b/>
          <w:color w:val="auto"/>
          <w:sz w:val="32"/>
          <w:szCs w:val="32"/>
          <w:highlight w:val="none"/>
        </w:rPr>
      </w:pPr>
    </w:p>
    <w:p>
      <w:pPr>
        <w:spacing w:line="600" w:lineRule="exact"/>
        <w:rPr>
          <w:rFonts w:hint="eastAsia" w:ascii="宋体" w:hAnsi="宋体" w:eastAsia="宋体" w:cs="宋体"/>
          <w:b/>
          <w:color w:val="auto"/>
          <w:sz w:val="32"/>
          <w:szCs w:val="32"/>
          <w:highlight w:val="none"/>
        </w:rPr>
      </w:pPr>
    </w:p>
    <w:p>
      <w:pPr>
        <w:spacing w:line="600" w:lineRule="exact"/>
        <w:rPr>
          <w:rFonts w:hint="eastAsia" w:ascii="宋体" w:hAnsi="宋体" w:eastAsia="宋体" w:cs="宋体"/>
          <w:b/>
          <w:color w:val="auto"/>
          <w:sz w:val="32"/>
          <w:szCs w:val="32"/>
          <w:highlight w:val="none"/>
        </w:rPr>
      </w:pPr>
    </w:p>
    <w:p>
      <w:pPr>
        <w:spacing w:line="600" w:lineRule="exact"/>
        <w:rPr>
          <w:rFonts w:hint="eastAsia" w:ascii="宋体" w:hAnsi="宋体" w:eastAsia="宋体" w:cs="宋体"/>
          <w:b/>
          <w:color w:val="auto"/>
          <w:sz w:val="32"/>
          <w:szCs w:val="32"/>
          <w:highlight w:val="none"/>
        </w:rPr>
      </w:pPr>
    </w:p>
    <w:p>
      <w:pPr>
        <w:spacing w:line="420" w:lineRule="atLeast"/>
        <w:ind w:right="-147" w:rightChars="-7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QZJL202505053</w:t>
      </w:r>
    </w:p>
    <w:p>
      <w:pPr>
        <w:spacing w:line="420" w:lineRule="atLeast"/>
        <w:ind w:right="-147" w:rightChars="-7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lang w:eastAsia="zh-CN"/>
        </w:rPr>
        <w:t>泉州师范学院2025年中层领导干部经济责任审计服务</w:t>
      </w:r>
    </w:p>
    <w:p>
      <w:pPr>
        <w:spacing w:line="420" w:lineRule="atLeast"/>
        <w:ind w:right="-147" w:rightChars="-70"/>
        <w:rPr>
          <w:rFonts w:hint="eastAsia" w:ascii="宋体" w:hAnsi="宋体" w:eastAsia="宋体" w:cs="宋体"/>
          <w:b/>
          <w:color w:val="auto"/>
          <w:sz w:val="28"/>
          <w:szCs w:val="28"/>
          <w:highlight w:val="none"/>
        </w:rPr>
      </w:pPr>
    </w:p>
    <w:p>
      <w:pPr>
        <w:spacing w:line="420" w:lineRule="atLeast"/>
        <w:ind w:right="-147" w:rightChars="-70"/>
        <w:rPr>
          <w:rFonts w:hint="eastAsia" w:ascii="宋体" w:hAnsi="宋体" w:eastAsia="宋体" w:cs="宋体"/>
          <w:b/>
          <w:color w:val="auto"/>
          <w:sz w:val="28"/>
          <w:szCs w:val="28"/>
          <w:highlight w:val="none"/>
        </w:rPr>
      </w:pPr>
    </w:p>
    <w:p>
      <w:pPr>
        <w:spacing w:line="420" w:lineRule="atLeast"/>
        <w:ind w:right="-147" w:rightChars="-7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lang w:eastAsia="zh-CN"/>
        </w:rPr>
        <w:t>泉州师范学院</w:t>
      </w:r>
    </w:p>
    <w:p>
      <w:pPr>
        <w:spacing w:line="360" w:lineRule="auto"/>
        <w:ind w:right="-147" w:rightChars="-70"/>
        <w:rPr>
          <w:rFonts w:hint="eastAsia" w:ascii="宋体" w:hAnsi="宋体" w:eastAsia="宋体" w:cs="宋体"/>
          <w:b/>
          <w:color w:val="auto"/>
          <w:sz w:val="28"/>
          <w:szCs w:val="28"/>
          <w:highlight w:val="none"/>
        </w:rPr>
      </w:pPr>
    </w:p>
    <w:p>
      <w:pPr>
        <w:spacing w:line="360" w:lineRule="auto"/>
        <w:ind w:right="-147" w:rightChars="-7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招标代理机构：泉州市嘉隆招标代理有限公司</w:t>
      </w:r>
    </w:p>
    <w:p>
      <w:pPr>
        <w:pStyle w:val="13"/>
        <w:spacing w:line="460" w:lineRule="exact"/>
        <w:jc w:val="center"/>
        <w:rPr>
          <w:rFonts w:hint="eastAsia" w:ascii="宋体" w:hAnsi="宋体" w:eastAsia="宋体" w:cs="宋体"/>
          <w:b/>
          <w:bCs/>
          <w:color w:val="auto"/>
          <w:sz w:val="32"/>
          <w:szCs w:val="32"/>
          <w:highlight w:val="none"/>
        </w:rPr>
      </w:pPr>
    </w:p>
    <w:p>
      <w:pPr>
        <w:pStyle w:val="13"/>
        <w:spacing w:line="460" w:lineRule="exact"/>
        <w:jc w:val="center"/>
        <w:rPr>
          <w:rFonts w:hint="eastAsia" w:ascii="宋体" w:hAnsi="宋体" w:eastAsia="宋体" w:cs="宋体"/>
          <w:b/>
          <w:bCs/>
          <w:color w:val="auto"/>
          <w:sz w:val="32"/>
          <w:szCs w:val="32"/>
          <w:highlight w:val="none"/>
        </w:rPr>
      </w:pPr>
    </w:p>
    <w:p>
      <w:pPr>
        <w:pStyle w:val="21"/>
        <w:spacing w:before="76" w:after="76" w:line="18"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06</w:t>
      </w:r>
      <w:r>
        <w:rPr>
          <w:rFonts w:hint="eastAsia" w:ascii="宋体" w:hAnsi="宋体" w:eastAsia="宋体" w:cs="宋体"/>
          <w:b/>
          <w:color w:val="auto"/>
          <w:sz w:val="32"/>
          <w:szCs w:val="32"/>
          <w:highlight w:val="none"/>
        </w:rPr>
        <w:t>月</w:t>
      </w:r>
    </w:p>
    <w:p>
      <w:pPr>
        <w:pStyle w:val="21"/>
        <w:spacing w:line="320" w:lineRule="exact"/>
        <w:ind w:right="720"/>
        <w:jc w:val="center"/>
        <w:rPr>
          <w:rStyle w:val="28"/>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目   录</w:t>
      </w:r>
    </w:p>
    <w:p>
      <w:pPr>
        <w:jc w:val="center"/>
        <w:rPr>
          <w:rFonts w:hint="eastAsia" w:ascii="宋体" w:hAnsi="宋体" w:eastAsia="宋体" w:cs="宋体"/>
          <w:color w:val="auto"/>
          <w:highlight w:val="none"/>
        </w:rPr>
      </w:pPr>
    </w:p>
    <w:sdt>
      <w:sdtPr>
        <w:rPr>
          <w:rFonts w:hint="eastAsia" w:ascii="宋体" w:hAnsi="宋体" w:eastAsia="宋体" w:cs="宋体"/>
          <w:color w:val="auto"/>
          <w:kern w:val="2"/>
          <w:sz w:val="24"/>
          <w:szCs w:val="24"/>
          <w:lang w:val="en-US" w:eastAsia="zh-CN" w:bidi="ar-SA"/>
        </w:rPr>
        <w:id w:val="147454779"/>
        <w15:color w:val="DBDBDB"/>
        <w:docPartObj>
          <w:docPartGallery w:val="Table of Contents"/>
          <w:docPartUnique/>
        </w:docPartObj>
      </w:sdtPr>
      <w:sdtEndPr>
        <w:rPr>
          <w:rFonts w:hint="eastAsia" w:ascii="宋体" w:hAnsi="宋体" w:eastAsia="宋体" w:cs="宋体"/>
          <w:color w:val="auto"/>
          <w:kern w:val="2"/>
          <w:sz w:val="24"/>
          <w:szCs w:val="24"/>
          <w:lang w:val="en-US" w:eastAsia="zh-CN" w:bidi="ar-SA"/>
        </w:rPr>
      </w:sdtEndPr>
      <w:sdtContent>
        <w:p>
          <w:pPr>
            <w:pStyle w:val="18"/>
            <w:tabs>
              <w:tab w:val="right" w:leader="dot" w:pos="9072"/>
            </w:tabs>
            <w:spacing w:line="360" w:lineRule="auto"/>
            <w:rPr>
              <w:rFonts w:hint="eastAsia" w:ascii="宋体" w:hAnsi="宋体" w:eastAsia="宋体" w:cs="宋体"/>
              <w:color w:val="auto"/>
              <w:sz w:val="24"/>
              <w:szCs w:val="24"/>
            </w:rPr>
          </w:pPr>
          <w:bookmarkStart w:id="0" w:name="_Toc12843"/>
          <w:bookmarkStart w:id="1" w:name="_Toc701"/>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_Toc10524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第一章 采购公告/采购邀请书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_Toc10524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_Toc29835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竞争性磋商须知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_Toc29835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_Toc27687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第1节 竞争性磋商须知前附表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_Toc27687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_Toc30793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专项附件：评审的标准和方法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_Toc30793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_Toc14576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一、磋商小组</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_Toc14576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_Toc19974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二、磋商程序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_Toc19974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_Toc14096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三、综合评分的标准和方法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_Toc14096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_Toc15043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四、评审报告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_Toc3110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五、其他规定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_Toc30651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第2节 竞争性磋商须知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_Toc30259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一、总   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_Toc30259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_Toc21970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二、竞争性磋商文件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_Toc21970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三、响应文件编制</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0</w:t>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_Toc2442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四、竞争性磋商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五、合同授予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_Toc19319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六、询问、质疑与投诉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_Toc19319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_Toc19252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七、有关信息公告和监督部门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_Toc19252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_Toc6543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八、根据采购项目特点或政策需要补充的其他内容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_Toc6543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_Toc23605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第三章 采购内容及要求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_Toc23605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right" w:leader="dot" w:pos="9072"/>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_Toc1998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val="en-US" w:eastAsia="zh-CN"/>
            </w:rPr>
            <w:t>一、</w:t>
          </w:r>
          <w:r>
            <w:rPr>
              <w:rFonts w:hint="eastAsia" w:ascii="宋体" w:hAnsi="宋体" w:eastAsia="宋体" w:cs="宋体"/>
              <w:bCs/>
              <w:color w:val="auto"/>
              <w:sz w:val="24"/>
              <w:szCs w:val="24"/>
            </w:rPr>
            <w:t>项目概况</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9</w:t>
          </w:r>
        </w:p>
        <w:p>
          <w:pPr>
            <w:pStyle w:val="20"/>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_Toc29781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rPr>
            <w:t>二、技术和服务要求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_Toc29781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right" w:leader="dot" w:pos="9072"/>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_Toc17144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商务条件（以“★”标示的内容为不允许负偏离的实质性要求）</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1</w:t>
          </w:r>
        </w:p>
        <w:p>
          <w:pPr>
            <w:pStyle w:val="20"/>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_Toc13274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_Toc16008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第四章 合同主要条款及格式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_Toc16008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2"/>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_Toc27503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spacing w:line="360" w:lineRule="auto"/>
            <w:rPr>
              <w:color w:val="auto"/>
            </w:rPr>
          </w:pPr>
          <w:r>
            <w:rPr>
              <w:rFonts w:hint="eastAsia" w:ascii="宋体" w:hAnsi="宋体" w:eastAsia="宋体" w:cs="宋体"/>
              <w:color w:val="auto"/>
              <w:sz w:val="24"/>
              <w:szCs w:val="24"/>
            </w:rPr>
            <w:fldChar w:fldCharType="end"/>
          </w:r>
        </w:p>
      </w:sdtContent>
    </w:sdt>
    <w:p>
      <w:pPr>
        <w:spacing w:line="280" w:lineRule="exact"/>
        <w:ind w:firstLine="361" w:firstLineChars="1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注：本竞争性磋商文件（不含封面、目录）共</w:t>
      </w:r>
      <w:r>
        <w:rPr>
          <w:rFonts w:hint="eastAsia" w:ascii="宋体" w:hAnsi="宋体" w:eastAsia="宋体" w:cs="宋体"/>
          <w:b/>
          <w:color w:val="auto"/>
          <w:sz w:val="24"/>
          <w:highlight w:val="none"/>
          <w:u w:val="single"/>
          <w:lang w:val="en-US" w:eastAsia="zh-CN"/>
        </w:rPr>
        <w:t>7</w:t>
      </w:r>
      <w:r>
        <w:rPr>
          <w:rFonts w:hint="eastAsia" w:ascii="宋体" w:hAnsi="宋体" w:cs="宋体"/>
          <w:b/>
          <w:color w:val="auto"/>
          <w:sz w:val="24"/>
          <w:highlight w:val="none"/>
          <w:u w:val="single"/>
          <w:lang w:val="en-US" w:eastAsia="zh-CN"/>
        </w:rPr>
        <w:t>7</w:t>
      </w:r>
      <w:r>
        <w:rPr>
          <w:rFonts w:hint="eastAsia" w:ascii="宋体" w:hAnsi="宋体" w:eastAsia="宋体" w:cs="宋体"/>
          <w:b/>
          <w:color w:val="auto"/>
          <w:sz w:val="24"/>
          <w:highlight w:val="none"/>
        </w:rPr>
        <w:t>页，请供应商领取竞争性磋商文件时自行核对，如发现缺、损等情况，自领取竞争性磋商文件之日起二日内向泉州市嘉隆招标代理有限公司提出，否则，由此造成的一切后果由供应商自负。</w:t>
      </w:r>
    </w:p>
    <w:p>
      <w:pPr>
        <w:rPr>
          <w:color w:val="auto"/>
        </w:rPr>
      </w:pPr>
    </w:p>
    <w:p>
      <w:pPr>
        <w:pStyle w:val="2"/>
        <w:jc w:val="center"/>
        <w:rPr>
          <w:rFonts w:hint="eastAsia" w:ascii="宋体" w:hAnsi="宋体" w:eastAsia="宋体" w:cs="宋体"/>
          <w:color w:val="auto"/>
          <w:sz w:val="32"/>
          <w:szCs w:val="32"/>
          <w:highlight w:val="none"/>
        </w:rPr>
      </w:pPr>
      <w:bookmarkStart w:id="2" w:name="_Toc10524"/>
      <w:r>
        <w:rPr>
          <w:rFonts w:hint="eastAsia" w:ascii="宋体" w:hAnsi="宋体" w:eastAsia="宋体" w:cs="宋体"/>
          <w:color w:val="auto"/>
          <w:sz w:val="32"/>
          <w:szCs w:val="32"/>
          <w:highlight w:val="none"/>
        </w:rPr>
        <w:t>第一章 采购公告/采购邀请书</w:t>
      </w:r>
      <w:bookmarkEnd w:id="0"/>
      <w:bookmarkEnd w:id="1"/>
      <w:bookmarkEnd w:id="2"/>
    </w:p>
    <w:p>
      <w:pPr>
        <w:pStyle w:val="21"/>
        <w:spacing w:line="360" w:lineRule="auto"/>
        <w:jc w:val="center"/>
        <w:rPr>
          <w:rFonts w:hint="eastAsia" w:ascii="宋体" w:hAnsi="宋体" w:eastAsia="宋体" w:cs="宋体"/>
          <w:color w:val="auto"/>
          <w:sz w:val="30"/>
          <w:szCs w:val="30"/>
          <w:highlight w:val="none"/>
        </w:rPr>
      </w:pPr>
      <w:r>
        <w:rPr>
          <w:rStyle w:val="28"/>
          <w:rFonts w:hint="eastAsia" w:ascii="宋体" w:hAnsi="宋体" w:eastAsia="宋体" w:cs="宋体"/>
          <w:color w:val="auto"/>
          <w:sz w:val="30"/>
          <w:szCs w:val="30"/>
          <w:highlight w:val="none"/>
        </w:rPr>
        <w:t>竞争性磋商采购公告</w:t>
      </w:r>
    </w:p>
    <w:p>
      <w:pPr>
        <w:pStyle w:val="21"/>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Cs w:val="24"/>
          <w:highlight w:val="none"/>
        </w:rPr>
      </w:pPr>
      <w:r>
        <w:rPr>
          <w:rFonts w:hint="eastAsia" w:ascii="宋体" w:hAnsi="宋体" w:cs="宋体"/>
          <w:b/>
          <w:bCs/>
          <w:color w:val="auto"/>
          <w:szCs w:val="24"/>
          <w:highlight w:val="none"/>
          <w:u w:val="single"/>
          <w:lang w:eastAsia="zh-CN"/>
        </w:rPr>
        <w:t>泉州师范学院</w:t>
      </w:r>
      <w:r>
        <w:rPr>
          <w:rFonts w:hint="eastAsia" w:ascii="宋体" w:hAnsi="宋体" w:eastAsia="宋体" w:cs="宋体"/>
          <w:color w:val="auto"/>
          <w:szCs w:val="24"/>
          <w:highlight w:val="none"/>
        </w:rPr>
        <w:t>已参照政府采购相关法律法规，经相应程序确定采用</w:t>
      </w:r>
      <w:r>
        <w:rPr>
          <w:rFonts w:hint="eastAsia" w:ascii="宋体" w:hAnsi="宋体" w:eastAsia="宋体" w:cs="宋体"/>
          <w:b/>
          <w:bCs/>
          <w:color w:val="auto"/>
          <w:szCs w:val="24"/>
          <w:highlight w:val="none"/>
          <w:u w:val="single"/>
        </w:rPr>
        <w:t>竞争性磋商</w:t>
      </w:r>
      <w:r>
        <w:rPr>
          <w:rFonts w:hint="eastAsia" w:ascii="宋体" w:hAnsi="宋体" w:eastAsia="宋体" w:cs="宋体"/>
          <w:color w:val="auto"/>
          <w:szCs w:val="24"/>
          <w:highlight w:val="none"/>
        </w:rPr>
        <w:t>方式组织</w:t>
      </w:r>
      <w:r>
        <w:rPr>
          <w:rFonts w:hint="eastAsia" w:ascii="宋体" w:hAnsi="宋体" w:cs="宋体"/>
          <w:b/>
          <w:bCs/>
          <w:color w:val="auto"/>
          <w:szCs w:val="24"/>
          <w:highlight w:val="none"/>
          <w:u w:val="single"/>
          <w:lang w:eastAsia="zh-CN"/>
        </w:rPr>
        <w:t>泉州师范学院2025年中层领导干部经济责任审计服务</w:t>
      </w:r>
      <w:r>
        <w:rPr>
          <w:rFonts w:hint="eastAsia" w:ascii="宋体" w:hAnsi="宋体" w:eastAsia="宋体" w:cs="宋体"/>
          <w:color w:val="auto"/>
          <w:szCs w:val="24"/>
          <w:highlight w:val="none"/>
        </w:rPr>
        <w:t>（以下简称：“本项目”）的政府采购活动，现欢迎国内合格的供应商前来参加。本项目由采购人委托</w:t>
      </w:r>
      <w:r>
        <w:rPr>
          <w:rFonts w:hint="eastAsia" w:ascii="宋体" w:hAnsi="宋体" w:eastAsia="宋体" w:cs="宋体"/>
          <w:b/>
          <w:bCs/>
          <w:color w:val="auto"/>
          <w:szCs w:val="24"/>
          <w:highlight w:val="none"/>
          <w:u w:val="single"/>
        </w:rPr>
        <w:t>泉州市嘉隆招标代理有限公司</w:t>
      </w:r>
      <w:r>
        <w:rPr>
          <w:rFonts w:hint="eastAsia" w:ascii="宋体" w:hAnsi="宋体" w:eastAsia="宋体" w:cs="宋体"/>
          <w:color w:val="auto"/>
          <w:szCs w:val="24"/>
          <w:highlight w:val="none"/>
        </w:rPr>
        <w:t>开展竞争性磋商活动。</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szCs w:val="24"/>
          <w:highlight w:val="none"/>
          <w:shd w:val="clear" w:color="auto" w:fill="FFFFFF"/>
        </w:rPr>
        <w:t>1.项目名称：</w:t>
      </w:r>
      <w:r>
        <w:rPr>
          <w:rFonts w:hint="eastAsia" w:ascii="宋体" w:hAnsi="宋体" w:cs="宋体"/>
          <w:color w:val="auto"/>
          <w:szCs w:val="24"/>
          <w:highlight w:val="none"/>
          <w:shd w:val="clear" w:color="auto" w:fill="FFFFFF"/>
          <w:lang w:eastAsia="zh-CN"/>
        </w:rPr>
        <w:t>泉州师范学院2025年中层领导干部经济责任审计服务</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2.项目编号：</w:t>
      </w:r>
      <w:r>
        <w:rPr>
          <w:rFonts w:hint="eastAsia" w:ascii="宋体" w:hAnsi="宋体" w:cs="宋体"/>
          <w:color w:val="auto"/>
          <w:szCs w:val="24"/>
          <w:highlight w:val="none"/>
          <w:lang w:eastAsia="zh-CN"/>
        </w:rPr>
        <w:t>QZJL202505053</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3.采购内容及要求：</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采购包1：</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采购包预算金额（元）: </w:t>
      </w:r>
      <w:r>
        <w:rPr>
          <w:rFonts w:hint="eastAsia" w:ascii="宋体" w:hAnsi="宋体" w:cs="宋体"/>
          <w:b w:val="0"/>
          <w:bCs w:val="0"/>
          <w:i w:val="0"/>
          <w:iCs w:val="0"/>
          <w:color w:val="auto"/>
          <w:kern w:val="0"/>
          <w:sz w:val="24"/>
          <w:szCs w:val="24"/>
          <w:highlight w:val="none"/>
          <w:u w:val="none"/>
          <w:lang w:val="en-US" w:eastAsia="zh-CN"/>
        </w:rPr>
        <w:t>150000.00</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采购包最高限价（元）: </w:t>
      </w:r>
      <w:r>
        <w:rPr>
          <w:rFonts w:hint="eastAsia" w:ascii="宋体" w:hAnsi="宋体" w:cs="宋体"/>
          <w:b w:val="0"/>
          <w:bCs w:val="0"/>
          <w:i w:val="0"/>
          <w:iCs w:val="0"/>
          <w:color w:val="auto"/>
          <w:kern w:val="0"/>
          <w:sz w:val="24"/>
          <w:szCs w:val="24"/>
          <w:highlight w:val="none"/>
          <w:u w:val="none"/>
          <w:lang w:val="en-US" w:eastAsia="zh-CN"/>
        </w:rPr>
        <w:t>150000.00</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采购包保证金金额（元）: 0.00</w:t>
      </w:r>
    </w:p>
    <w:tbl>
      <w:tblPr>
        <w:tblStyle w:val="25"/>
        <w:tblW w:w="5000" w:type="pct"/>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2746"/>
        <w:gridCol w:w="660"/>
        <w:gridCol w:w="615"/>
        <w:gridCol w:w="1425"/>
        <w:gridCol w:w="1636"/>
        <w:gridCol w:w="14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10" w:hRule="atLeast"/>
          <w:tblCellSpacing w:w="15" w:type="dxa"/>
        </w:trPr>
        <w:tc>
          <w:tcPr>
            <w:tcW w:w="407"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448"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lang w:val="en-US" w:eastAsia="zh-CN"/>
              </w:rPr>
              <w:t>名称</w:t>
            </w:r>
          </w:p>
        </w:tc>
        <w:tc>
          <w:tcPr>
            <w:tcW w:w="336"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312"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744"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标的金额（元）</w:t>
            </w:r>
          </w:p>
        </w:tc>
        <w:tc>
          <w:tcPr>
            <w:tcW w:w="856"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766" w:type="pct"/>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10" w:hRule="atLeast"/>
          <w:tblCellSpacing w:w="15" w:type="dxa"/>
        </w:trPr>
        <w:tc>
          <w:tcPr>
            <w:tcW w:w="407" w:type="pct"/>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w:t>
            </w:r>
          </w:p>
        </w:tc>
        <w:tc>
          <w:tcPr>
            <w:tcW w:w="1448" w:type="pct"/>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泉州师范学院2025年中层领导干部经济责任审计服务</w:t>
            </w:r>
          </w:p>
        </w:tc>
        <w:tc>
          <w:tcPr>
            <w:tcW w:w="336" w:type="pct"/>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12" w:type="pct"/>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rPr>
            </w:pPr>
            <w:r>
              <w:rPr>
                <w:rFonts w:hint="eastAsia" w:ascii="宋体" w:hAnsi="宋体" w:cs="宋体"/>
                <w:b w:val="0"/>
                <w:bCs w:val="0"/>
                <w:i w:val="0"/>
                <w:iCs w:val="0"/>
                <w:color w:val="auto"/>
                <w:kern w:val="0"/>
                <w:sz w:val="24"/>
                <w:szCs w:val="24"/>
                <w:highlight w:val="none"/>
                <w:u w:val="none"/>
                <w:lang w:val="en-US" w:eastAsia="zh-CN"/>
              </w:rPr>
              <w:t>项</w:t>
            </w:r>
          </w:p>
        </w:tc>
        <w:tc>
          <w:tcPr>
            <w:tcW w:w="744" w:type="pct"/>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rPr>
            </w:pPr>
            <w:r>
              <w:rPr>
                <w:rFonts w:hint="eastAsia" w:ascii="宋体" w:hAnsi="宋体" w:cs="宋体"/>
                <w:b w:val="0"/>
                <w:bCs w:val="0"/>
                <w:i w:val="0"/>
                <w:iCs w:val="0"/>
                <w:color w:val="auto"/>
                <w:kern w:val="0"/>
                <w:sz w:val="24"/>
                <w:szCs w:val="24"/>
                <w:highlight w:val="none"/>
                <w:u w:val="none"/>
                <w:lang w:val="en-US" w:eastAsia="zh-CN"/>
              </w:rPr>
              <w:t>150000.00</w:t>
            </w:r>
          </w:p>
        </w:tc>
        <w:tc>
          <w:tcPr>
            <w:tcW w:w="856" w:type="pct"/>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租赁和商务服务业</w:t>
            </w:r>
          </w:p>
        </w:tc>
        <w:tc>
          <w:tcPr>
            <w:tcW w:w="766" w:type="pct"/>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r>
    </w:tbl>
    <w:p>
      <w:pPr>
        <w:pStyle w:val="21"/>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lang w:val="en-US" w:eastAsia="zh-CN"/>
        </w:rPr>
        <w:t>4.</w:t>
      </w:r>
      <w:r>
        <w:rPr>
          <w:rFonts w:hint="eastAsia" w:ascii="宋体" w:hAnsi="宋体" w:eastAsia="宋体" w:cs="宋体"/>
          <w:color w:val="auto"/>
          <w:szCs w:val="24"/>
          <w:highlight w:val="none"/>
          <w:shd w:val="clear" w:color="auto" w:fill="FFFFFF"/>
        </w:rPr>
        <w:t>采购项目需要落实的政府采购政策：</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进口产品：不适用</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节能产品：不适用</w:t>
      </w:r>
    </w:p>
    <w:p>
      <w:pPr>
        <w:pStyle w:val="83"/>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环境标志产品：不适用</w:t>
      </w:r>
    </w:p>
    <w:p>
      <w:pPr>
        <w:pStyle w:val="21"/>
        <w:keepNext w:val="0"/>
        <w:keepLines w:val="0"/>
        <w:pageBreakBefore w:val="0"/>
        <w:kinsoku/>
        <w:wordWrap/>
        <w:overflowPunct/>
        <w:topLinePunct w:val="0"/>
        <w:autoSpaceDE/>
        <w:autoSpaceDN/>
        <w:bidi w:val="0"/>
        <w:adjustRightInd/>
        <w:snapToGrid/>
        <w:spacing w:line="360" w:lineRule="auto"/>
        <w:ind w:left="0" w:leftChars="0" w:firstLine="420" w:firstLineChars="175"/>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促进中小企业发展的相关政策：</w:t>
      </w:r>
    </w:p>
    <w:p>
      <w:pPr>
        <w:pStyle w:val="21"/>
        <w:keepNext w:val="0"/>
        <w:keepLines w:val="0"/>
        <w:pageBreakBefore w:val="0"/>
        <w:kinsoku/>
        <w:wordWrap/>
        <w:overflowPunct/>
        <w:topLinePunct w:val="0"/>
        <w:autoSpaceDE/>
        <w:autoSpaceDN/>
        <w:bidi w:val="0"/>
        <w:adjustRightInd/>
        <w:snapToGrid/>
        <w:spacing w:line="360" w:lineRule="auto"/>
        <w:ind w:left="0" w:leftChars="0" w:firstLine="420" w:firstLineChars="175"/>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采购包1：专门采购包预留</w:t>
      </w:r>
    </w:p>
    <w:p>
      <w:pPr>
        <w:pStyle w:val="21"/>
        <w:keepNext w:val="0"/>
        <w:keepLines w:val="0"/>
        <w:pageBreakBefore w:val="0"/>
        <w:kinsoku/>
        <w:wordWrap/>
        <w:overflowPunct/>
        <w:topLinePunct w:val="0"/>
        <w:autoSpaceDE/>
        <w:autoSpaceDN/>
        <w:bidi w:val="0"/>
        <w:adjustRightInd/>
        <w:snapToGrid/>
        <w:spacing w:line="360" w:lineRule="auto"/>
        <w:ind w:left="0" w:leftChars="0" w:firstLine="420" w:firstLineChars="175"/>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面向的企业规模：中小企业</w:t>
      </w:r>
    </w:p>
    <w:p>
      <w:pPr>
        <w:pStyle w:val="21"/>
        <w:keepNext w:val="0"/>
        <w:keepLines w:val="0"/>
        <w:pageBreakBefore w:val="0"/>
        <w:kinsoku/>
        <w:wordWrap/>
        <w:overflowPunct/>
        <w:topLinePunct w:val="0"/>
        <w:autoSpaceDE/>
        <w:autoSpaceDN/>
        <w:bidi w:val="0"/>
        <w:adjustRightInd/>
        <w:snapToGrid/>
        <w:spacing w:line="360" w:lineRule="auto"/>
        <w:ind w:left="0" w:leftChars="0" w:firstLine="420" w:firstLineChars="175"/>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预留形式：专门采购包预留</w:t>
      </w:r>
    </w:p>
    <w:p>
      <w:pPr>
        <w:pStyle w:val="21"/>
        <w:keepNext w:val="0"/>
        <w:keepLines w:val="0"/>
        <w:pageBreakBefore w:val="0"/>
        <w:kinsoku/>
        <w:wordWrap/>
        <w:overflowPunct/>
        <w:topLinePunct w:val="0"/>
        <w:autoSpaceDE/>
        <w:autoSpaceDN/>
        <w:bidi w:val="0"/>
        <w:adjustRightInd/>
        <w:snapToGrid/>
        <w:spacing w:line="360" w:lineRule="auto"/>
        <w:ind w:left="0" w:leftChars="0" w:firstLine="420" w:firstLineChars="175"/>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预留比例：100%</w:t>
      </w:r>
    </w:p>
    <w:p>
      <w:pPr>
        <w:pStyle w:val="21"/>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5.供应商的资格要求</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5.1法定条件：符合《中华人民共和国政府采购法》第二十二条第一款规定的条件。</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szCs w:val="24"/>
          <w:highlight w:val="none"/>
          <w:shd w:val="clear" w:color="auto" w:fill="FFFFFF"/>
        </w:rPr>
        <w:t>5.2特定条件</w:t>
      </w:r>
      <w:r>
        <w:rPr>
          <w:rFonts w:hint="eastAsia" w:ascii="宋体" w:hAnsi="宋体" w:eastAsia="宋体" w:cs="宋体"/>
          <w:color w:val="auto"/>
          <w:kern w:val="2"/>
          <w:szCs w:val="24"/>
          <w:highlight w:val="none"/>
          <w:shd w:val="clear" w:color="auto" w:fill="FFFFFF"/>
        </w:rPr>
        <w:t>：</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kern w:val="2"/>
          <w:szCs w:val="24"/>
          <w:highlight w:val="none"/>
          <w:shd w:val="clear" w:color="auto" w:fill="FFFFFF"/>
          <w:lang w:val="en-US" w:eastAsia="zh-CN"/>
        </w:rPr>
      </w:pPr>
      <w:r>
        <w:rPr>
          <w:rFonts w:hint="eastAsia" w:ascii="宋体" w:hAnsi="宋体" w:eastAsia="宋体" w:cs="宋体"/>
          <w:color w:val="auto"/>
          <w:kern w:val="2"/>
          <w:szCs w:val="24"/>
          <w:highlight w:val="none"/>
          <w:shd w:val="clear" w:color="auto" w:fill="FFFFFF"/>
        </w:rPr>
        <w:t>采购包1：</w:t>
      </w:r>
    </w:p>
    <w:tbl>
      <w:tblPr>
        <w:tblStyle w:val="25"/>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66"/>
        <w:gridCol w:w="64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资格审查要求概况</w:t>
            </w:r>
          </w:p>
        </w:tc>
        <w:tc>
          <w:tcPr>
            <w:tcW w:w="3455" w:type="pct"/>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vAlign w:val="center"/>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资格承诺函</w:t>
            </w:r>
          </w:p>
        </w:tc>
        <w:tc>
          <w:tcPr>
            <w:tcW w:w="3455" w:type="pct"/>
          </w:tcPr>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vAlign w:val="center"/>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本采购包属于专门面向中小企业采购。</w:t>
            </w:r>
          </w:p>
        </w:tc>
        <w:tc>
          <w:tcPr>
            <w:tcW w:w="3455" w:type="pct"/>
          </w:tcPr>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本采购包为专门面向中小企业采购，供应商须提供中小企业声明函。监狱企业、残疾人福利性单位视同小型、微型企业。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shd w:val="clear" w:color="auto" w:fill="auto"/>
            <w:vAlign w:val="center"/>
          </w:tcPr>
          <w:p>
            <w:pPr>
              <w:pStyle w:val="83"/>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其它资格条件</w:t>
            </w:r>
          </w:p>
        </w:tc>
        <w:tc>
          <w:tcPr>
            <w:tcW w:w="3455" w:type="pct"/>
            <w:shd w:val="clear" w:color="auto" w:fill="auto"/>
            <w:vAlign w:val="top"/>
          </w:tcPr>
          <w:p>
            <w:pPr>
              <w:pStyle w:val="83"/>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供应商须具备有效的会计师事务所执业资格，须提供证书复印件并加盖公章。</w:t>
            </w:r>
          </w:p>
        </w:tc>
      </w:tr>
    </w:tbl>
    <w:p>
      <w:pPr>
        <w:pStyle w:val="21"/>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5.3是否接受联合体形式的响应磋商：不接受。</w:t>
      </w:r>
    </w:p>
    <w:p>
      <w:pPr>
        <w:pStyle w:val="21"/>
        <w:keepNext w:val="0"/>
        <w:keepLines w:val="0"/>
        <w:pageBreakBefore w:val="0"/>
        <w:kinsoku/>
        <w:wordWrap/>
        <w:overflowPunct/>
        <w:topLinePunct w:val="0"/>
        <w:autoSpaceDE/>
        <w:autoSpaceDN/>
        <w:bidi w:val="0"/>
        <w:adjustRightInd/>
        <w:snapToGrid/>
        <w:spacing w:line="360" w:lineRule="auto"/>
        <w:ind w:firstLine="480"/>
        <w:rPr>
          <w:rStyle w:val="28"/>
          <w:rFonts w:hint="eastAsia" w:ascii="宋体" w:hAnsi="宋体" w:eastAsia="宋体" w:cs="宋体"/>
          <w:color w:val="auto"/>
          <w:highlight w:val="none"/>
          <w:shd w:val="clear" w:color="auto" w:fill="FFFFFF"/>
        </w:rPr>
      </w:pPr>
      <w:r>
        <w:rPr>
          <w:rStyle w:val="28"/>
          <w:rFonts w:hint="eastAsia" w:ascii="宋体" w:hAnsi="宋体" w:eastAsia="宋体" w:cs="宋体"/>
          <w:color w:val="auto"/>
          <w:highlight w:val="none"/>
        </w:rPr>
        <w:t>※</w:t>
      </w:r>
      <w:r>
        <w:rPr>
          <w:rStyle w:val="28"/>
          <w:rFonts w:hint="eastAsia" w:ascii="宋体" w:hAnsi="宋体" w:eastAsia="宋体" w:cs="宋体"/>
          <w:color w:val="auto"/>
          <w:highlight w:val="none"/>
          <w:shd w:val="clear" w:color="auto" w:fill="FFFFFF"/>
        </w:rPr>
        <w:t>根据上述资格要求，供应商响应文件中应提交的“资格证明文件”相关规定和资料要求，详见竞争性磋商须知前附表和竞争性磋商文件第五章。</w:t>
      </w:r>
    </w:p>
    <w:p>
      <w:pPr>
        <w:pStyle w:val="21"/>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rPr>
        <w:t>获取竞争性磋商文件时间、地点、方式：</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6.1竞争性磋商文件的提供期限：为</w:t>
      </w:r>
      <w:r>
        <w:rPr>
          <w:rFonts w:hint="eastAsia" w:ascii="宋体" w:hAnsi="宋体" w:eastAsia="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eastAsia="zh-CN"/>
        </w:rPr>
        <w:t>年</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日至</w:t>
      </w:r>
      <w:r>
        <w:rPr>
          <w:rFonts w:hint="eastAsia" w:ascii="宋体" w:hAnsi="宋体" w:eastAsia="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eastAsia="zh-CN"/>
        </w:rPr>
        <w:t>年</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日</w:t>
      </w:r>
      <w:r>
        <w:rPr>
          <w:rFonts w:hint="eastAsia" w:ascii="宋体" w:hAnsi="宋体" w:eastAsia="宋体" w:cs="宋体"/>
          <w:color w:val="auto"/>
          <w:szCs w:val="24"/>
          <w:highlight w:val="none"/>
          <w:shd w:val="clear" w:color="auto" w:fill="FFFFFF"/>
        </w:rPr>
        <w:t>止。欲接受邀请参加磋商的供应商请在上述期限内的工作时间（北京时间）每天上午8:30—12:00时，下午1</w:t>
      </w:r>
      <w:r>
        <w:rPr>
          <w:rFonts w:hint="eastAsia" w:ascii="宋体" w:hAnsi="宋体" w:eastAsia="宋体" w:cs="宋体"/>
          <w:color w:val="auto"/>
          <w:szCs w:val="24"/>
          <w:highlight w:val="none"/>
          <w:shd w:val="clear" w:color="auto" w:fill="FFFFFF"/>
          <w:lang w:val="en-US" w:eastAsia="zh-CN"/>
        </w:rPr>
        <w:t>4</w:t>
      </w:r>
      <w:r>
        <w:rPr>
          <w:rFonts w:hint="eastAsia" w:ascii="宋体" w:hAnsi="宋体" w:eastAsia="宋体" w:cs="宋体"/>
          <w:color w:val="auto"/>
          <w:szCs w:val="24"/>
          <w:highlight w:val="none"/>
          <w:shd w:val="clear" w:color="auto" w:fill="FFFFFF"/>
        </w:rPr>
        <w:t>:</w:t>
      </w:r>
      <w:r>
        <w:rPr>
          <w:rFonts w:hint="eastAsia" w:ascii="宋体" w:hAnsi="宋体" w:eastAsia="宋体" w:cs="宋体"/>
          <w:color w:val="auto"/>
          <w:szCs w:val="24"/>
          <w:highlight w:val="none"/>
          <w:shd w:val="clear" w:color="auto" w:fill="FFFFFF"/>
          <w:lang w:val="en-US" w:eastAsia="zh-CN"/>
        </w:rPr>
        <w:t>3</w:t>
      </w:r>
      <w:r>
        <w:rPr>
          <w:rFonts w:hint="eastAsia" w:ascii="宋体" w:hAnsi="宋体" w:eastAsia="宋体" w:cs="宋体"/>
          <w:color w:val="auto"/>
          <w:szCs w:val="24"/>
          <w:highlight w:val="none"/>
          <w:shd w:val="clear" w:color="auto" w:fill="FFFFFF"/>
        </w:rPr>
        <w:t>0—17:30时，按下述地址到泉州市嘉隆招标代理有限公司购买竞争性磋商文件。[注：购买竞争性磋商文件时需提供报名表（所报项目名称、招标编号、投标供应全称、联系人、联系电话、传真、邮箱），转账需附上凭证。</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6.2获取地点及方式：到泉州市嘉隆招标代理有限公司（地址：泉州市丰泽区大山边路71号）购买竞争性磋商文件方式获取。</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6.3</w:t>
      </w:r>
      <w:r>
        <w:rPr>
          <w:rFonts w:hint="eastAsia" w:ascii="宋体" w:hAnsi="宋体" w:eastAsia="宋体" w:cs="宋体"/>
          <w:color w:val="auto"/>
          <w:szCs w:val="24"/>
          <w:highlight w:val="none"/>
        </w:rPr>
        <w:t>竞争性磋商文件售价：</w:t>
      </w:r>
      <w:r>
        <w:rPr>
          <w:rFonts w:hint="eastAsia" w:ascii="宋体" w:hAnsi="宋体" w:eastAsia="宋体" w:cs="宋体"/>
          <w:color w:val="auto"/>
          <w:szCs w:val="24"/>
          <w:highlight w:val="none"/>
          <w:shd w:val="clear" w:color="auto" w:fill="FFFFFF"/>
        </w:rPr>
        <w:t>每份</w:t>
      </w:r>
      <w:r>
        <w:rPr>
          <w:rFonts w:hint="eastAsia" w:ascii="宋体" w:hAnsi="宋体" w:eastAsia="宋体" w:cs="宋体"/>
          <w:color w:val="auto"/>
          <w:szCs w:val="24"/>
          <w:highlight w:val="none"/>
          <w:shd w:val="clear" w:color="auto" w:fill="FFFFFF"/>
          <w:lang w:val="en-US" w:eastAsia="zh-CN"/>
        </w:rPr>
        <w:t>2</w:t>
      </w:r>
      <w:r>
        <w:rPr>
          <w:rFonts w:hint="eastAsia" w:ascii="宋体" w:hAnsi="宋体" w:eastAsia="宋体" w:cs="宋体"/>
          <w:color w:val="auto"/>
          <w:szCs w:val="24"/>
          <w:highlight w:val="none"/>
          <w:shd w:val="clear" w:color="auto" w:fill="FFFFFF"/>
        </w:rPr>
        <w:t>00元，</w:t>
      </w:r>
      <w:r>
        <w:rPr>
          <w:rFonts w:hint="eastAsia" w:ascii="宋体" w:hAnsi="宋体" w:eastAsia="宋体" w:cs="宋体"/>
          <w:color w:val="auto"/>
          <w:szCs w:val="24"/>
          <w:highlight w:val="none"/>
        </w:rPr>
        <w:t>售后不退。没有按约定购买</w:t>
      </w:r>
      <w:r>
        <w:rPr>
          <w:rFonts w:hint="eastAsia" w:ascii="宋体" w:hAnsi="宋体" w:eastAsia="宋体" w:cs="宋体"/>
          <w:color w:val="auto"/>
          <w:szCs w:val="24"/>
          <w:highlight w:val="none"/>
          <w:shd w:val="clear" w:color="auto" w:fill="FFFFFF"/>
        </w:rPr>
        <w:t>竞争性磋商文件</w:t>
      </w:r>
      <w:r>
        <w:rPr>
          <w:rFonts w:hint="eastAsia" w:ascii="宋体" w:hAnsi="宋体" w:eastAsia="宋体" w:cs="宋体"/>
          <w:color w:val="auto"/>
          <w:szCs w:val="24"/>
          <w:highlight w:val="none"/>
        </w:rPr>
        <w:t>的供应商，磋商将被拒绝。</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6.4如果采购过程中有发出更正公告，采购人将根据实际情况确定是否延长报名期限，则报名截止时间以更正公告中的约定为准。</w:t>
      </w:r>
    </w:p>
    <w:p>
      <w:pPr>
        <w:pStyle w:val="21"/>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Cs w:val="24"/>
          <w:highlight w:val="none"/>
          <w:shd w:val="clear" w:color="auto" w:fill="FFFFFF"/>
        </w:rPr>
      </w:pPr>
      <w:r>
        <w:rPr>
          <w:rFonts w:hint="eastAsia" w:ascii="宋体" w:hAnsi="宋体" w:eastAsia="宋体" w:cs="宋体"/>
          <w:b/>
          <w:bCs/>
          <w:color w:val="auto"/>
          <w:szCs w:val="24"/>
          <w:highlight w:val="none"/>
          <w:shd w:val="clear" w:color="auto" w:fill="FFFFFF"/>
          <w:lang w:val="en-US" w:eastAsia="zh-CN"/>
        </w:rPr>
        <w:t>7.</w:t>
      </w:r>
      <w:r>
        <w:rPr>
          <w:rFonts w:hint="eastAsia" w:ascii="宋体" w:hAnsi="宋体" w:eastAsia="宋体" w:cs="宋体"/>
          <w:b/>
          <w:bCs/>
          <w:color w:val="auto"/>
          <w:szCs w:val="24"/>
          <w:highlight w:val="none"/>
          <w:shd w:val="clear" w:color="auto" w:fill="FFFFFF"/>
        </w:rPr>
        <w:t>响应文件递交截止时间及地点：</w:t>
      </w:r>
    </w:p>
    <w:p>
      <w:pPr>
        <w:pStyle w:val="21"/>
        <w:keepNext w:val="0"/>
        <w:keepLines w:val="0"/>
        <w:pageBreakBefore w:val="0"/>
        <w:kinsoku/>
        <w:wordWrap/>
        <w:overflowPunct/>
        <w:topLinePunct w:val="0"/>
        <w:autoSpaceDE/>
        <w:autoSpaceDN/>
        <w:bidi w:val="0"/>
        <w:adjustRightInd/>
        <w:snapToGrid/>
        <w:spacing w:line="360" w:lineRule="auto"/>
        <w:ind w:left="48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7.1响应文件递交截止时间：</w:t>
      </w:r>
      <w:r>
        <w:rPr>
          <w:rFonts w:hint="eastAsia" w:ascii="宋体" w:hAnsi="宋体" w:eastAsia="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eastAsia="zh-CN"/>
        </w:rPr>
        <w:t>年</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日</w:t>
      </w:r>
      <w:r>
        <w:rPr>
          <w:rFonts w:hint="eastAsia" w:ascii="宋体" w:hAnsi="宋体" w:cs="宋体"/>
          <w:color w:val="auto"/>
          <w:szCs w:val="24"/>
          <w:highlight w:val="none"/>
          <w:lang w:eastAsia="zh-CN"/>
        </w:rPr>
        <w:t>09：30时</w:t>
      </w:r>
      <w:r>
        <w:rPr>
          <w:rFonts w:hint="eastAsia" w:ascii="宋体" w:hAnsi="宋体" w:eastAsia="宋体" w:cs="宋体"/>
          <w:color w:val="auto"/>
          <w:szCs w:val="24"/>
          <w:highlight w:val="none"/>
          <w:shd w:val="clear" w:color="auto" w:fill="FFFFFF"/>
        </w:rPr>
        <w:t>(北京时间)。</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7.2响应文件递交地点：泉州市嘉隆招标代理有限公司开标室（地址：泉州市丰泽区大山边路71号负一层）。</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7.3供应商应在此之前将密封的响应文件送达本章第</w:t>
      </w:r>
      <w:r>
        <w:rPr>
          <w:rFonts w:hint="eastAsia" w:ascii="宋体" w:hAnsi="宋体" w:eastAsia="宋体" w:cs="宋体"/>
          <w:color w:val="auto"/>
          <w:szCs w:val="24"/>
          <w:highlight w:val="none"/>
          <w:shd w:val="clear" w:color="auto" w:fill="FFFFFF"/>
          <w:lang w:val="en-US" w:eastAsia="zh-CN"/>
        </w:rPr>
        <w:t>8</w:t>
      </w:r>
      <w:r>
        <w:rPr>
          <w:rFonts w:hint="eastAsia" w:ascii="宋体" w:hAnsi="宋体" w:eastAsia="宋体" w:cs="宋体"/>
          <w:color w:val="auto"/>
          <w:szCs w:val="24"/>
          <w:highlight w:val="none"/>
          <w:shd w:val="clear" w:color="auto" w:fill="FFFFFF"/>
        </w:rPr>
        <w:t>条载明的地点，逾期送达的或不符合规定的响应文件将被拒绝接收。</w:t>
      </w:r>
    </w:p>
    <w:p>
      <w:pPr>
        <w:pStyle w:val="21"/>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Cs w:val="24"/>
          <w:highlight w:val="none"/>
          <w:shd w:val="clear" w:color="auto" w:fill="FFFFFF"/>
        </w:rPr>
      </w:pPr>
      <w:r>
        <w:rPr>
          <w:rFonts w:hint="eastAsia" w:ascii="宋体" w:hAnsi="宋体" w:eastAsia="宋体" w:cs="宋体"/>
          <w:b/>
          <w:bCs/>
          <w:color w:val="auto"/>
          <w:szCs w:val="24"/>
          <w:highlight w:val="none"/>
          <w:shd w:val="clear" w:color="auto" w:fill="FFFFFF"/>
        </w:rPr>
        <w:t>8.磋商时间及地点：</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8.1磋商时间：</w:t>
      </w:r>
      <w:r>
        <w:rPr>
          <w:rFonts w:hint="eastAsia" w:ascii="宋体" w:hAnsi="宋体" w:eastAsia="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eastAsia="zh-CN"/>
        </w:rPr>
        <w:t>年</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日</w:t>
      </w:r>
      <w:r>
        <w:rPr>
          <w:rFonts w:hint="eastAsia" w:ascii="宋体" w:hAnsi="宋体" w:cs="宋体"/>
          <w:color w:val="auto"/>
          <w:szCs w:val="24"/>
          <w:highlight w:val="none"/>
          <w:lang w:eastAsia="zh-CN"/>
        </w:rPr>
        <w:t>09：30时</w:t>
      </w:r>
      <w:r>
        <w:rPr>
          <w:rFonts w:hint="eastAsia" w:ascii="宋体" w:hAnsi="宋体" w:eastAsia="宋体" w:cs="宋体"/>
          <w:color w:val="auto"/>
          <w:szCs w:val="24"/>
          <w:highlight w:val="none"/>
          <w:shd w:val="clear" w:color="auto" w:fill="FFFFFF"/>
        </w:rPr>
        <w:t>(北京时间)。</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8.2磋商地点：泉州市嘉隆招标代理有限公司开标室（地址：泉州市丰泽区大山边路71号负一层）。</w:t>
      </w:r>
    </w:p>
    <w:p>
      <w:pPr>
        <w:pStyle w:val="21"/>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rPr>
        <w:t>9.竞争性磋商公告期限：自采购信息发布媒体公告之日起3个工作日</w:t>
      </w:r>
      <w:r>
        <w:rPr>
          <w:rFonts w:hint="eastAsia" w:ascii="宋体" w:hAnsi="宋体" w:eastAsia="宋体" w:cs="宋体"/>
          <w:color w:val="auto"/>
          <w:szCs w:val="24"/>
          <w:highlight w:val="none"/>
          <w:shd w:val="clear" w:color="auto" w:fill="FFFFFF"/>
        </w:rPr>
        <w:t>。</w:t>
      </w:r>
    </w:p>
    <w:p>
      <w:pPr>
        <w:pStyle w:val="21"/>
        <w:keepNext w:val="0"/>
        <w:keepLines w:val="0"/>
        <w:pageBreakBefore w:val="0"/>
        <w:kinsoku/>
        <w:wordWrap/>
        <w:overflowPunct/>
        <w:topLinePunct w:val="0"/>
        <w:autoSpaceDE/>
        <w:autoSpaceDN/>
        <w:bidi w:val="0"/>
        <w:adjustRightInd/>
        <w:snapToGrid/>
        <w:spacing w:line="360" w:lineRule="auto"/>
        <w:ind w:firstLine="422" w:firstLineChars="175"/>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10.采购人：</w:t>
      </w:r>
      <w:r>
        <w:rPr>
          <w:rFonts w:hint="eastAsia" w:ascii="宋体" w:hAnsi="宋体" w:cs="宋体"/>
          <w:b/>
          <w:bCs/>
          <w:color w:val="auto"/>
          <w:szCs w:val="24"/>
          <w:highlight w:val="none"/>
          <w:lang w:eastAsia="zh-CN"/>
        </w:rPr>
        <w:t>泉州师范学院</w:t>
      </w:r>
    </w:p>
    <w:p>
      <w:pPr>
        <w:keepNext w:val="0"/>
        <w:keepLines w:val="0"/>
        <w:pageBreakBefore w:val="0"/>
        <w:widowControl/>
        <w:kinsoku/>
        <w:wordWrap/>
        <w:overflowPunct/>
        <w:topLinePunct w:val="0"/>
        <w:autoSpaceDE/>
        <w:autoSpaceDN/>
        <w:bidi w:val="0"/>
        <w:adjustRightInd/>
        <w:snapToGrid/>
        <w:spacing w:before="63" w:after="63" w:line="360" w:lineRule="auto"/>
        <w:ind w:firstLine="40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址：泉州市丰泽区东海大街398号</w:t>
      </w:r>
    </w:p>
    <w:p>
      <w:pPr>
        <w:keepNext w:val="0"/>
        <w:keepLines w:val="0"/>
        <w:pageBreakBefore w:val="0"/>
        <w:widowControl/>
        <w:kinsoku/>
        <w:wordWrap/>
        <w:overflowPunct/>
        <w:topLinePunct w:val="0"/>
        <w:autoSpaceDE/>
        <w:autoSpaceDN/>
        <w:bidi w:val="0"/>
        <w:adjustRightInd/>
        <w:snapToGrid/>
        <w:spacing w:before="63" w:after="63" w:line="360" w:lineRule="auto"/>
        <w:ind w:firstLine="401"/>
        <w:jc w:val="left"/>
        <w:rPr>
          <w:rFonts w:hint="default" w:ascii="宋体" w:hAnsi="宋体" w:eastAsia="宋体" w:cs="宋体"/>
          <w:bCs/>
          <w:color w:val="auto"/>
          <w:spacing w:val="-7"/>
          <w:sz w:val="24"/>
          <w:szCs w:val="24"/>
          <w:highlight w:val="none"/>
          <w:lang w:val="en-US" w:eastAsia="zh-CN"/>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lang w:val="en-US" w:eastAsia="zh-CN"/>
        </w:rPr>
        <w:t>苏老师</w:t>
      </w:r>
    </w:p>
    <w:p>
      <w:pPr>
        <w:keepNext w:val="0"/>
        <w:keepLines w:val="0"/>
        <w:pageBreakBefore w:val="0"/>
        <w:widowControl/>
        <w:kinsoku/>
        <w:wordWrap/>
        <w:overflowPunct/>
        <w:topLinePunct w:val="0"/>
        <w:autoSpaceDE/>
        <w:autoSpaceDN/>
        <w:bidi w:val="0"/>
        <w:adjustRightInd/>
        <w:snapToGrid/>
        <w:spacing w:before="63" w:after="63" w:line="360" w:lineRule="auto"/>
        <w:ind w:firstLine="40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联系方法：</w:t>
      </w:r>
      <w:r>
        <w:rPr>
          <w:rFonts w:hint="eastAsia" w:ascii="宋体" w:hAnsi="宋体" w:eastAsia="宋体" w:cs="宋体"/>
          <w:bCs/>
          <w:color w:val="auto"/>
          <w:spacing w:val="-7"/>
          <w:sz w:val="24"/>
          <w:szCs w:val="24"/>
          <w:highlight w:val="none"/>
          <w:lang w:val="en-US" w:eastAsia="zh-CN"/>
        </w:rPr>
        <w:t>0595-22919532</w:t>
      </w:r>
      <w:r>
        <w:rPr>
          <w:rFonts w:hint="eastAsia" w:ascii="宋体" w:hAnsi="宋体" w:eastAsia="宋体" w:cs="宋体"/>
          <w:bCs/>
          <w:color w:val="auto"/>
          <w:spacing w:val="-7"/>
          <w:sz w:val="24"/>
          <w:szCs w:val="24"/>
          <w:highlight w:val="none"/>
        </w:rPr>
        <w:t xml:space="preserve"> </w:t>
      </w:r>
    </w:p>
    <w:p>
      <w:pPr>
        <w:pStyle w:val="21"/>
        <w:keepNext w:val="0"/>
        <w:keepLines w:val="0"/>
        <w:pageBreakBefore w:val="0"/>
        <w:kinsoku/>
        <w:wordWrap/>
        <w:overflowPunct/>
        <w:topLinePunct w:val="0"/>
        <w:autoSpaceDE/>
        <w:autoSpaceDN/>
        <w:bidi w:val="0"/>
        <w:adjustRightInd/>
        <w:snapToGrid/>
        <w:spacing w:line="360" w:lineRule="auto"/>
        <w:ind w:firstLine="422" w:firstLineChars="175"/>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11.代理机构：泉州市嘉隆招标代理有限公司</w:t>
      </w:r>
    </w:p>
    <w:p>
      <w:pPr>
        <w:pStyle w:val="21"/>
        <w:keepNext w:val="0"/>
        <w:keepLines w:val="0"/>
        <w:pageBreakBefore w:val="0"/>
        <w:kinsoku/>
        <w:wordWrap/>
        <w:overflowPunct/>
        <w:topLinePunct w:val="0"/>
        <w:autoSpaceDE/>
        <w:autoSpaceDN/>
        <w:bidi w:val="0"/>
        <w:adjustRightInd/>
        <w:snapToGrid/>
        <w:spacing w:line="360" w:lineRule="auto"/>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shd w:val="clear" w:color="auto" w:fill="FFFFFF"/>
        </w:rPr>
        <w:t>泉州市丰泽区大山边路71号</w:t>
      </w:r>
    </w:p>
    <w:p>
      <w:pPr>
        <w:pStyle w:val="21"/>
        <w:keepNext w:val="0"/>
        <w:keepLines w:val="0"/>
        <w:pageBreakBefore w:val="0"/>
        <w:kinsoku/>
        <w:wordWrap/>
        <w:overflowPunct/>
        <w:topLinePunct w:val="0"/>
        <w:autoSpaceDE/>
        <w:autoSpaceDN/>
        <w:bidi w:val="0"/>
        <w:adjustRightInd/>
        <w:snapToGrid/>
        <w:spacing w:line="360" w:lineRule="auto"/>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r>
        <w:rPr>
          <w:rFonts w:hint="eastAsia" w:ascii="宋体" w:hAnsi="宋体" w:cs="宋体"/>
          <w:color w:val="auto"/>
          <w:szCs w:val="24"/>
          <w:highlight w:val="none"/>
          <w:lang w:val="en-US" w:eastAsia="zh-CN"/>
        </w:rPr>
        <w:t>施女士</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郭</w:t>
      </w:r>
      <w:r>
        <w:rPr>
          <w:rFonts w:hint="eastAsia" w:ascii="宋体" w:hAnsi="宋体" w:eastAsia="宋体" w:cs="宋体"/>
          <w:color w:val="auto"/>
          <w:szCs w:val="24"/>
          <w:highlight w:val="none"/>
        </w:rPr>
        <w:t>女士</w:t>
      </w:r>
    </w:p>
    <w:p>
      <w:pPr>
        <w:pStyle w:val="21"/>
        <w:keepNext w:val="0"/>
        <w:keepLines w:val="0"/>
        <w:pageBreakBefore w:val="0"/>
        <w:kinsoku/>
        <w:wordWrap/>
        <w:overflowPunct/>
        <w:topLinePunct w:val="0"/>
        <w:autoSpaceDE/>
        <w:autoSpaceDN/>
        <w:bidi w:val="0"/>
        <w:adjustRightInd/>
        <w:snapToGrid/>
        <w:spacing w:line="360" w:lineRule="auto"/>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联系电话：0595-22795666</w:t>
      </w:r>
    </w:p>
    <w:p>
      <w:pPr>
        <w:pStyle w:val="21"/>
        <w:keepNext w:val="0"/>
        <w:keepLines w:val="0"/>
        <w:pageBreakBefore w:val="0"/>
        <w:kinsoku/>
        <w:wordWrap/>
        <w:overflowPunct/>
        <w:topLinePunct w:val="0"/>
        <w:autoSpaceDE/>
        <w:autoSpaceDN/>
        <w:bidi w:val="0"/>
        <w:adjustRightInd/>
        <w:snapToGrid/>
        <w:spacing w:line="360" w:lineRule="auto"/>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箱：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"mailto:qzjlzbdl@163.com" </w:instrText>
      </w:r>
      <w:r>
        <w:rPr>
          <w:rFonts w:hint="eastAsia" w:ascii="宋体" w:hAnsi="宋体" w:eastAsia="宋体" w:cs="宋体"/>
          <w:color w:val="auto"/>
          <w:highlight w:val="none"/>
        </w:rPr>
        <w:fldChar w:fldCharType="separate"/>
      </w:r>
      <w:r>
        <w:rPr>
          <w:rStyle w:val="33"/>
          <w:rFonts w:hint="eastAsia" w:ascii="宋体" w:hAnsi="宋体" w:eastAsia="宋体" w:cs="宋体"/>
          <w:color w:val="auto"/>
          <w:szCs w:val="24"/>
          <w:highlight w:val="none"/>
        </w:rPr>
        <w:t>qzjlzbdl@163.com</w:t>
      </w:r>
      <w:r>
        <w:rPr>
          <w:rStyle w:val="33"/>
          <w:rFonts w:hint="eastAsia" w:ascii="宋体" w:hAnsi="宋体" w:eastAsia="宋体" w:cs="宋体"/>
          <w:color w:val="auto"/>
          <w:szCs w:val="24"/>
          <w:highlight w:val="none"/>
        </w:rPr>
        <w:fldChar w:fldCharType="end"/>
      </w:r>
    </w:p>
    <w:p>
      <w:pPr>
        <w:pStyle w:val="21"/>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附1：账户信息</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9140" w:type="dxa"/>
            <w:vAlign w:val="center"/>
          </w:tcPr>
          <w:p>
            <w:pPr>
              <w:pStyle w:val="21"/>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购买竞争性磋商文件及缴纳相关费用账户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140" w:type="dxa"/>
          </w:tcPr>
          <w:p>
            <w:pPr>
              <w:pStyle w:val="2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开户名称：</w:t>
            </w:r>
            <w:r>
              <w:rPr>
                <w:rFonts w:hint="eastAsia" w:ascii="宋体" w:hAnsi="宋体" w:eastAsia="宋体" w:cs="宋体"/>
                <w:color w:val="auto"/>
                <w:szCs w:val="24"/>
                <w:highlight w:val="none"/>
                <w:u w:val="single"/>
                <w:shd w:val="clear" w:color="auto" w:fill="FFFFFF"/>
              </w:rPr>
              <w:t>泉州市嘉隆招标代理有限公司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40" w:type="dxa"/>
          </w:tcPr>
          <w:p>
            <w:pPr>
              <w:pStyle w:val="2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开户银行：</w:t>
            </w:r>
            <w:r>
              <w:rPr>
                <w:rFonts w:hint="eastAsia" w:ascii="宋体" w:hAnsi="宋体" w:eastAsia="宋体" w:cs="宋体"/>
                <w:color w:val="auto"/>
                <w:szCs w:val="24"/>
                <w:highlight w:val="none"/>
                <w:u w:val="single"/>
              </w:rPr>
              <w:t>中国民生银行泉州分行营业部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140" w:type="dxa"/>
          </w:tcPr>
          <w:p>
            <w:pPr>
              <w:pStyle w:val="2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银行账号：</w:t>
            </w:r>
            <w:r>
              <w:rPr>
                <w:rFonts w:hint="eastAsia" w:ascii="宋体" w:hAnsi="宋体" w:eastAsia="宋体" w:cs="宋体"/>
                <w:color w:val="auto"/>
                <w:szCs w:val="24"/>
                <w:highlight w:val="none"/>
                <w:u w:val="single"/>
              </w:rPr>
              <w:t>2301012830009195</w:t>
            </w:r>
          </w:p>
        </w:tc>
      </w:tr>
    </w:tbl>
    <w:p>
      <w:pPr>
        <w:pStyle w:val="21"/>
        <w:spacing w:line="360" w:lineRule="auto"/>
        <w:rPr>
          <w:rFonts w:hint="eastAsia" w:ascii="宋体" w:hAnsi="宋体" w:eastAsia="宋体" w:cs="宋体"/>
          <w:b/>
          <w:bCs/>
          <w:color w:val="auto"/>
          <w:szCs w:val="24"/>
          <w:highlight w:val="none"/>
        </w:rPr>
      </w:pPr>
    </w:p>
    <w:p>
      <w:pPr>
        <w:pStyle w:val="21"/>
        <w:spacing w:line="360" w:lineRule="auto"/>
        <w:rPr>
          <w:rFonts w:hint="eastAsia" w:ascii="宋体" w:hAnsi="宋体" w:eastAsia="宋体" w:cs="宋体"/>
          <w:b/>
          <w:bCs/>
          <w:color w:val="auto"/>
          <w:szCs w:val="24"/>
          <w:highlight w:val="none"/>
        </w:rPr>
      </w:pPr>
    </w:p>
    <w:p>
      <w:pPr>
        <w:pStyle w:val="21"/>
        <w:spacing w:line="360" w:lineRule="auto"/>
        <w:rPr>
          <w:rFonts w:hint="eastAsia" w:ascii="宋体" w:hAnsi="宋体" w:eastAsia="宋体" w:cs="宋体"/>
          <w:b/>
          <w:bCs/>
          <w:color w:val="auto"/>
          <w:szCs w:val="24"/>
          <w:highlight w:val="none"/>
        </w:rPr>
      </w:pPr>
    </w:p>
    <w:p>
      <w:pPr>
        <w:pStyle w:val="21"/>
        <w:spacing w:line="360" w:lineRule="auto"/>
        <w:rPr>
          <w:rFonts w:hint="eastAsia" w:ascii="宋体" w:hAnsi="宋体" w:eastAsia="宋体" w:cs="宋体"/>
          <w:b/>
          <w:bCs/>
          <w:color w:val="auto"/>
          <w:szCs w:val="24"/>
          <w:highlight w:val="none"/>
        </w:rPr>
      </w:pPr>
    </w:p>
    <w:p>
      <w:pPr>
        <w:pStyle w:val="2"/>
        <w:jc w:val="center"/>
        <w:rPr>
          <w:rFonts w:hint="eastAsia" w:ascii="宋体" w:hAnsi="宋体" w:eastAsia="宋体" w:cs="宋体"/>
          <w:color w:val="auto"/>
          <w:sz w:val="32"/>
          <w:szCs w:val="32"/>
          <w:highlight w:val="none"/>
        </w:rPr>
      </w:pPr>
      <w:bookmarkStart w:id="3" w:name="_Toc12319"/>
      <w:bookmarkStart w:id="4" w:name="_Toc29835"/>
      <w:bookmarkStart w:id="5" w:name="_Toc6300"/>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竞争性磋商须知</w:t>
      </w:r>
      <w:bookmarkEnd w:id="3"/>
      <w:bookmarkEnd w:id="4"/>
      <w:bookmarkEnd w:id="5"/>
    </w:p>
    <w:p>
      <w:pPr>
        <w:pStyle w:val="3"/>
        <w:jc w:val="center"/>
        <w:rPr>
          <w:rFonts w:hint="eastAsia" w:ascii="宋体" w:hAnsi="宋体" w:eastAsia="宋体" w:cs="宋体"/>
          <w:color w:val="auto"/>
          <w:sz w:val="30"/>
          <w:szCs w:val="30"/>
          <w:highlight w:val="none"/>
        </w:rPr>
      </w:pPr>
      <w:bookmarkStart w:id="6" w:name="_Toc10891"/>
      <w:bookmarkStart w:id="7" w:name="_Toc25063"/>
      <w:bookmarkStart w:id="8" w:name="_Toc27687"/>
      <w:r>
        <w:rPr>
          <w:rFonts w:hint="eastAsia" w:ascii="宋体" w:hAnsi="宋体" w:eastAsia="宋体" w:cs="宋体"/>
          <w:color w:val="auto"/>
          <w:sz w:val="30"/>
          <w:szCs w:val="30"/>
          <w:highlight w:val="none"/>
        </w:rPr>
        <w:t>第1节 竞争性磋商须知前附表</w:t>
      </w:r>
      <w:bookmarkEnd w:id="6"/>
      <w:bookmarkEnd w:id="7"/>
      <w:bookmarkEnd w:id="8"/>
    </w:p>
    <w:p>
      <w:pPr>
        <w:pStyle w:val="21"/>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竞争性磋商须知前附表是对竞争性磋商须知的补充和细化，二者如有矛盾，以前附表中的要求和规定为准。</w:t>
      </w:r>
    </w:p>
    <w:tbl>
      <w:tblPr>
        <w:tblStyle w:val="2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56"/>
        <w:gridCol w:w="7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vAlign w:val="center"/>
          </w:tcPr>
          <w:p>
            <w:pPr>
              <w:pStyle w:val="21"/>
              <w:spacing w:line="360" w:lineRule="auto"/>
              <w:jc w:val="center"/>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项号</w:t>
            </w:r>
          </w:p>
        </w:tc>
        <w:tc>
          <w:tcPr>
            <w:tcW w:w="1056" w:type="dxa"/>
            <w:vAlign w:val="center"/>
          </w:tcPr>
          <w:p>
            <w:pPr>
              <w:pStyle w:val="21"/>
              <w:spacing w:line="360" w:lineRule="auto"/>
              <w:jc w:val="center"/>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条款号</w:t>
            </w:r>
          </w:p>
        </w:tc>
        <w:tc>
          <w:tcPr>
            <w:tcW w:w="7691" w:type="dxa"/>
            <w:vAlign w:val="center"/>
          </w:tcPr>
          <w:p>
            <w:pPr>
              <w:pStyle w:val="21"/>
              <w:spacing w:line="360" w:lineRule="auto"/>
              <w:jc w:val="center"/>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457"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1</w:t>
            </w:r>
          </w:p>
        </w:tc>
        <w:tc>
          <w:tcPr>
            <w:tcW w:w="1056"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3.2.1</w:t>
            </w:r>
          </w:p>
        </w:tc>
        <w:tc>
          <w:tcPr>
            <w:tcW w:w="7691" w:type="dxa"/>
          </w:tcPr>
          <w:p>
            <w:pPr>
              <w:pStyle w:val="21"/>
              <w:spacing w:line="360" w:lineRule="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供应商的资格要求</w:t>
            </w:r>
            <w:r>
              <w:rPr>
                <w:rFonts w:hint="eastAsia" w:ascii="宋体" w:hAnsi="宋体" w:eastAsia="宋体" w:cs="宋体"/>
                <w:color w:val="auto"/>
                <w:szCs w:val="24"/>
                <w:highlight w:val="none"/>
              </w:rPr>
              <w:t>：见竞争性磋商文件第一章“采购公告/采购邀请书”</w:t>
            </w:r>
          </w:p>
          <w:p>
            <w:pPr>
              <w:pStyle w:val="21"/>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资格证明文件资料要求：</w:t>
            </w:r>
          </w:p>
          <w:tbl>
            <w:tblPr>
              <w:tblStyle w:val="25"/>
              <w:tblW w:w="74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438"/>
              <w:gridCol w:w="50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blHeader/>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明 细</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描 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a1磋商响应声明</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a2单位负责人授权书</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a3营业执照等证明文件</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a4提供财务状况报告（财务报告、或资信证明）</w:t>
                  </w:r>
                </w:p>
              </w:tc>
              <w:tc>
                <w:tcPr>
                  <w:tcW w:w="5022" w:type="dxa"/>
                  <w:tcBorders>
                    <w:top w:val="outset" w:color="auto" w:sz="6" w:space="0"/>
                    <w:left w:val="outset" w:color="auto" w:sz="6" w:space="0"/>
                    <w:bottom w:val="outset" w:color="auto" w:sz="6" w:space="0"/>
                    <w:right w:val="outset" w:color="auto" w:sz="6" w:space="0"/>
                  </w:tcBorders>
                  <w:shd w:val="clear" w:color="auto" w:fill="auto"/>
                </w:tcPr>
                <w:p>
                  <w:pPr>
                    <w:pStyle w:val="83"/>
                    <w:spacing w:line="360" w:lineRule="auto"/>
                    <w:jc w:val="left"/>
                    <w:rPr>
                      <w:rFonts w:hint="eastAsia" w:ascii="Calibri" w:hAnsi="Calibri" w:eastAsia="宋体" w:cs="宋体"/>
                      <w:color w:val="auto"/>
                      <w:highlight w:val="none"/>
                      <w:lang w:val="en-US"/>
                    </w:rPr>
                  </w:pPr>
                  <w:r>
                    <w:rPr>
                      <w:rFonts w:hint="eastAsia" w:ascii="宋体" w:hAnsi="宋体" w:eastAsia="宋体" w:cs="宋体"/>
                      <w:color w:val="auto"/>
                      <w:kern w:val="0"/>
                      <w:sz w:val="24"/>
                      <w:szCs w:val="24"/>
                      <w:highlight w:val="none"/>
                      <w:lang w:val="en-US" w:eastAsia="zh-CN" w:bidi="ar-SA"/>
                    </w:rPr>
                    <w:t>①供应商提供的财务报告复印件（成立年限按照提交响应文件截止时间推算）应符合下列规定：a.成立年限满1年及以上的供应商，提供经审计的2024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2"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a5依法缴纳税收证明材料</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r>
                    <w:rPr>
                      <w:rFonts w:hint="eastAsia" w:ascii="宋体" w:hAnsi="宋体" w:cs="宋体"/>
                      <w:color w:val="auto"/>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2"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a6依法缴纳社会保障资金证明材料</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2"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a7具备履行合同所必需设备和专业技术能力的声明函(若有)</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a8参加采购活动前三年内在经营活动中没有重大违法记录的声明</w:t>
                  </w:r>
                </w:p>
              </w:tc>
              <w:tc>
                <w:tcPr>
                  <w:tcW w:w="5022" w:type="dxa"/>
                  <w:tcBorders>
                    <w:top w:val="outset" w:color="auto" w:sz="6" w:space="0"/>
                    <w:left w:val="outset" w:color="auto" w:sz="6" w:space="0"/>
                    <w:bottom w:val="outset" w:color="auto" w:sz="6" w:space="0"/>
                    <w:right w:val="outset" w:color="auto" w:sz="6" w:space="0"/>
                  </w:tcBorders>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trPr>
              <w:tc>
                <w:tcPr>
                  <w:tcW w:w="2438" w:type="dxa"/>
                  <w:tcBorders>
                    <w:top w:val="outset" w:color="auto" w:sz="6" w:space="0"/>
                    <w:left w:val="outset" w:color="auto" w:sz="6" w:space="0"/>
                    <w:bottom w:val="outset" w:color="auto" w:sz="6" w:space="0"/>
                    <w:right w:val="outset" w:color="auto" w:sz="6" w:space="0"/>
                  </w:tcBorders>
                  <w:vAlign w:val="center"/>
                </w:tcPr>
                <w:p>
                  <w:pPr>
                    <w:pStyle w:val="83"/>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a9中小企业声明函（以资格条件落实中小企业扶持政策时适用 ）</w:t>
                  </w:r>
                </w:p>
              </w:tc>
              <w:tc>
                <w:tcPr>
                  <w:tcW w:w="5022" w:type="dxa"/>
                  <w:tcBorders>
                    <w:top w:val="outset" w:color="auto" w:sz="6" w:space="0"/>
                    <w:left w:val="outset" w:color="auto" w:sz="6" w:space="0"/>
                    <w:bottom w:val="outset" w:color="auto" w:sz="6" w:space="0"/>
                    <w:right w:val="outset" w:color="auto" w:sz="6" w:space="0"/>
                  </w:tcBorders>
                </w:tcPr>
                <w:p>
                  <w:pPr>
                    <w:pStyle w:val="83"/>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a10</w:t>
                  </w:r>
                  <w:r>
                    <w:rPr>
                      <w:rFonts w:hint="eastAsia" w:ascii="宋体" w:hAnsi="宋体" w:eastAsia="宋体" w:cs="宋体"/>
                      <w:color w:val="auto"/>
                      <w:kern w:val="0"/>
                      <w:sz w:val="24"/>
                      <w:szCs w:val="24"/>
                      <w:highlight w:val="none"/>
                    </w:rPr>
                    <w:t>信用记录查询结果</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3" w:hRule="atLeast"/>
              </w:trPr>
              <w:tc>
                <w:tcPr>
                  <w:tcW w:w="243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磋商保证金</w:t>
                  </w:r>
                </w:p>
              </w:tc>
              <w:tc>
                <w:tcPr>
                  <w:tcW w:w="5022" w:type="dxa"/>
                  <w:tcBorders>
                    <w:top w:val="outset" w:color="auto" w:sz="6" w:space="0"/>
                    <w:left w:val="outset" w:color="auto" w:sz="6" w:space="0"/>
                    <w:bottom w:val="outset" w:color="auto" w:sz="6" w:space="0"/>
                    <w:right w:val="outset" w:color="auto" w:sz="6"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w:t>
                  </w:r>
                </w:p>
              </w:tc>
            </w:tr>
          </w:tbl>
          <w:p>
            <w:pPr>
              <w:pStyle w:val="21"/>
              <w:spacing w:line="360" w:lineRule="auto"/>
              <w:rPr>
                <w:rFonts w:hint="eastAsia" w:ascii="宋体" w:hAnsi="宋体" w:eastAsia="宋体" w:cs="宋体"/>
                <w:b/>
                <w:bCs/>
                <w:color w:val="auto"/>
                <w:szCs w:val="24"/>
                <w:highlight w:val="none"/>
              </w:rPr>
            </w:pPr>
            <w:r>
              <w:rPr>
                <w:rFonts w:hint="eastAsia" w:ascii="宋体" w:hAnsi="宋体" w:cs="宋体"/>
                <w:b/>
                <w:bCs/>
                <w:color w:val="auto"/>
                <w:szCs w:val="24"/>
                <w:highlight w:val="none"/>
                <w:lang w:eastAsia="zh-CN"/>
              </w:rPr>
              <w:t>（</w:t>
            </w:r>
            <w:r>
              <w:rPr>
                <w:rFonts w:hint="eastAsia" w:ascii="宋体" w:hAnsi="宋体" w:cs="宋体"/>
                <w:b/>
                <w:bCs/>
                <w:color w:val="auto"/>
                <w:szCs w:val="24"/>
                <w:highlight w:val="none"/>
                <w:lang w:val="en-US" w:eastAsia="zh-CN"/>
              </w:rPr>
              <w:t>2</w:t>
            </w:r>
            <w:r>
              <w:rPr>
                <w:rFonts w:hint="eastAsia" w:ascii="宋体" w:hAnsi="宋体" w:cs="宋体"/>
                <w:b/>
                <w:bCs/>
                <w:color w:val="auto"/>
                <w:szCs w:val="24"/>
                <w:highlight w:val="none"/>
                <w:lang w:eastAsia="zh-CN"/>
              </w:rPr>
              <w:t>）</w:t>
            </w:r>
            <w:r>
              <w:rPr>
                <w:rFonts w:hint="eastAsia" w:ascii="宋体" w:hAnsi="宋体" w:eastAsia="宋体" w:cs="宋体"/>
                <w:b/>
                <w:bCs/>
                <w:color w:val="auto"/>
                <w:szCs w:val="24"/>
                <w:highlight w:val="none"/>
              </w:rPr>
              <w:t>特定资格条件：</w:t>
            </w:r>
          </w:p>
          <w:p>
            <w:pPr>
              <w:pStyle w:val="21"/>
              <w:spacing w:line="360" w:lineRule="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采购包1：</w:t>
            </w:r>
          </w:p>
          <w:tbl>
            <w:tblPr>
              <w:tblStyle w:val="25"/>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05"/>
              <w:gridCol w:w="51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资格审查要求概况</w:t>
                  </w:r>
                </w:p>
              </w:tc>
              <w:tc>
                <w:tcPr>
                  <w:tcW w:w="3455" w:type="pct"/>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vAlign w:val="center"/>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资格承诺函</w:t>
                  </w:r>
                </w:p>
              </w:tc>
              <w:tc>
                <w:tcPr>
                  <w:tcW w:w="3455" w:type="pct"/>
                </w:tcPr>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vAlign w:val="center"/>
                </w:tcPr>
                <w:p>
                  <w:pPr>
                    <w:pStyle w:val="83"/>
                    <w:spacing w:line="360" w:lineRule="auto"/>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本采购包属于专门面向中小企业采购。</w:t>
                  </w:r>
                </w:p>
              </w:tc>
              <w:tc>
                <w:tcPr>
                  <w:tcW w:w="3455" w:type="pct"/>
                </w:tcPr>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本采购包为专门面向中小企业采购，供应商须提供中小企业声明函。监狱企业、残疾人福利性单位视同小型、微型企业。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4" w:type="pct"/>
                  <w:shd w:val="clear" w:color="auto" w:fill="auto"/>
                  <w:vAlign w:val="center"/>
                </w:tcPr>
                <w:p>
                  <w:pPr>
                    <w:pStyle w:val="83"/>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其它资格条件</w:t>
                  </w:r>
                </w:p>
              </w:tc>
              <w:tc>
                <w:tcPr>
                  <w:tcW w:w="3455" w:type="pct"/>
                  <w:shd w:val="clear" w:color="auto" w:fill="auto"/>
                  <w:vAlign w:val="top"/>
                </w:tcPr>
                <w:p>
                  <w:pPr>
                    <w:pStyle w:val="83"/>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供应商须具备有效的会计师事务所执业资格，须提供证书复印件并加盖公章。</w:t>
                  </w:r>
                </w:p>
              </w:tc>
            </w:tr>
          </w:tbl>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※备注说明</w:t>
            </w:r>
          </w:p>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①供应商应根据自身实际情况提供上述资格要求的证明材料，格式可参考磋商文件第五章提供。</w:t>
            </w:r>
          </w:p>
          <w:p>
            <w:pPr>
              <w:pStyle w:val="83"/>
              <w:spacing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②供应商提供的相应证明材料复印件均应符合：内容完整、清晰、整洁，并由供应商加盖其单位公章。</w:t>
            </w:r>
          </w:p>
          <w:p>
            <w:pPr>
              <w:pStyle w:val="83"/>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shd w:val="clear" w:color="auto" w:fill="FFFFFF"/>
                <w:lang w:val="en-US" w:eastAsia="zh-CN" w:bidi="ar-SA"/>
              </w:rPr>
              <w:t>③根据采购文件须知前附表1第1项号的“（2）特定资格条件”要求，允许供应商采用资格承诺制的并提供符合要求的资格承诺函，视为满足采购文件的资格要求。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57"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2</w:t>
            </w:r>
          </w:p>
        </w:tc>
        <w:tc>
          <w:tcPr>
            <w:tcW w:w="1056"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3.2.2</w:t>
            </w:r>
          </w:p>
        </w:tc>
        <w:tc>
          <w:tcPr>
            <w:tcW w:w="7691" w:type="dxa"/>
            <w:vAlign w:val="center"/>
          </w:tcPr>
          <w:p>
            <w:pPr>
              <w:pStyle w:val="21"/>
              <w:spacing w:line="360" w:lineRule="auto"/>
              <w:jc w:val="both"/>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是否接受联合体形式的响应磋商：</w:t>
            </w:r>
            <w:r>
              <w:rPr>
                <w:rFonts w:hint="eastAsia" w:ascii="宋体" w:hAnsi="宋体" w:eastAsia="宋体" w:cs="宋体"/>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57"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3</w:t>
            </w:r>
          </w:p>
        </w:tc>
        <w:tc>
          <w:tcPr>
            <w:tcW w:w="1056"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9.1</w:t>
            </w:r>
          </w:p>
        </w:tc>
        <w:tc>
          <w:tcPr>
            <w:tcW w:w="7691" w:type="dxa"/>
            <w:vAlign w:val="center"/>
          </w:tcPr>
          <w:p>
            <w:pPr>
              <w:pStyle w:val="21"/>
              <w:spacing w:line="360" w:lineRule="auto"/>
              <w:jc w:val="both"/>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响应文件有效期：</w:t>
            </w:r>
            <w:r>
              <w:rPr>
                <w:rFonts w:hint="eastAsia" w:ascii="宋体" w:hAnsi="宋体" w:eastAsia="宋体" w:cs="宋体"/>
                <w:color w:val="auto"/>
                <w:szCs w:val="24"/>
                <w:highlight w:val="none"/>
              </w:rPr>
              <w:t>响应文件提交截止时间起</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4</w:t>
            </w:r>
          </w:p>
        </w:tc>
        <w:tc>
          <w:tcPr>
            <w:tcW w:w="1056"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10.1</w:t>
            </w:r>
          </w:p>
        </w:tc>
        <w:tc>
          <w:tcPr>
            <w:tcW w:w="7691" w:type="dxa"/>
          </w:tcPr>
          <w:p>
            <w:pPr>
              <w:pStyle w:val="21"/>
              <w:spacing w:line="360" w:lineRule="auto"/>
              <w:rPr>
                <w:rStyle w:val="28"/>
                <w:rFonts w:hint="eastAsia" w:ascii="宋体" w:hAnsi="宋体" w:eastAsia="宋体" w:cs="宋体"/>
                <w:color w:val="auto"/>
                <w:highlight w:val="none"/>
                <w:lang w:eastAsia="zh-CN"/>
              </w:rPr>
            </w:pPr>
            <w:r>
              <w:rPr>
                <w:rStyle w:val="28"/>
                <w:rFonts w:hint="eastAsia" w:ascii="宋体" w:hAnsi="宋体" w:eastAsia="宋体" w:cs="宋体"/>
                <w:color w:val="auto"/>
                <w:highlight w:val="none"/>
              </w:rPr>
              <w:t>提交磋商保证金：</w:t>
            </w:r>
            <w:r>
              <w:rPr>
                <w:rFonts w:hint="eastAsia" w:ascii="宋体" w:hAnsi="宋体" w:eastAsia="宋体" w:cs="宋体"/>
                <w:color w:val="auto"/>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5</w:t>
            </w:r>
          </w:p>
        </w:tc>
        <w:tc>
          <w:tcPr>
            <w:tcW w:w="1056"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10.3.1</w:t>
            </w:r>
          </w:p>
        </w:tc>
        <w:tc>
          <w:tcPr>
            <w:tcW w:w="7691" w:type="dxa"/>
          </w:tcPr>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磋商保证金退还的其它要求：</w:t>
            </w:r>
            <w:r>
              <w:rPr>
                <w:rFonts w:hint="eastAsia" w:ascii="宋体" w:hAnsi="宋体" w:eastAsia="宋体" w:cs="宋体"/>
                <w:color w:val="auto"/>
                <w:szCs w:val="24"/>
                <w:highlight w:val="none"/>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6</w:t>
            </w:r>
          </w:p>
        </w:tc>
        <w:tc>
          <w:tcPr>
            <w:tcW w:w="1056"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11.1</w:t>
            </w:r>
          </w:p>
        </w:tc>
        <w:tc>
          <w:tcPr>
            <w:tcW w:w="7691" w:type="dxa"/>
          </w:tcPr>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响应文件的份数</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（1）响应文件：</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① 资格及资信证明部分的正本</w:t>
            </w:r>
            <w:r>
              <w:rPr>
                <w:rStyle w:val="28"/>
                <w:rFonts w:hint="eastAsia" w:ascii="宋体" w:hAnsi="宋体" w:eastAsia="宋体" w:cs="宋体"/>
                <w:b w:val="0"/>
                <w:bCs/>
                <w:color w:val="auto"/>
                <w:highlight w:val="none"/>
                <w:u w:val="single"/>
              </w:rPr>
              <w:t>1</w:t>
            </w:r>
            <w:r>
              <w:rPr>
                <w:rStyle w:val="28"/>
                <w:rFonts w:hint="eastAsia" w:ascii="宋体" w:hAnsi="宋体" w:eastAsia="宋体" w:cs="宋体"/>
                <w:b w:val="0"/>
                <w:bCs/>
                <w:color w:val="auto"/>
                <w:highlight w:val="none"/>
              </w:rPr>
              <w:t>份、副本</w:t>
            </w:r>
            <w:r>
              <w:rPr>
                <w:rStyle w:val="28"/>
                <w:rFonts w:hint="eastAsia" w:ascii="宋体" w:hAnsi="宋体" w:eastAsia="宋体" w:cs="宋体"/>
                <w:b w:val="0"/>
                <w:bCs/>
                <w:color w:val="auto"/>
                <w:highlight w:val="none"/>
                <w:u w:val="single"/>
              </w:rPr>
              <w:t>3份</w:t>
            </w:r>
            <w:r>
              <w:rPr>
                <w:rStyle w:val="28"/>
                <w:rFonts w:hint="eastAsia" w:ascii="宋体" w:hAnsi="宋体" w:eastAsia="宋体" w:cs="宋体"/>
                <w:b w:val="0"/>
                <w:bCs/>
                <w:color w:val="auto"/>
                <w:highlight w:val="none"/>
              </w:rPr>
              <w:t>；报价部分的正本</w:t>
            </w:r>
            <w:r>
              <w:rPr>
                <w:rStyle w:val="28"/>
                <w:rFonts w:hint="eastAsia" w:ascii="宋体" w:hAnsi="宋体" w:eastAsia="宋体" w:cs="宋体"/>
                <w:b w:val="0"/>
                <w:bCs/>
                <w:color w:val="auto"/>
                <w:highlight w:val="none"/>
                <w:u w:val="single"/>
              </w:rPr>
              <w:t>1</w:t>
            </w:r>
            <w:r>
              <w:rPr>
                <w:rStyle w:val="28"/>
                <w:rFonts w:hint="eastAsia" w:ascii="宋体" w:hAnsi="宋体" w:eastAsia="宋体" w:cs="宋体"/>
                <w:b w:val="0"/>
                <w:bCs/>
                <w:color w:val="auto"/>
                <w:highlight w:val="none"/>
              </w:rPr>
              <w:t>份、副本</w:t>
            </w:r>
            <w:r>
              <w:rPr>
                <w:rStyle w:val="28"/>
                <w:rFonts w:hint="eastAsia" w:ascii="宋体" w:hAnsi="宋体" w:eastAsia="宋体" w:cs="宋体"/>
                <w:b w:val="0"/>
                <w:bCs/>
                <w:color w:val="auto"/>
                <w:highlight w:val="none"/>
                <w:u w:val="single"/>
              </w:rPr>
              <w:t>3</w:t>
            </w:r>
            <w:r>
              <w:rPr>
                <w:rStyle w:val="28"/>
                <w:rFonts w:hint="eastAsia" w:ascii="宋体" w:hAnsi="宋体" w:eastAsia="宋体" w:cs="宋体"/>
                <w:b w:val="0"/>
                <w:bCs/>
                <w:color w:val="auto"/>
                <w:highlight w:val="none"/>
              </w:rPr>
              <w:t>份；技术商务部分的正本</w:t>
            </w:r>
            <w:r>
              <w:rPr>
                <w:rStyle w:val="28"/>
                <w:rFonts w:hint="eastAsia" w:ascii="宋体" w:hAnsi="宋体" w:eastAsia="宋体" w:cs="宋体"/>
                <w:b w:val="0"/>
                <w:bCs/>
                <w:color w:val="auto"/>
                <w:highlight w:val="none"/>
                <w:u w:val="single"/>
              </w:rPr>
              <w:t>1</w:t>
            </w:r>
            <w:r>
              <w:rPr>
                <w:rStyle w:val="28"/>
                <w:rFonts w:hint="eastAsia" w:ascii="宋体" w:hAnsi="宋体" w:eastAsia="宋体" w:cs="宋体"/>
                <w:b w:val="0"/>
                <w:bCs/>
                <w:color w:val="auto"/>
                <w:highlight w:val="none"/>
              </w:rPr>
              <w:t>份、副本</w:t>
            </w:r>
            <w:r>
              <w:rPr>
                <w:rStyle w:val="28"/>
                <w:rFonts w:hint="eastAsia" w:ascii="宋体" w:hAnsi="宋体" w:eastAsia="宋体" w:cs="宋体"/>
                <w:b w:val="0"/>
                <w:bCs/>
                <w:color w:val="auto"/>
                <w:highlight w:val="none"/>
                <w:u w:val="single"/>
              </w:rPr>
              <w:t>3份</w:t>
            </w:r>
            <w:r>
              <w:rPr>
                <w:rStyle w:val="28"/>
                <w:rFonts w:hint="eastAsia" w:ascii="宋体" w:hAnsi="宋体" w:eastAsia="宋体" w:cs="宋体"/>
                <w:b w:val="0"/>
                <w:bCs/>
                <w:color w:val="auto"/>
                <w:highlight w:val="none"/>
              </w:rPr>
              <w:t>。</w:t>
            </w:r>
          </w:p>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b w:val="0"/>
                <w:bCs/>
                <w:color w:val="auto"/>
                <w:highlight w:val="none"/>
              </w:rPr>
              <w:t>② 可读介质（光盘或U盘）</w:t>
            </w:r>
            <w:r>
              <w:rPr>
                <w:rStyle w:val="28"/>
                <w:rFonts w:hint="eastAsia" w:ascii="宋体" w:hAnsi="宋体" w:eastAsia="宋体" w:cs="宋体"/>
                <w:b w:val="0"/>
                <w:bCs/>
                <w:color w:val="auto"/>
                <w:highlight w:val="none"/>
                <w:u w:val="single"/>
              </w:rPr>
              <w:t>1</w:t>
            </w:r>
            <w:r>
              <w:rPr>
                <w:rStyle w:val="28"/>
                <w:rFonts w:hint="eastAsia" w:ascii="宋体" w:hAnsi="宋体" w:eastAsia="宋体" w:cs="宋体"/>
                <w:b w:val="0"/>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vAlign w:val="center"/>
          </w:tcPr>
          <w:p>
            <w:pPr>
              <w:pStyle w:val="21"/>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056" w:type="dxa"/>
            <w:vAlign w:val="center"/>
          </w:tcPr>
          <w:p>
            <w:pPr>
              <w:pStyle w:val="21"/>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11.2-③</w:t>
            </w:r>
          </w:p>
        </w:tc>
        <w:tc>
          <w:tcPr>
            <w:tcW w:w="7691" w:type="dxa"/>
          </w:tcPr>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允许散装或活页装订的内容或材料：</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（1）响应文件的补充、修改或撤回；</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（2）其他内容或材料：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vAlign w:val="center"/>
          </w:tcPr>
          <w:p>
            <w:pPr>
              <w:pStyle w:val="21"/>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1056" w:type="dxa"/>
            <w:vAlign w:val="center"/>
          </w:tcPr>
          <w:p>
            <w:pPr>
              <w:pStyle w:val="21"/>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691" w:type="dxa"/>
          </w:tcPr>
          <w:p>
            <w:pPr>
              <w:pStyle w:val="21"/>
              <w:spacing w:line="360" w:lineRule="auto"/>
              <w:rPr>
                <w:rFonts w:hint="eastAsia" w:ascii="宋体" w:hAnsi="宋体" w:eastAsia="宋体" w:cs="宋体"/>
                <w:b/>
                <w:bCs w:val="0"/>
                <w:color w:val="auto"/>
                <w:szCs w:val="24"/>
                <w:highlight w:val="none"/>
              </w:rPr>
            </w:pPr>
            <w:r>
              <w:rPr>
                <w:rStyle w:val="28"/>
                <w:rFonts w:hint="eastAsia" w:ascii="宋体" w:hAnsi="宋体" w:eastAsia="宋体" w:cs="宋体"/>
                <w:b/>
                <w:bCs w:val="0"/>
                <w:color w:val="auto"/>
                <w:highlight w:val="none"/>
              </w:rPr>
              <w:t>响应文件的密封、标识、签署：</w:t>
            </w:r>
          </w:p>
          <w:p>
            <w:pPr>
              <w:pStyle w:val="21"/>
              <w:spacing w:line="360" w:lineRule="auto"/>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rPr>
              <w:t>（1）全部响应文件分为</w:t>
            </w:r>
            <w:r>
              <w:rPr>
                <w:rFonts w:hint="eastAsia" w:ascii="宋体" w:hAnsi="宋体" w:eastAsia="宋体" w:cs="宋体"/>
                <w:b/>
                <w:bCs w:val="0"/>
                <w:color w:val="auto"/>
                <w:szCs w:val="24"/>
                <w:highlight w:val="none"/>
                <w:u w:val="single"/>
              </w:rPr>
              <w:t>资格及资信证明</w:t>
            </w:r>
            <w:r>
              <w:rPr>
                <w:rFonts w:hint="eastAsia" w:ascii="宋体" w:hAnsi="宋体" w:eastAsia="宋体" w:cs="宋体"/>
                <w:b/>
                <w:bCs w:val="0"/>
                <w:color w:val="auto"/>
                <w:szCs w:val="24"/>
                <w:highlight w:val="none"/>
              </w:rPr>
              <w:t>部分、</w:t>
            </w:r>
            <w:r>
              <w:rPr>
                <w:rFonts w:hint="eastAsia" w:ascii="宋体" w:hAnsi="宋体" w:eastAsia="宋体" w:cs="宋体"/>
                <w:b/>
                <w:bCs w:val="0"/>
                <w:color w:val="auto"/>
                <w:szCs w:val="24"/>
                <w:highlight w:val="none"/>
                <w:u w:val="single"/>
              </w:rPr>
              <w:t>报价</w:t>
            </w:r>
            <w:r>
              <w:rPr>
                <w:rFonts w:hint="eastAsia" w:ascii="宋体" w:hAnsi="宋体" w:eastAsia="宋体" w:cs="宋体"/>
                <w:b/>
                <w:bCs w:val="0"/>
                <w:color w:val="auto"/>
                <w:szCs w:val="24"/>
                <w:highlight w:val="none"/>
              </w:rPr>
              <w:t>部分和</w:t>
            </w:r>
            <w:r>
              <w:rPr>
                <w:rFonts w:hint="eastAsia" w:ascii="宋体" w:hAnsi="宋体" w:eastAsia="宋体" w:cs="宋体"/>
                <w:b/>
                <w:bCs w:val="0"/>
                <w:color w:val="auto"/>
                <w:szCs w:val="24"/>
                <w:highlight w:val="none"/>
                <w:u w:val="single"/>
              </w:rPr>
              <w:t>技术商务</w:t>
            </w:r>
            <w:r>
              <w:rPr>
                <w:rFonts w:hint="eastAsia" w:ascii="宋体" w:hAnsi="宋体" w:eastAsia="宋体" w:cs="宋体"/>
                <w:b/>
                <w:bCs w:val="0"/>
                <w:color w:val="auto"/>
                <w:szCs w:val="24"/>
                <w:highlight w:val="none"/>
              </w:rPr>
              <w:t>部分三部分必须分别胶装成册，分册密封，否则</w:t>
            </w:r>
            <w:r>
              <w:rPr>
                <w:rStyle w:val="28"/>
                <w:rFonts w:hint="eastAsia" w:ascii="宋体" w:hAnsi="宋体" w:eastAsia="宋体" w:cs="宋体"/>
                <w:b/>
                <w:bCs w:val="0"/>
                <w:color w:val="auto"/>
                <w:highlight w:val="none"/>
              </w:rPr>
              <w:t>磋商将被拒绝。</w:t>
            </w:r>
          </w:p>
          <w:p>
            <w:pPr>
              <w:pStyle w:val="21"/>
              <w:spacing w:line="360" w:lineRule="auto"/>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rPr>
              <w:t>（2）密封的外包装应至少标记“项目名称、项目编号、所投合同包、供应商名称的全称、（  ）部分以及“于         之前（指响应文件递交截止日期及时间）不准启封响应文件”的字样”等内容，由于供应商未按照要求对其提交的响应文件进行密封、标识、邮寄确认等，由此可能产生的后果（包括拒收、误放、遗漏或提前拆封等情形），将由供应商自行承担相应结果，采购人或采购代理机构不承担责任。</w:t>
            </w:r>
          </w:p>
          <w:p>
            <w:pPr>
              <w:pStyle w:val="21"/>
              <w:spacing w:line="360" w:lineRule="auto"/>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rPr>
              <w:t>（3）其他：全部响应文件必须用A4幅面纸张打印，副本可以用正本的完整复印件，并在封面标明“正本”、“副本”字样（并加盖供应商公章）。正本与副本如有不一致，则以正本为准。并按竞争性磋商文件规定的相应位置签字加盖供应商公章和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9</w:t>
            </w:r>
          </w:p>
        </w:tc>
        <w:tc>
          <w:tcPr>
            <w:tcW w:w="1056" w:type="dxa"/>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14.4</w:t>
            </w:r>
          </w:p>
        </w:tc>
        <w:tc>
          <w:tcPr>
            <w:tcW w:w="7691" w:type="dxa"/>
          </w:tcPr>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磋商过程中可能发生实质性变动的内容：</w:t>
            </w:r>
            <w:r>
              <w:rPr>
                <w:rFonts w:hint="eastAsia" w:ascii="宋体" w:hAnsi="宋体" w:eastAsia="宋体" w:cs="宋体"/>
                <w:color w:val="auto"/>
                <w:szCs w:val="24"/>
                <w:highlight w:val="none"/>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10</w:t>
            </w:r>
          </w:p>
        </w:tc>
        <w:tc>
          <w:tcPr>
            <w:tcW w:w="1056" w:type="dxa"/>
            <w:vAlign w:val="center"/>
          </w:tcPr>
          <w:p>
            <w:pPr>
              <w:pStyle w:val="21"/>
              <w:spacing w:line="360" w:lineRule="auto"/>
              <w:jc w:val="center"/>
              <w:rPr>
                <w:rStyle w:val="28"/>
                <w:rFonts w:hint="eastAsia" w:ascii="宋体" w:hAnsi="宋体" w:eastAsia="宋体" w:cs="宋体"/>
                <w:color w:val="auto"/>
                <w:highlight w:val="none"/>
              </w:rPr>
            </w:pPr>
            <w:r>
              <w:rPr>
                <w:rFonts w:hint="eastAsia" w:ascii="宋体" w:hAnsi="宋体" w:eastAsia="宋体" w:cs="宋体"/>
                <w:color w:val="auto"/>
                <w:szCs w:val="24"/>
                <w:highlight w:val="none"/>
              </w:rPr>
              <w:t>22.2</w:t>
            </w:r>
          </w:p>
        </w:tc>
        <w:tc>
          <w:tcPr>
            <w:tcW w:w="7691" w:type="dxa"/>
          </w:tcPr>
          <w:p>
            <w:pPr>
              <w:pStyle w:val="21"/>
              <w:spacing w:line="360" w:lineRule="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信息公告指定媒体（以下简称：“指定媒体”）：</w:t>
            </w:r>
          </w:p>
          <w:p>
            <w:pPr>
              <w:pStyle w:val="21"/>
              <w:widowControl/>
              <w:wordWrap w:val="0"/>
              <w:spacing w:line="360" w:lineRule="auto"/>
              <w:rPr>
                <w:rStyle w:val="28"/>
                <w:rFonts w:hint="eastAsia" w:ascii="宋体" w:hAnsi="宋体" w:eastAsia="宋体" w:cs="宋体"/>
                <w:color w:val="auto"/>
                <w:highlight w:val="none"/>
              </w:rPr>
            </w:pPr>
            <w:r>
              <w:rPr>
                <w:rFonts w:hint="eastAsia" w:ascii="宋体" w:hAnsi="宋体" w:eastAsia="宋体" w:cs="宋体"/>
                <w:color w:val="auto"/>
                <w:kern w:val="0"/>
                <w:sz w:val="24"/>
                <w:szCs w:val="24"/>
                <w:highlight w:val="none"/>
                <w:shd w:val="clear" w:color="auto" w:fill="FFFFFF"/>
                <w:lang w:eastAsia="zh-CN"/>
              </w:rPr>
              <w:t>中国招标投标公共服务平台（www.cebpubservice.cn）</w:t>
            </w:r>
            <w:r>
              <w:rPr>
                <w:rFonts w:hint="eastAsia" w:ascii="宋体" w:hAnsi="宋体" w:eastAsia="宋体" w:cs="宋体"/>
                <w:color w:val="auto"/>
                <w:kern w:val="0"/>
                <w:sz w:val="24"/>
                <w:szCs w:val="24"/>
                <w:highlight w:val="none"/>
                <w:shd w:val="clear" w:color="auto" w:fill="FFFFFF"/>
              </w:rPr>
              <w:t>上公布</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shd w:val="clear" w:color="auto" w:fill="auto"/>
            <w:vAlign w:val="center"/>
          </w:tcPr>
          <w:p>
            <w:pPr>
              <w:pStyle w:val="21"/>
              <w:spacing w:line="360" w:lineRule="auto"/>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szCs w:val="24"/>
                <w:highlight w:val="none"/>
              </w:rPr>
              <w:t>11</w:t>
            </w:r>
          </w:p>
        </w:tc>
        <w:tc>
          <w:tcPr>
            <w:tcW w:w="1056" w:type="dxa"/>
            <w:vAlign w:val="center"/>
          </w:tcPr>
          <w:p>
            <w:pPr>
              <w:pStyle w:val="21"/>
              <w:spacing w:line="360" w:lineRule="auto"/>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23.1</w:t>
            </w:r>
          </w:p>
        </w:tc>
        <w:tc>
          <w:tcPr>
            <w:tcW w:w="7691" w:type="dxa"/>
          </w:tcPr>
          <w:p>
            <w:pPr>
              <w:pStyle w:val="21"/>
              <w:widowControl/>
              <w:wordWrap w:val="0"/>
              <w:spacing w:line="360" w:lineRule="auto"/>
              <w:rPr>
                <w:rFonts w:hint="default" w:ascii="宋体" w:hAnsi="宋体" w:eastAsia="宋体" w:cs="宋体"/>
                <w:color w:val="auto"/>
                <w:szCs w:val="24"/>
                <w:highlight w:val="none"/>
                <w:lang w:val="en-US" w:eastAsia="zh-CN"/>
              </w:rPr>
            </w:pPr>
            <w:r>
              <w:rPr>
                <w:rStyle w:val="28"/>
                <w:rFonts w:hint="eastAsia" w:ascii="宋体" w:hAnsi="宋体" w:eastAsia="宋体" w:cs="宋体"/>
                <w:color w:val="auto"/>
                <w:highlight w:val="none"/>
              </w:rPr>
              <w:t>本项目监督管理部门：</w:t>
            </w:r>
            <w:r>
              <w:rPr>
                <w:rStyle w:val="28"/>
                <w:rFonts w:hint="eastAsia" w:ascii="宋体" w:hAnsi="宋体" w:cs="宋体"/>
                <w:color w:val="auto"/>
                <w:highlight w:val="none"/>
                <w:lang w:val="en-US" w:eastAsia="zh-CN"/>
              </w:rPr>
              <w:t>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shd w:val="clear" w:color="auto" w:fill="auto"/>
            <w:vAlign w:val="center"/>
          </w:tcPr>
          <w:p>
            <w:pPr>
              <w:pStyle w:val="21"/>
              <w:spacing w:line="360" w:lineRule="auto"/>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szCs w:val="24"/>
                <w:highlight w:val="none"/>
              </w:rPr>
              <w:t>12</w:t>
            </w:r>
          </w:p>
        </w:tc>
        <w:tc>
          <w:tcPr>
            <w:tcW w:w="1056" w:type="dxa"/>
            <w:vAlign w:val="center"/>
          </w:tcPr>
          <w:p>
            <w:pPr>
              <w:pStyle w:val="21"/>
              <w:spacing w:line="360" w:lineRule="auto"/>
              <w:jc w:val="center"/>
              <w:rPr>
                <w:rStyle w:val="28"/>
                <w:rFonts w:hint="eastAsia" w:ascii="宋体" w:hAnsi="宋体" w:eastAsia="宋体" w:cs="宋体"/>
                <w:color w:val="auto"/>
                <w:highlight w:val="none"/>
                <w:lang w:eastAsia="zh-CN"/>
              </w:rPr>
            </w:pPr>
            <w:r>
              <w:rPr>
                <w:rFonts w:hint="eastAsia" w:ascii="宋体" w:hAnsi="宋体" w:eastAsia="宋体" w:cs="宋体"/>
                <w:color w:val="auto"/>
                <w:szCs w:val="24"/>
                <w:highlight w:val="none"/>
              </w:rPr>
              <w:t>2</w:t>
            </w:r>
            <w:r>
              <w:rPr>
                <w:rFonts w:hint="eastAsia" w:ascii="宋体" w:hAnsi="宋体" w:cs="宋体"/>
                <w:color w:val="auto"/>
                <w:szCs w:val="24"/>
                <w:highlight w:val="none"/>
                <w:lang w:val="en-US" w:eastAsia="zh-CN"/>
              </w:rPr>
              <w:t>4</w:t>
            </w:r>
          </w:p>
        </w:tc>
        <w:tc>
          <w:tcPr>
            <w:tcW w:w="7691" w:type="dxa"/>
          </w:tcPr>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履约保证金：</w:t>
            </w:r>
            <w:r>
              <w:rPr>
                <w:rStyle w:val="28"/>
                <w:rFonts w:hint="eastAsia" w:ascii="宋体" w:hAnsi="宋体" w:cs="宋体"/>
                <w:color w:val="auto"/>
                <w:highlight w:val="none"/>
                <w:lang w:val="en-US" w:eastAsia="zh-CN"/>
              </w:rPr>
              <w:t>不</w:t>
            </w:r>
            <w:r>
              <w:rPr>
                <w:rStyle w:val="28"/>
                <w:rFonts w:hint="eastAsia" w:ascii="宋体" w:hAnsi="宋体" w:cs="宋体"/>
                <w:color w:val="auto"/>
                <w:highlight w:val="none"/>
              </w:rPr>
              <w:t>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shd w:val="clear" w:color="auto" w:fill="auto"/>
            <w:vAlign w:val="center"/>
          </w:tcPr>
          <w:p>
            <w:pPr>
              <w:pStyle w:val="21"/>
              <w:spacing w:line="360" w:lineRule="auto"/>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szCs w:val="24"/>
                <w:highlight w:val="none"/>
              </w:rPr>
              <w:t>13</w:t>
            </w:r>
          </w:p>
        </w:tc>
        <w:tc>
          <w:tcPr>
            <w:tcW w:w="1056" w:type="dxa"/>
            <w:vAlign w:val="center"/>
          </w:tcPr>
          <w:p>
            <w:pPr>
              <w:pStyle w:val="21"/>
              <w:spacing w:line="360" w:lineRule="auto"/>
              <w:jc w:val="center"/>
              <w:rPr>
                <w:rStyle w:val="28"/>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2</w:t>
            </w:r>
            <w:r>
              <w:rPr>
                <w:rFonts w:hint="eastAsia" w:ascii="宋体" w:hAnsi="宋体" w:cs="宋体"/>
                <w:color w:val="auto"/>
                <w:szCs w:val="24"/>
                <w:highlight w:val="none"/>
                <w:lang w:val="en-US" w:eastAsia="zh-CN"/>
              </w:rPr>
              <w:t>5</w:t>
            </w:r>
          </w:p>
        </w:tc>
        <w:tc>
          <w:tcPr>
            <w:tcW w:w="7691" w:type="dxa"/>
          </w:tcPr>
          <w:p>
            <w:pPr>
              <w:pStyle w:val="21"/>
              <w:spacing w:line="360" w:lineRule="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根据采购项目特点或政策需要补充的其他新增内容：</w:t>
            </w:r>
          </w:p>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(1)本项目的采购代理服务费：</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① 经采购代理机构与采购人约定，由成交供应商支付；</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②</w:t>
            </w:r>
            <w:r>
              <w:rPr>
                <w:rStyle w:val="28"/>
                <w:rFonts w:hint="eastAsia" w:ascii="宋体" w:hAnsi="宋体" w:cs="宋体"/>
                <w:b w:val="0"/>
                <w:bCs/>
                <w:color w:val="auto"/>
                <w:highlight w:val="none"/>
                <w:lang w:val="en-US" w:eastAsia="zh-CN"/>
              </w:rPr>
              <w:t xml:space="preserve"> </w:t>
            </w:r>
            <w:r>
              <w:rPr>
                <w:rFonts w:hint="eastAsia" w:ascii="宋体" w:hAnsi="宋体" w:eastAsia="宋体" w:cs="宋体"/>
                <w:b w:val="0"/>
                <w:bCs/>
                <w:color w:val="auto"/>
                <w:szCs w:val="24"/>
                <w:highlight w:val="none"/>
              </w:rPr>
              <w:t>应依据下列代理服务收费标准（差额定率累进法）计算：成交金额（万元）：100以下收取比例：1.</w:t>
            </w:r>
            <w:r>
              <w:rPr>
                <w:rFonts w:hint="eastAsia" w:ascii="宋体"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w:t>
            </w:r>
            <w:r>
              <w:rPr>
                <w:rStyle w:val="28"/>
                <w:rFonts w:hint="eastAsia" w:ascii="宋体" w:hAnsi="宋体" w:eastAsia="宋体" w:cs="宋体"/>
                <w:b w:val="0"/>
                <w:bCs/>
                <w:color w:val="auto"/>
                <w:highlight w:val="none"/>
              </w:rPr>
              <w:t>。</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③ 支付时间：成交公告发布，领取成交通知书的时候。</w:t>
            </w:r>
          </w:p>
          <w:p>
            <w:pPr>
              <w:pStyle w:val="21"/>
              <w:spacing w:line="360" w:lineRule="auto"/>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④ 支付办法：现金、转账或电汇。</w:t>
            </w:r>
          </w:p>
          <w:p>
            <w:pPr>
              <w:pStyle w:val="8"/>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服务费缴交账户： </w:t>
            </w:r>
          </w:p>
          <w:p>
            <w:pPr>
              <w:pStyle w:val="8"/>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开户名称：泉州市嘉隆招标代理有限公司</w:t>
            </w:r>
          </w:p>
          <w:p>
            <w:pPr>
              <w:pStyle w:val="8"/>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开户银行：中国民生银行泉州分行营业部</w:t>
            </w:r>
          </w:p>
          <w:p>
            <w:pPr>
              <w:pStyle w:val="39"/>
              <w:rPr>
                <w:rFonts w:hint="eastAsia"/>
                <w:color w:val="auto"/>
              </w:rPr>
            </w:pPr>
            <w:r>
              <w:rPr>
                <w:rFonts w:hint="eastAsia" w:ascii="宋体" w:hAnsi="宋体" w:eastAsia="宋体" w:cs="宋体"/>
                <w:color w:val="auto"/>
                <w:sz w:val="24"/>
                <w:szCs w:val="24"/>
                <w:highlight w:val="none"/>
              </w:rPr>
              <w:t>银行账号：2301012830009195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7" w:type="dxa"/>
          </w:tcPr>
          <w:p>
            <w:pPr>
              <w:pStyle w:val="21"/>
              <w:spacing w:line="360" w:lineRule="auto"/>
              <w:jc w:val="center"/>
              <w:rPr>
                <w:rStyle w:val="28"/>
                <w:rFonts w:hint="default" w:ascii="宋体" w:hAnsi="宋体" w:eastAsia="宋体" w:cs="宋体"/>
                <w:color w:val="auto"/>
                <w:highlight w:val="none"/>
                <w:lang w:val="en-US" w:eastAsia="zh-CN"/>
              </w:rPr>
            </w:pPr>
            <w:r>
              <w:rPr>
                <w:rStyle w:val="28"/>
                <w:rFonts w:hint="eastAsia" w:ascii="宋体" w:hAnsi="宋体" w:cs="宋体"/>
                <w:b w:val="0"/>
                <w:bCs/>
                <w:color w:val="auto"/>
                <w:highlight w:val="none"/>
                <w:lang w:val="en-US" w:eastAsia="zh-CN"/>
              </w:rPr>
              <w:t>14</w:t>
            </w:r>
          </w:p>
        </w:tc>
        <w:tc>
          <w:tcPr>
            <w:tcW w:w="1056" w:type="dxa"/>
          </w:tcPr>
          <w:p>
            <w:pPr>
              <w:spacing w:line="360" w:lineRule="auto"/>
              <w:jc w:val="center"/>
              <w:textAlignment w:val="top"/>
              <w:rPr>
                <w:rStyle w:val="28"/>
                <w:rFonts w:hint="eastAsia" w:ascii="宋体" w:hAnsi="宋体" w:eastAsia="宋体" w:cs="宋体"/>
                <w:color w:val="auto"/>
                <w:highlight w:val="none"/>
              </w:rPr>
            </w:pPr>
          </w:p>
        </w:tc>
        <w:tc>
          <w:tcPr>
            <w:tcW w:w="7691" w:type="dxa"/>
          </w:tcPr>
          <w:p>
            <w:pPr>
              <w:pStyle w:val="21"/>
              <w:spacing w:line="360" w:lineRule="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是否组织现场考察或召开磋商前答疑会：否</w:t>
            </w:r>
            <w:r>
              <w:rPr>
                <w:rFonts w:hint="eastAsia" w:ascii="宋体" w:hAnsi="宋体" w:eastAsia="宋体" w:cs="宋体"/>
                <w:color w:val="auto"/>
                <w:szCs w:val="24"/>
                <w:highlight w:val="none"/>
              </w:rPr>
              <w:t>。</w:t>
            </w:r>
          </w:p>
        </w:tc>
      </w:tr>
    </w:tbl>
    <w:p>
      <w:pPr>
        <w:pStyle w:val="3"/>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 w:val="30"/>
          <w:szCs w:val="30"/>
          <w:highlight w:val="none"/>
        </w:rPr>
      </w:pPr>
      <w:bookmarkStart w:id="9" w:name="_Toc17515"/>
      <w:bookmarkStart w:id="10" w:name="_Toc6138"/>
      <w:bookmarkStart w:id="11" w:name="_Toc30793"/>
      <w:r>
        <w:rPr>
          <w:rFonts w:hint="eastAsia" w:ascii="宋体" w:hAnsi="宋体" w:eastAsia="宋体" w:cs="宋体"/>
          <w:color w:val="auto"/>
          <w:sz w:val="30"/>
          <w:szCs w:val="30"/>
          <w:highlight w:val="none"/>
        </w:rPr>
        <w:t>专项附件：评审的标准和方法</w:t>
      </w:r>
      <w:bookmarkEnd w:id="9"/>
      <w:bookmarkEnd w:id="10"/>
      <w:bookmarkEnd w:id="11"/>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12" w:name="_Toc14576"/>
      <w:bookmarkStart w:id="13" w:name="_Toc26996"/>
      <w:bookmarkStart w:id="14" w:name="_Toc26609"/>
      <w:r>
        <w:rPr>
          <w:rFonts w:hint="eastAsia" w:ascii="宋体" w:hAnsi="宋体" w:eastAsia="宋体" w:cs="宋体"/>
          <w:color w:val="auto"/>
          <w:sz w:val="24"/>
          <w:szCs w:val="24"/>
          <w:highlight w:val="none"/>
        </w:rPr>
        <w:t>一、磋商小组</w:t>
      </w:r>
      <w:bookmarkEnd w:id="12"/>
      <w:bookmarkEnd w:id="13"/>
      <w:bookmarkEnd w:id="14"/>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1.1采购人根据项目的特点依法组建磋商小组。</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1.2磋商小组由采购人代表（若有）和评审专家两部分（以下简称“评委”）至少</w:t>
      </w:r>
      <w:r>
        <w:rPr>
          <w:rFonts w:hint="eastAsia" w:ascii="宋体" w:hAnsi="宋体" w:eastAsia="宋体" w:cs="宋体"/>
          <w:color w:val="auto"/>
          <w:szCs w:val="24"/>
          <w:highlight w:val="none"/>
          <w:u w:val="single"/>
        </w:rPr>
        <w:t>3</w:t>
      </w:r>
      <w:r>
        <w:rPr>
          <w:rFonts w:hint="eastAsia" w:ascii="宋体" w:hAnsi="宋体" w:eastAsia="宋体" w:cs="宋体"/>
          <w:color w:val="auto"/>
          <w:szCs w:val="24"/>
          <w:highlight w:val="none"/>
        </w:rPr>
        <w:t>人组成，其中：采购人代表</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人由采购人派出（若有），评委</w:t>
      </w:r>
      <w:r>
        <w:rPr>
          <w:rFonts w:hint="eastAsia" w:ascii="宋体" w:hAnsi="宋体" w:eastAsia="宋体" w:cs="宋体"/>
          <w:color w:val="auto"/>
          <w:szCs w:val="24"/>
          <w:highlight w:val="none"/>
          <w:u w:val="single"/>
        </w:rPr>
        <w:t>2</w:t>
      </w:r>
      <w:r>
        <w:rPr>
          <w:rFonts w:hint="eastAsia" w:ascii="宋体" w:hAnsi="宋体" w:eastAsia="宋体" w:cs="宋体"/>
          <w:color w:val="auto"/>
          <w:szCs w:val="24"/>
          <w:highlight w:val="none"/>
        </w:rPr>
        <w:t>人由采购代理机构专家库产生。采购人代表未派出，评委</w:t>
      </w:r>
      <w:r>
        <w:rPr>
          <w:rFonts w:hint="eastAsia" w:ascii="宋体" w:hAnsi="宋体" w:eastAsia="宋体" w:cs="宋体"/>
          <w:color w:val="auto"/>
          <w:szCs w:val="24"/>
          <w:highlight w:val="none"/>
          <w:u w:val="single"/>
        </w:rPr>
        <w:t>3</w:t>
      </w:r>
      <w:r>
        <w:rPr>
          <w:rFonts w:hint="eastAsia" w:ascii="宋体" w:hAnsi="宋体" w:eastAsia="宋体" w:cs="宋体"/>
          <w:color w:val="auto"/>
          <w:szCs w:val="24"/>
          <w:highlight w:val="none"/>
        </w:rPr>
        <w:t>人由采购代理机构专家库产生。</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1.3磋商小组负责具体磋商和评审事务，并按照下列原则依法独立履行有关职责：</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1.3.1评审应保护国家利益、社会公共利益和各方当事人合法权益，提高采购效益，保证项目质量。</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1.3.2评审应遵循公平、公正、科学、严谨和择优原则。</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1.3.3评审的依据是竞争性磋商文件和响应文件，竞争性磋商文件中没有规定的评审标准不得作为评审依据。</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1.3.4磋商小组应按照竞争性磋商文件规定推荐成交候选供应商或根据采购人的授权确定成交供应商。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1.3.5评审应遵守下列评审纪律：</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 评审情况不得私自外泄，有关信息由采购人或其委托的代理机构统一对外发布。</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 对采购人或供应商提供的要求保密的资料，不得摘记翻印和外传。</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③ 不得收受供应商或有关人员的任何礼物，不得串联鼓动其他人袒护某供应商。若与供应商存在利害关系，则应主动声明并回避。</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 全体磋商小组成员应按照竞争性磋商文件规定进行评审，一切认定事项应查有实据且不得弄虚作假。</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⑤ 评审中应充分发扬民主，推荐成交候选供应商或根据采购人授权确定成交供应商后要服从评审报告。</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※对违反评审纪律的评委，将取消其评委资格，对评审工作造成严重损失者将予以通报批评乃至追究法律责任。</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15" w:name="_Toc15691"/>
      <w:bookmarkStart w:id="16" w:name="_Toc25640"/>
      <w:bookmarkStart w:id="17" w:name="_Toc19974"/>
      <w:r>
        <w:rPr>
          <w:rFonts w:hint="eastAsia" w:ascii="宋体" w:hAnsi="宋体" w:eastAsia="宋体" w:cs="宋体"/>
          <w:color w:val="auto"/>
          <w:sz w:val="24"/>
          <w:szCs w:val="24"/>
          <w:highlight w:val="none"/>
        </w:rPr>
        <w:t>二、磋商程序</w:t>
      </w:r>
      <w:bookmarkEnd w:id="15"/>
      <w:bookmarkEnd w:id="16"/>
      <w:bookmarkEnd w:id="17"/>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2.1磋商程序按照竞争性磋商文件第二章第2节“竞争性磋商须知”第14 条“磋商程序以及评审标准和方法”的相关条款规定执行。</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竞争性磋商文件不能详细列明采购标的的技术、服务要求，需经磋商由供应商提供最终设计方案或解决方案的，磋商结束后，磋商小组应当按照少数服从多数的原则投票推荐1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2.3只有资格审查和实质性响应审查均合格且按规定提交最后报价的合格供应商才能参加综合评分。</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18" w:name="_Toc26657"/>
      <w:bookmarkStart w:id="19" w:name="_Toc14096"/>
      <w:bookmarkStart w:id="20" w:name="_Toc8988"/>
      <w:r>
        <w:rPr>
          <w:rFonts w:hint="eastAsia" w:ascii="宋体" w:hAnsi="宋体" w:eastAsia="宋体" w:cs="宋体"/>
          <w:color w:val="auto"/>
          <w:sz w:val="24"/>
          <w:szCs w:val="24"/>
          <w:highlight w:val="none"/>
        </w:rPr>
        <w:t>三、综合评分的标准和方法</w:t>
      </w:r>
      <w:bookmarkEnd w:id="18"/>
      <w:bookmarkEnd w:id="19"/>
      <w:bookmarkEnd w:id="20"/>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3.1磋商小组将采用综合评分法对提交最后报价的合格供应商的响应文件和最后报价进行综合评分。如果磋商项目有多个合同包，则按相应合同包分别进行，具体综合评分的标准和方法如下：</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21"/>
        <w:pageBreakBefore w:val="0"/>
        <w:kinsoku/>
        <w:wordWrap/>
        <w:overflowPunct/>
        <w:topLinePunct w:val="0"/>
        <w:autoSpaceDE/>
        <w:autoSpaceDN/>
        <w:bidi w:val="0"/>
        <w:adjustRightInd/>
        <w:snapToGrid/>
        <w:spacing w:line="341" w:lineRule="auto"/>
        <w:ind w:firstLine="480" w:firstLineChars="200"/>
        <w:textAlignment w:val="auto"/>
        <w:rPr>
          <w:rStyle w:val="28"/>
          <w:rFonts w:hint="eastAsia" w:ascii="宋体" w:hAnsi="宋体" w:eastAsia="宋体" w:cs="宋体"/>
          <w:color w:val="auto"/>
          <w:highlight w:val="none"/>
          <w:shd w:val="clear" w:color="auto" w:fill="FFFFFF"/>
        </w:rPr>
      </w:pPr>
      <w:r>
        <w:rPr>
          <w:rFonts w:hint="eastAsia" w:ascii="宋体" w:hAnsi="宋体" w:eastAsia="宋体" w:cs="宋体"/>
          <w:color w:val="auto"/>
          <w:szCs w:val="24"/>
          <w:highlight w:val="none"/>
        </w:rPr>
        <w:t>3.3.2具体评审标准和方法：</w:t>
      </w:r>
    </w:p>
    <w:p>
      <w:pPr>
        <w:pStyle w:val="21"/>
        <w:pageBreakBefore w:val="0"/>
        <w:shd w:val="clear" w:color="auto" w:fill="FFFFFF"/>
        <w:kinsoku/>
        <w:wordWrap/>
        <w:overflowPunct/>
        <w:topLinePunct w:val="0"/>
        <w:autoSpaceDE/>
        <w:autoSpaceDN/>
        <w:bidi w:val="0"/>
        <w:adjustRightInd/>
        <w:snapToGrid/>
        <w:spacing w:line="341" w:lineRule="auto"/>
        <w:ind w:firstLine="482" w:firstLineChars="200"/>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shd w:val="clear" w:color="auto" w:fill="FFFFFF"/>
        </w:rPr>
        <w:t>合同包1采用综合评分法</w:t>
      </w:r>
      <w:r>
        <w:rPr>
          <w:rFonts w:hint="eastAsia" w:ascii="宋体" w:hAnsi="宋体" w:eastAsia="宋体" w:cs="宋体"/>
          <w:color w:val="auto"/>
          <w:szCs w:val="24"/>
          <w:highlight w:val="none"/>
          <w:shd w:val="clear" w:color="auto" w:fill="FFFFFF"/>
        </w:rPr>
        <w:t xml:space="preserve">： </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（1）响应文件满足竞争性磋商文件全部实质性要求，且按照评审因素的量化指标评审得分（即评标总得分）最高的供应商为成交候选供应商。 </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每个供应商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节能、环境标志产品在采购活动中可享有的加分优惠）。 </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（3）各项评审因素的设置如下： </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① 价格项（F1×A1）满分为</w:t>
      </w:r>
      <w:r>
        <w:rPr>
          <w:rFonts w:hint="eastAsia" w:ascii="宋体" w:hAnsi="宋体" w:cs="宋体"/>
          <w:b/>
          <w:bCs/>
          <w:color w:val="auto"/>
          <w:szCs w:val="24"/>
          <w:highlight w:val="none"/>
          <w:u w:val="single"/>
          <w:lang w:val="en-US" w:eastAsia="zh-CN"/>
        </w:rPr>
        <w:t>24</w:t>
      </w:r>
      <w:r>
        <w:rPr>
          <w:rFonts w:hint="eastAsia" w:ascii="宋体" w:hAnsi="宋体" w:eastAsia="宋体" w:cs="宋体"/>
          <w:b/>
          <w:bCs/>
          <w:color w:val="auto"/>
          <w:szCs w:val="24"/>
          <w:highlight w:val="none"/>
        </w:rPr>
        <w:t>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a.价格分采用低价优先法计算，即满足竞争性磋商文件要求且磋商价格最低的磋商报价为评标基准价，其价格分为满分。其他供应商的价格分统一按照下列公式计算：磋商报价得分=（评标基准价／投标报价）×</w:t>
      </w:r>
      <w:r>
        <w:rPr>
          <w:rFonts w:hint="eastAsia" w:ascii="宋体" w:hAnsi="宋体" w:eastAsia="宋体" w:cs="宋体"/>
          <w:color w:val="auto"/>
          <w:highlight w:val="none"/>
        </w:rPr>
        <w:t>价格权值</w:t>
      </w:r>
      <w:r>
        <w:rPr>
          <w:rFonts w:hint="eastAsia" w:ascii="宋体" w:hAnsi="宋体" w:eastAsia="宋体" w:cs="宋体"/>
          <w:color w:val="auto"/>
          <w:szCs w:val="24"/>
          <w:highlight w:val="none"/>
        </w:rPr>
        <w:t>×100。因落实政府采购政策需进行价格扣除的，以扣除后的价格计算评标基准价和磋商报价。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1" w:lineRule="auto"/>
        <w:ind w:left="0" w:right="0" w:firstLine="48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价格扣除的规则如下：</w:t>
      </w:r>
      <w:r>
        <w:rPr>
          <w:rFonts w:hint="eastAsia" w:ascii="宋体" w:hAnsi="宋体" w:eastAsia="宋体" w:cs="宋体"/>
          <w:color w:val="auto"/>
          <w:spacing w:val="0"/>
          <w:sz w:val="24"/>
          <w:szCs w:val="24"/>
          <w:highlight w:val="none"/>
          <w:lang w:val="en-US" w:eastAsia="zh-CN"/>
        </w:rPr>
        <w:t>无</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bCs/>
          <w:color w:val="auto"/>
          <w:szCs w:val="24"/>
          <w:highlight w:val="none"/>
        </w:rPr>
        <w:t>② 技术项（F2×A2）满分为</w:t>
      </w:r>
      <w:r>
        <w:rPr>
          <w:rFonts w:hint="eastAsia" w:ascii="宋体" w:hAnsi="宋体" w:cs="宋体"/>
          <w:b/>
          <w:bCs/>
          <w:color w:val="auto"/>
          <w:szCs w:val="24"/>
          <w:highlight w:val="none"/>
          <w:u w:val="single"/>
          <w:lang w:val="en-US" w:eastAsia="zh-CN"/>
        </w:rPr>
        <w:t>64</w:t>
      </w:r>
      <w:r>
        <w:rPr>
          <w:rFonts w:hint="eastAsia" w:ascii="宋体" w:hAnsi="宋体" w:eastAsia="宋体" w:cs="宋体"/>
          <w:b/>
          <w:bCs/>
          <w:color w:val="auto"/>
          <w:szCs w:val="24"/>
          <w:highlight w:val="none"/>
        </w:rPr>
        <w:t>分。</w:t>
      </w:r>
    </w:p>
    <w:tbl>
      <w:tblPr>
        <w:tblStyle w:val="25"/>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292"/>
        <w:gridCol w:w="1057"/>
        <w:gridCol w:w="70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color w:val="auto"/>
                <w:sz w:val="24"/>
                <w:szCs w:val="24"/>
              </w:rPr>
            </w:pPr>
            <w:r>
              <w:rPr>
                <w:rFonts w:hint="eastAsia"/>
                <w:color w:val="auto"/>
                <w:sz w:val="24"/>
                <w:szCs w:val="24"/>
              </w:rPr>
              <w:t>评标项目</w:t>
            </w:r>
          </w:p>
        </w:tc>
        <w:tc>
          <w:tcPr>
            <w:tcW w:w="1057"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color w:val="auto"/>
                <w:sz w:val="24"/>
                <w:szCs w:val="24"/>
              </w:rPr>
            </w:pPr>
            <w:r>
              <w:rPr>
                <w:rFonts w:hint="eastAsia"/>
                <w:color w:val="auto"/>
                <w:sz w:val="24"/>
                <w:szCs w:val="24"/>
              </w:rPr>
              <w:t>评标分值</w:t>
            </w:r>
          </w:p>
        </w:tc>
        <w:tc>
          <w:tcPr>
            <w:tcW w:w="7020"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color w:val="auto"/>
                <w:sz w:val="24"/>
                <w:szCs w:val="24"/>
              </w:rPr>
            </w:pPr>
            <w:r>
              <w:rPr>
                <w:rFonts w:hint="eastAsia"/>
                <w:color w:val="auto"/>
                <w:sz w:val="24"/>
                <w:szCs w:val="24"/>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color w:val="auto"/>
                <w:sz w:val="24"/>
                <w:szCs w:val="24"/>
              </w:rPr>
            </w:pPr>
            <w:r>
              <w:rPr>
                <w:rFonts w:hint="eastAsia"/>
                <w:color w:val="auto"/>
                <w:sz w:val="24"/>
                <w:szCs w:val="24"/>
              </w:rPr>
              <w:t>1.技术要求响应情况</w:t>
            </w:r>
          </w:p>
        </w:tc>
        <w:tc>
          <w:tcPr>
            <w:tcW w:w="1057"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42.00</w:t>
            </w:r>
          </w:p>
        </w:tc>
        <w:tc>
          <w:tcPr>
            <w:tcW w:w="7020"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ascii="宋体" w:hAnsi="宋体"/>
                <w:color w:val="auto"/>
                <w:sz w:val="24"/>
                <w:szCs w:val="24"/>
              </w:rPr>
            </w:pPr>
            <w:r>
              <w:rPr>
                <w:rFonts w:ascii="宋体" w:hAnsi="宋体"/>
                <w:color w:val="auto"/>
                <w:sz w:val="24"/>
                <w:szCs w:val="24"/>
              </w:rPr>
              <w:t>根据供应商对</w:t>
            </w:r>
            <w:r>
              <w:rPr>
                <w:rFonts w:ascii="宋体" w:hAnsi="宋体" w:eastAsia="宋体" w:cs="Times New Roman"/>
                <w:color w:val="auto"/>
                <w:sz w:val="24"/>
                <w:szCs w:val="24"/>
              </w:rPr>
              <w:t>磋商文件第三章采购内容及要求中“二、技术要求”</w:t>
            </w:r>
            <w:r>
              <w:rPr>
                <w:rFonts w:hint="default" w:ascii="宋体" w:hAnsi="宋体" w:eastAsia="宋体" w:cs="Times New Roman"/>
                <w:color w:val="auto"/>
                <w:sz w:val="24"/>
                <w:szCs w:val="24"/>
              </w:rPr>
              <w:t>各项要求</w:t>
            </w:r>
            <w:r>
              <w:rPr>
                <w:rFonts w:hint="default" w:ascii="宋体" w:hAnsi="宋体" w:eastAsia="宋体" w:cs="Times New Roman"/>
                <w:color w:val="auto"/>
                <w:sz w:val="24"/>
                <w:szCs w:val="24"/>
                <w:lang w:eastAsia="zh-CN"/>
              </w:rPr>
              <w:t>逐项</w:t>
            </w:r>
            <w:r>
              <w:rPr>
                <w:rFonts w:hint="default" w:ascii="宋体" w:hAnsi="宋体" w:eastAsia="宋体" w:cs="Times New Roman"/>
                <w:color w:val="auto"/>
                <w:sz w:val="24"/>
                <w:szCs w:val="24"/>
              </w:rPr>
              <w:t>响应情况</w:t>
            </w:r>
            <w:r>
              <w:rPr>
                <w:rFonts w:hint="default" w:ascii="宋体" w:hAnsi="宋体" w:eastAsia="宋体" w:cs="Times New Roman"/>
                <w:color w:val="auto"/>
                <w:sz w:val="24"/>
                <w:szCs w:val="24"/>
                <w:lang w:eastAsia="zh-CN"/>
              </w:rPr>
              <w:t>，由评委</w:t>
            </w:r>
            <w:r>
              <w:rPr>
                <w:rFonts w:hint="default" w:ascii="宋体" w:hAnsi="宋体" w:eastAsia="宋体" w:cs="Times New Roman"/>
                <w:color w:val="auto"/>
                <w:sz w:val="24"/>
                <w:szCs w:val="24"/>
              </w:rPr>
              <w:t>进行评</w:t>
            </w:r>
            <w:r>
              <w:rPr>
                <w:rFonts w:hint="default" w:ascii="宋体" w:hAnsi="宋体" w:eastAsia="宋体" w:cs="Times New Roman"/>
                <w:color w:val="auto"/>
                <w:sz w:val="24"/>
                <w:szCs w:val="24"/>
                <w:lang w:eastAsia="zh-CN"/>
              </w:rPr>
              <w:t>分：</w:t>
            </w:r>
            <w:r>
              <w:rPr>
                <w:rFonts w:hint="default" w:ascii="宋体" w:hAnsi="宋体" w:eastAsia="宋体" w:cs="Times New Roman"/>
                <w:color w:val="auto"/>
                <w:sz w:val="24"/>
                <w:szCs w:val="24"/>
              </w:rPr>
              <w:t>完全满足</w:t>
            </w:r>
            <w:r>
              <w:rPr>
                <w:rFonts w:hint="default" w:ascii="宋体" w:hAnsi="宋体" w:eastAsia="宋体" w:cs="Times New Roman"/>
                <w:color w:val="auto"/>
                <w:sz w:val="24"/>
                <w:szCs w:val="24"/>
                <w:lang w:eastAsia="zh-CN"/>
              </w:rPr>
              <w:t>各项技术和服务要求的</w:t>
            </w:r>
            <w:r>
              <w:rPr>
                <w:rFonts w:hint="default" w:ascii="宋体" w:hAnsi="宋体" w:eastAsia="宋体" w:cs="Times New Roman"/>
                <w:color w:val="auto"/>
                <w:sz w:val="24"/>
                <w:szCs w:val="24"/>
              </w:rPr>
              <w:t>得</w:t>
            </w:r>
            <w:r>
              <w:rPr>
                <w:rFonts w:hint="eastAsia" w:ascii="宋体" w:hAnsi="宋体" w:eastAsia="宋体" w:cs="Times New Roman"/>
                <w:color w:val="auto"/>
                <w:sz w:val="24"/>
                <w:szCs w:val="24"/>
                <w:lang w:val="en-US" w:eastAsia="zh-CN"/>
              </w:rPr>
              <w:t>42</w:t>
            </w:r>
            <w:r>
              <w:rPr>
                <w:rFonts w:hint="default" w:ascii="宋体" w:hAnsi="宋体" w:eastAsia="宋体" w:cs="Times New Roman"/>
                <w:color w:val="auto"/>
                <w:sz w:val="24"/>
                <w:szCs w:val="24"/>
              </w:rPr>
              <w:t>分；每负偏离</w:t>
            </w:r>
            <w:r>
              <w:rPr>
                <w:rFonts w:hint="default" w:ascii="宋体" w:hAnsi="宋体" w:eastAsia="宋体" w:cs="Times New Roman"/>
                <w:color w:val="auto"/>
                <w:sz w:val="24"/>
                <w:szCs w:val="24"/>
                <w:lang w:eastAsia="zh-CN"/>
              </w:rPr>
              <w:t>一项</w:t>
            </w:r>
            <w:r>
              <w:rPr>
                <w:rFonts w:hint="default" w:ascii="宋体" w:hAnsi="宋体" w:eastAsia="宋体" w:cs="Times New Roman"/>
                <w:color w:val="auto"/>
                <w:sz w:val="24"/>
                <w:szCs w:val="24"/>
              </w:rPr>
              <w:t>扣3分(按评审指标计，共计1</w:t>
            </w:r>
            <w:r>
              <w:rPr>
                <w:rFonts w:hint="eastAsia" w:ascii="宋体" w:hAnsi="宋体" w:eastAsia="宋体" w:cs="Times New Roman"/>
                <w:color w:val="auto"/>
                <w:sz w:val="24"/>
                <w:szCs w:val="24"/>
                <w:lang w:val="en-US" w:eastAsia="zh-CN"/>
              </w:rPr>
              <w:t>4</w:t>
            </w:r>
            <w:r>
              <w:rPr>
                <w:rFonts w:hint="default" w:ascii="宋体" w:hAnsi="宋体" w:eastAsia="宋体" w:cs="Times New Roman"/>
                <w:color w:val="auto"/>
                <w:sz w:val="24"/>
                <w:szCs w:val="24"/>
              </w:rPr>
              <w:t>项），扣完为止，</w:t>
            </w:r>
            <w:r>
              <w:rPr>
                <w:rFonts w:hint="default" w:ascii="宋体" w:hAnsi="宋体" w:eastAsia="宋体" w:cs="Times New Roman"/>
                <w:color w:val="auto"/>
                <w:sz w:val="24"/>
                <w:szCs w:val="24"/>
                <w:lang w:eastAsia="zh-CN"/>
              </w:rPr>
              <w:t>正偏离不加分</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满分</w:t>
            </w:r>
            <w:r>
              <w:rPr>
                <w:rFonts w:hint="eastAsia" w:ascii="宋体" w:hAnsi="宋体" w:eastAsia="宋体" w:cs="Times New Roman"/>
                <w:color w:val="auto"/>
                <w:sz w:val="24"/>
                <w:szCs w:val="24"/>
                <w:lang w:val="en-US" w:eastAsia="zh-CN"/>
              </w:rPr>
              <w:t>42</w:t>
            </w:r>
            <w:r>
              <w:rPr>
                <w:rFonts w:hint="default" w:ascii="宋体" w:hAnsi="宋体" w:eastAsia="宋体" w:cs="Times New Roman"/>
                <w:color w:val="auto"/>
                <w:sz w:val="24"/>
                <w:szCs w:val="24"/>
              </w:rPr>
              <w:t>分。</w:t>
            </w:r>
            <w:r>
              <w:rPr>
                <w:rFonts w:hint="eastAsia" w:ascii="宋体" w:hAnsi="宋体" w:eastAsia="宋体" w:cs="Times New Roman"/>
                <w:color w:val="auto"/>
                <w:sz w:val="24"/>
                <w:szCs w:val="24"/>
                <w:lang w:val="en-US" w:eastAsia="zh-CN"/>
              </w:rPr>
              <w:t>带</w:t>
            </w:r>
            <w:r>
              <w:rPr>
                <w:rFonts w:hint="eastAsia" w:ascii="宋体" w:hAnsi="宋体" w:eastAsia="宋体" w:cs="Times New Roman"/>
                <w:color w:val="auto"/>
                <w:sz w:val="24"/>
                <w:szCs w:val="24"/>
              </w:rPr>
              <w:t>★</w:t>
            </w:r>
            <w:r>
              <w:rPr>
                <w:rFonts w:hint="default" w:ascii="宋体" w:hAnsi="宋体" w:eastAsia="宋体" w:cs="Times New Roman"/>
                <w:color w:val="auto"/>
                <w:sz w:val="24"/>
                <w:szCs w:val="24"/>
                <w:lang w:val="en-US" w:eastAsia="zh-CN"/>
              </w:rPr>
              <w:t>的</w:t>
            </w:r>
            <w:r>
              <w:rPr>
                <w:rFonts w:hint="default" w:ascii="宋体" w:hAnsi="宋体" w:eastAsia="宋体" w:cs="Times New Roman"/>
                <w:color w:val="auto"/>
                <w:sz w:val="24"/>
                <w:szCs w:val="24"/>
              </w:rPr>
              <w:t>标示的内容为不允许负偏离的实质性要求</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有负偏离的按无效投标处理</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【注：①投标人必须根据该评审内容，对照招标文件的</w:t>
            </w:r>
            <w:r>
              <w:rPr>
                <w:rFonts w:hint="default" w:ascii="宋体" w:hAnsi="宋体" w:eastAsia="宋体" w:cs="Times New Roman"/>
                <w:color w:val="auto"/>
                <w:sz w:val="24"/>
                <w:szCs w:val="24"/>
                <w:lang w:eastAsia="zh-CN"/>
              </w:rPr>
              <w:t>技术和服务</w:t>
            </w:r>
            <w:r>
              <w:rPr>
                <w:rFonts w:hint="default" w:ascii="宋体" w:hAnsi="宋体" w:eastAsia="宋体" w:cs="Times New Roman"/>
                <w:color w:val="auto"/>
                <w:sz w:val="24"/>
                <w:szCs w:val="24"/>
              </w:rPr>
              <w:t>要求逐项进行应答，如实说明正、负</w:t>
            </w:r>
            <w:r>
              <w:rPr>
                <w:rFonts w:hint="default" w:ascii="宋体" w:hAnsi="宋体" w:eastAsia="宋体" w:cs="Times New Roman"/>
                <w:color w:val="auto"/>
                <w:sz w:val="24"/>
                <w:szCs w:val="24"/>
                <w:lang w:eastAsia="zh-CN"/>
              </w:rPr>
              <w:t>、无</w:t>
            </w:r>
            <w:r>
              <w:rPr>
                <w:rFonts w:hint="default" w:ascii="宋体" w:hAnsi="宋体" w:eastAsia="宋体" w:cs="Times New Roman"/>
                <w:color w:val="auto"/>
                <w:sz w:val="24"/>
                <w:szCs w:val="24"/>
              </w:rPr>
              <w:t>偏离情况，否则，有可能</w:t>
            </w:r>
            <w:r>
              <w:rPr>
                <w:rFonts w:hint="default" w:ascii="宋体" w:hAnsi="宋体" w:eastAsia="宋体" w:cs="Times New Roman"/>
                <w:color w:val="auto"/>
                <w:sz w:val="24"/>
                <w:szCs w:val="24"/>
                <w:lang w:eastAsia="zh-CN"/>
              </w:rPr>
              <w:t>作出</w:t>
            </w:r>
            <w:r>
              <w:rPr>
                <w:rFonts w:hint="default" w:ascii="宋体" w:hAnsi="宋体" w:eastAsia="宋体" w:cs="Times New Roman"/>
                <w:color w:val="auto"/>
                <w:sz w:val="24"/>
                <w:szCs w:val="24"/>
              </w:rPr>
              <w:t>不利于投标人的评判（负偏离）】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rPr>
              <w:t>、审计程序</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3.00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根据投标人提供的审计程序（包括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工作细则、流程、突出重难点等）</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：内容详实、清晰、无缺项，完全符合本项目实际需求的得3分；内容描述完整、详细、可行且合理、但针对性表现不突出的得2</w:t>
            </w:r>
            <w:r>
              <w:rPr>
                <w:rFonts w:hint="eastAsia" w:ascii="Times New Roman" w:hAnsi="Times New Roman" w:eastAsia="宋体" w:cs="Times New Roman"/>
                <w:color w:val="auto"/>
                <w:sz w:val="24"/>
                <w:szCs w:val="24"/>
                <w:lang w:eastAsia="zh-CN"/>
              </w:rPr>
              <w:t>.8</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3</w:t>
            </w:r>
            <w:r>
              <w:rPr>
                <w:rFonts w:hint="eastAsia" w:ascii="Times New Roman" w:hAnsi="Times New Roman" w:eastAsia="宋体" w:cs="Times New Roman"/>
                <w:color w:val="auto"/>
                <w:sz w:val="24"/>
                <w:szCs w:val="24"/>
              </w:rPr>
              <w:t>、审计方案</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3.00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根据投标人提供的审计方案（包括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审计方法、审计策略等）</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：内容详实、清晰、无缺项，完全符合本项目实际需求的得3分；内容描述完整、详细、可行且合理、但针对性表现不突出的得2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eastAsia="zh-CN"/>
              </w:rPr>
              <w:t>5</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4</w:t>
            </w:r>
            <w:r>
              <w:rPr>
                <w:rFonts w:hint="eastAsia" w:ascii="Times New Roman" w:hAnsi="Times New Roman" w:eastAsia="宋体" w:cs="Times New Roman"/>
                <w:color w:val="auto"/>
                <w:sz w:val="24"/>
                <w:szCs w:val="24"/>
              </w:rPr>
              <w:t>、沟通方案</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3.00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根据投标人与被审单位的沟通、联系、洽谈等工作沟通方案（包括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工作细则、流程、突出重难点、计划措施、定期总结工作制度等）</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：内容详实、清晰、无缺项，完全符合本项目实际需求的得3分；内容描述完整、详细、可行且合理、但针对性表现不突出的得2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eastAsia="zh-CN"/>
              </w:rPr>
              <w:t>5</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5</w:t>
            </w:r>
            <w:r>
              <w:rPr>
                <w:rFonts w:hint="eastAsia" w:ascii="Times New Roman" w:hAnsi="Times New Roman" w:eastAsia="宋体" w:cs="Times New Roman"/>
                <w:color w:val="auto"/>
                <w:sz w:val="24"/>
                <w:szCs w:val="24"/>
              </w:rPr>
              <w:t>、保密措施</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2.00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根据投标人提供的保密措施（包括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对职业人员遵循职业道德的监控措施、对审计项目的保密制度措施等）</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：内容详实、清晰、无缺项，完全符合本项目实际需求的得2分；内容描述完整、详细、可行且合理、但针对性表现不突出的得</w:t>
            </w:r>
            <w:r>
              <w:rPr>
                <w:rFonts w:hint="eastAsia" w:ascii="Times New Roman" w:hAnsi="Times New Roman" w:eastAsia="宋体" w:cs="Times New Roman"/>
                <w:color w:val="auto"/>
                <w:sz w:val="24"/>
                <w:szCs w:val="24"/>
                <w:lang w:eastAsia="zh-CN"/>
              </w:rPr>
              <w:t>1.9</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1</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6</w:t>
            </w:r>
            <w:r>
              <w:rPr>
                <w:rFonts w:hint="eastAsia" w:ascii="Times New Roman" w:hAnsi="Times New Roman" w:eastAsia="宋体" w:cs="Times New Roman"/>
                <w:color w:val="auto"/>
                <w:sz w:val="24"/>
                <w:szCs w:val="24"/>
              </w:rPr>
              <w:t>、审计进度安排方案</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3.00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根据投标人提供的审计进度安排方案（包括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审核时间、进度计划安排</w:t>
            </w:r>
            <w:r>
              <w:rPr>
                <w:rFonts w:hint="eastAsia" w:ascii="Times New Roman" w:hAnsi="Times New Roman" w:eastAsia="宋体" w:cs="Times New Roman"/>
                <w:color w:val="auto"/>
                <w:sz w:val="24"/>
                <w:szCs w:val="24"/>
                <w:lang w:eastAsia="zh-CN"/>
              </w:rPr>
              <w:t>等</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：有提出审计时间、进度安排，条理清晰，符合本项目要求的得3分；内容描述完整、详细、可行且合理、但针对性表现不突出的得2</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eastAsia="zh-CN"/>
              </w:rPr>
              <w:t>8</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、审计风险规避措施</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3.00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根据投标人针对本项目提出的审计风险规避措施（包括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工作细则、流程、突出重难点、计划措施、定期总结工作制度等）</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：内容详实、清晰、无缺项，完全符合本项目实际需求的得3分；内容描述完整、详细、可行且合理、但针对性表现不突出的得2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eastAsia="zh-CN"/>
              </w:rPr>
              <w:t>5</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8</w:t>
            </w:r>
            <w:r>
              <w:rPr>
                <w:rFonts w:hint="eastAsia" w:ascii="Times New Roman" w:hAnsi="Times New Roman" w:eastAsia="宋体" w:cs="Times New Roman"/>
                <w:color w:val="auto"/>
                <w:sz w:val="24"/>
                <w:szCs w:val="24"/>
              </w:rPr>
              <w:t>、复审工作方案</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2.00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根据投标人提供的复审工作方案（包括</w:t>
            </w:r>
            <w:r>
              <w:rPr>
                <w:rFonts w:hint="eastAsia" w:ascii="Times New Roman" w:hAnsi="Times New Roman" w:eastAsia="宋体" w:cs="Times New Roman"/>
                <w:color w:val="auto"/>
                <w:sz w:val="24"/>
                <w:szCs w:val="24"/>
                <w:lang w:eastAsia="zh-CN"/>
              </w:rPr>
              <w:t>但不限于</w:t>
            </w:r>
            <w:r>
              <w:rPr>
                <w:rFonts w:hint="eastAsia" w:ascii="Times New Roman" w:hAnsi="Times New Roman" w:eastAsia="宋体" w:cs="Times New Roman"/>
                <w:color w:val="auto"/>
                <w:sz w:val="24"/>
                <w:szCs w:val="24"/>
              </w:rPr>
              <w:t>被审计单位提出陈述申辩后的复审工作的质量控制、质量保障措施等）</w:t>
            </w:r>
            <w:r>
              <w:rPr>
                <w:rFonts w:hint="eastAsia" w:ascii="Times New Roman" w:hAnsi="Times New Roman" w:eastAsia="宋体" w:cs="Times New Roman"/>
                <w:color w:val="auto"/>
                <w:sz w:val="24"/>
                <w:szCs w:val="24"/>
                <w:lang w:eastAsia="zh-CN"/>
              </w:rPr>
              <w:t>，由评委</w:t>
            </w:r>
            <w:r>
              <w:rPr>
                <w:rFonts w:hint="eastAsia" w:ascii="Times New Roman" w:hAnsi="Times New Roman" w:eastAsia="宋体" w:cs="Times New Roman"/>
                <w:color w:val="auto"/>
                <w:sz w:val="24"/>
                <w:szCs w:val="24"/>
              </w:rPr>
              <w:t>进行评</w:t>
            </w:r>
            <w:r>
              <w:rPr>
                <w:rFonts w:hint="eastAsia" w:ascii="Times New Roman" w:hAnsi="Times New Roman" w:eastAsia="宋体" w:cs="Times New Roman"/>
                <w:color w:val="auto"/>
                <w:sz w:val="24"/>
                <w:szCs w:val="24"/>
                <w:lang w:eastAsia="zh-CN"/>
              </w:rPr>
              <w:t>分</w:t>
            </w:r>
            <w:r>
              <w:rPr>
                <w:rFonts w:hint="eastAsia" w:ascii="Times New Roman" w:hAnsi="Times New Roman" w:eastAsia="宋体" w:cs="Times New Roman"/>
                <w:color w:val="auto"/>
                <w:sz w:val="24"/>
                <w:szCs w:val="24"/>
              </w:rPr>
              <w:t>：内容详实、清晰、无缺项，完全符合本项目实际需求的得2分；内容描述完整、详细、可行且合理、但针对性表现不突出的得1</w:t>
            </w:r>
            <w:r>
              <w:rPr>
                <w:rFonts w:hint="eastAsia" w:ascii="Times New Roman" w:hAnsi="Times New Roman" w:eastAsia="宋体" w:cs="Times New Roman"/>
                <w:color w:val="auto"/>
                <w:sz w:val="24"/>
                <w:szCs w:val="24"/>
                <w:lang w:eastAsia="zh-CN"/>
              </w:rPr>
              <w:t>.9</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1</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rPr>
              <w:t>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2"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9</w:t>
            </w:r>
            <w:r>
              <w:rPr>
                <w:rFonts w:hint="eastAsia" w:ascii="Times New Roman" w:hAnsi="Times New Roman" w:eastAsia="宋体" w:cs="Times New Roman"/>
                <w:color w:val="auto"/>
                <w:sz w:val="24"/>
                <w:szCs w:val="24"/>
              </w:rPr>
              <w:t>、审计服务质量控制措施</w:t>
            </w:r>
          </w:p>
        </w:tc>
        <w:tc>
          <w:tcPr>
            <w:tcW w:w="1057" w:type="dxa"/>
            <w:tcBorders>
              <w:top w:val="single" w:color="666666" w:sz="6" w:space="0"/>
              <w:left w:val="single" w:color="666666" w:sz="6" w:space="0"/>
              <w:bottom w:val="single" w:color="666666" w:sz="6" w:space="0"/>
              <w:right w:val="single" w:color="666666" w:sz="6" w:space="0"/>
            </w:tcBorders>
            <w:shd w:val="clear" w:color="auto" w:fill="auto"/>
            <w:vAlign w:val="center"/>
          </w:tcPr>
          <w:p>
            <w:pPr>
              <w:spacing w:line="360" w:lineRule="auto"/>
              <w:jc w:val="center"/>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3.00</w:t>
            </w:r>
          </w:p>
        </w:tc>
        <w:tc>
          <w:tcPr>
            <w:tcW w:w="7020" w:type="dxa"/>
            <w:tcBorders>
              <w:top w:val="single" w:color="666666" w:sz="6" w:space="0"/>
              <w:left w:val="single" w:color="666666" w:sz="6" w:space="0"/>
              <w:bottom w:val="single" w:color="666666" w:sz="6" w:space="0"/>
              <w:right w:val="single" w:color="666666" w:sz="6" w:space="0"/>
            </w:tcBorders>
            <w:shd w:val="clear" w:color="auto" w:fill="auto"/>
            <w:vAlign w:val="top"/>
          </w:tcPr>
          <w:p>
            <w:pPr>
              <w:spacing w:line="360" w:lineRule="auto"/>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根据投标人提供的审计服务质量控制措施（包括但不限于人员管理制度、业务流程控制、监督与改进机制等），由评委进行评分：内容详实、清晰、无缺项，完全符合本项目实际需求的得3分；内容描述完整、详细、可行且合理、但针对性表现不突出的得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eastAsia="zh-CN"/>
              </w:rPr>
              <w:t>5</w:t>
            </w:r>
            <w:r>
              <w:rPr>
                <w:rFonts w:hint="eastAsia" w:ascii="Times New Roman" w:hAnsi="Times New Roman" w:eastAsia="宋体" w:cs="Times New Roman"/>
                <w:color w:val="auto"/>
                <w:sz w:val="24"/>
                <w:szCs w:val="24"/>
              </w:rPr>
              <w:t>分； 内容描述基本完整、但详细性、可行性、合理性描述过于简单，针对性表现不突出的得</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分；未提供者不得分。</w:t>
            </w:r>
          </w:p>
        </w:tc>
      </w:tr>
    </w:tbl>
    <w:p>
      <w:pPr>
        <w:pStyle w:val="21"/>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③商务项（F3×A3）满分为</w:t>
      </w:r>
      <w:r>
        <w:rPr>
          <w:rFonts w:hint="eastAsia" w:ascii="宋体" w:hAnsi="宋体" w:cs="宋体"/>
          <w:b/>
          <w:bCs/>
          <w:color w:val="auto"/>
          <w:szCs w:val="24"/>
          <w:highlight w:val="none"/>
          <w:u w:val="single"/>
          <w:lang w:val="en-US" w:eastAsia="zh-CN"/>
        </w:rPr>
        <w:t>12</w:t>
      </w:r>
      <w:r>
        <w:rPr>
          <w:rFonts w:hint="eastAsia" w:ascii="宋体" w:hAnsi="宋体" w:eastAsia="宋体" w:cs="宋体"/>
          <w:b/>
          <w:bCs/>
          <w:color w:val="auto"/>
          <w:szCs w:val="24"/>
          <w:highlight w:val="none"/>
        </w:rPr>
        <w:t>分。</w:t>
      </w:r>
    </w:p>
    <w:tbl>
      <w:tblPr>
        <w:tblStyle w:val="25"/>
        <w:tblW w:w="9381"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268"/>
        <w:gridCol w:w="1168"/>
        <w:gridCol w:w="69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12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83"/>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评标项目</w:t>
            </w:r>
          </w:p>
        </w:tc>
        <w:tc>
          <w:tcPr>
            <w:tcW w:w="11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83"/>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评标分值</w:t>
            </w:r>
          </w:p>
        </w:tc>
        <w:tc>
          <w:tcPr>
            <w:tcW w:w="69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83"/>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007" w:hRule="atLeast"/>
          <w:jc w:val="center"/>
        </w:trPr>
        <w:tc>
          <w:tcPr>
            <w:tcW w:w="1268" w:type="dxa"/>
            <w:tcBorders>
              <w:top w:val="single" w:color="666666" w:sz="6" w:space="0"/>
              <w:left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1、业绩</w:t>
            </w:r>
          </w:p>
        </w:tc>
        <w:tc>
          <w:tcPr>
            <w:tcW w:w="11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3.00</w:t>
            </w:r>
          </w:p>
        </w:tc>
        <w:tc>
          <w:tcPr>
            <w:tcW w:w="6945" w:type="dxa"/>
            <w:tcBorders>
              <w:top w:val="single" w:color="666666" w:sz="6" w:space="0"/>
              <w:left w:val="single" w:color="666666" w:sz="6" w:space="0"/>
              <w:bottom w:val="single" w:color="666666" w:sz="6" w:space="0"/>
              <w:right w:val="single" w:color="666666" w:sz="6" w:space="0"/>
            </w:tcBorders>
            <w:shd w:val="clear" w:color="auto" w:fill="FFFFFF"/>
            <w:vAlign w:val="top"/>
          </w:tcPr>
          <w:p>
            <w:pPr>
              <w:spacing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根据投标人2022年1月1日至投标截止时间止(以合同签订时间为准)自身完成的</w:t>
            </w:r>
            <w:r>
              <w:rPr>
                <w:rFonts w:hint="eastAsia" w:ascii="Times New Roman" w:hAnsi="Times New Roman" w:eastAsia="宋体" w:cs="Times New Roman"/>
                <w:color w:val="auto"/>
                <w:sz w:val="24"/>
                <w:szCs w:val="24"/>
                <w:lang w:val="en-US" w:eastAsia="zh-CN"/>
              </w:rPr>
              <w:t>高校经济责任</w:t>
            </w:r>
            <w:r>
              <w:rPr>
                <w:rFonts w:hint="default" w:ascii="Times New Roman" w:hAnsi="Times New Roman" w:eastAsia="宋体" w:cs="Times New Roman"/>
                <w:color w:val="auto"/>
                <w:sz w:val="24"/>
                <w:szCs w:val="24"/>
                <w:lang w:eastAsia="zh-CN"/>
              </w:rPr>
              <w:t>审计服务项目的业绩情况，由评委进行评分：每提供一个业绩得1分，满分3分。投标人须在投标文件中提供该业绩项目以下资料复印件：①中标/成交公告（提供相关网站中标/成交公告的下载网页及其网址）；②中标/成交通知书；③采购合同文本；④能够证明该业绩项目已经业主单位验收合格的相关证明文件。以上材料缺一不可。如未按以上要求提供该项业绩完整的证明资料，评标委员会对该项业绩将不予计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037" w:hRule="atLeast"/>
          <w:jc w:val="center"/>
        </w:trPr>
        <w:tc>
          <w:tcPr>
            <w:tcW w:w="1268" w:type="dxa"/>
            <w:tcBorders>
              <w:top w:val="single" w:color="666666" w:sz="6" w:space="0"/>
              <w:left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2、人员资历</w:t>
            </w:r>
          </w:p>
        </w:tc>
        <w:tc>
          <w:tcPr>
            <w:tcW w:w="11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.00</w:t>
            </w:r>
          </w:p>
        </w:tc>
        <w:tc>
          <w:tcPr>
            <w:tcW w:w="6945" w:type="dxa"/>
            <w:tcBorders>
              <w:top w:val="single" w:color="666666" w:sz="6" w:space="0"/>
              <w:left w:val="single" w:color="666666" w:sz="6" w:space="0"/>
              <w:bottom w:val="single" w:color="666666" w:sz="6" w:space="0"/>
              <w:right w:val="single" w:color="666666" w:sz="6" w:space="0"/>
            </w:tcBorders>
            <w:shd w:val="clear" w:color="auto" w:fill="FFFFFF"/>
            <w:vAlign w:val="top"/>
          </w:tcPr>
          <w:p>
            <w:pPr>
              <w:spacing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none"/>
                <w:lang w:eastAsia="zh-CN"/>
              </w:rPr>
              <w:t>根据</w:t>
            </w:r>
            <w:r>
              <w:rPr>
                <w:rFonts w:hint="eastAsia" w:ascii="Times New Roman" w:hAnsi="Times New Roman" w:eastAsia="宋体" w:cs="Times New Roman"/>
                <w:color w:val="auto"/>
                <w:sz w:val="24"/>
                <w:szCs w:val="24"/>
                <w:u w:val="none"/>
                <w:lang w:val="en-US" w:eastAsia="zh-CN"/>
              </w:rPr>
              <w:t>投标人</w:t>
            </w:r>
            <w:r>
              <w:rPr>
                <w:rFonts w:hint="default" w:ascii="Times New Roman" w:hAnsi="Times New Roman" w:eastAsia="宋体" w:cs="Times New Roman"/>
                <w:color w:val="auto"/>
                <w:sz w:val="24"/>
                <w:szCs w:val="24"/>
                <w:u w:val="none"/>
                <w:lang w:eastAsia="zh-CN"/>
              </w:rPr>
              <w:t>拟派本项目的注册会计师执业年限：注册会计师证</w:t>
            </w:r>
            <w:r>
              <w:rPr>
                <w:rFonts w:hint="eastAsia" w:cs="Times New Roman"/>
                <w:color w:val="auto"/>
                <w:sz w:val="24"/>
                <w:szCs w:val="24"/>
                <w:u w:val="none"/>
                <w:lang w:val="en-US" w:eastAsia="zh-CN"/>
              </w:rPr>
              <w:t>执业年限</w:t>
            </w:r>
            <w:r>
              <w:rPr>
                <w:rFonts w:hint="default" w:ascii="Times New Roman" w:hAnsi="Times New Roman" w:eastAsia="宋体" w:cs="Times New Roman"/>
                <w:color w:val="auto"/>
                <w:sz w:val="24"/>
                <w:szCs w:val="24"/>
                <w:u w:val="none"/>
                <w:lang w:eastAsia="zh-CN"/>
              </w:rPr>
              <w:t>超过5年(含)的每人得</w:t>
            </w:r>
            <w:r>
              <w:rPr>
                <w:rFonts w:hint="eastAsia"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lang w:eastAsia="zh-CN"/>
              </w:rPr>
              <w:t>分，满分</w:t>
            </w:r>
            <w:r>
              <w:rPr>
                <w:rFonts w:hint="eastAsia" w:cs="Times New Roman"/>
                <w:color w:val="auto"/>
                <w:sz w:val="24"/>
                <w:szCs w:val="24"/>
                <w:u w:val="none"/>
                <w:lang w:eastAsia="zh-CN"/>
              </w:rPr>
              <w:t>2</w:t>
            </w:r>
            <w:r>
              <w:rPr>
                <w:rFonts w:hint="default" w:ascii="Times New Roman" w:hAnsi="Times New Roman" w:eastAsia="宋体" w:cs="Times New Roman"/>
                <w:color w:val="auto"/>
                <w:sz w:val="24"/>
                <w:szCs w:val="24"/>
                <w:u w:val="none"/>
                <w:lang w:eastAsia="zh-CN"/>
              </w:rPr>
              <w:t>分.</w:t>
            </w:r>
            <w:r>
              <w:rPr>
                <w:rFonts w:hint="eastAsia" w:ascii="Times New Roman" w:hAnsi="Times New Roman" w:eastAsia="宋体" w:cs="Times New Roman"/>
                <w:color w:val="auto"/>
                <w:sz w:val="24"/>
                <w:szCs w:val="24"/>
                <w:u w:val="none"/>
                <w:lang w:val="en-US" w:eastAsia="zh-CN"/>
              </w:rPr>
              <w:t>投标人</w:t>
            </w:r>
            <w:r>
              <w:rPr>
                <w:rFonts w:hint="default" w:ascii="Times New Roman" w:hAnsi="Times New Roman" w:eastAsia="宋体" w:cs="Times New Roman"/>
                <w:color w:val="auto"/>
                <w:sz w:val="24"/>
                <w:szCs w:val="24"/>
                <w:u w:val="none"/>
                <w:lang w:eastAsia="zh-CN"/>
              </w:rPr>
              <w:t xml:space="preserve">须提供注册会计师执业资格证书复印件、工作年限证明资料及最近6个月任一个月含投标当月在本单位社保缴交证明，否则不得分。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12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3</w:t>
            </w:r>
            <w:r>
              <w:rPr>
                <w:rFonts w:hint="default" w:ascii="Times New Roman" w:hAnsi="Times New Roman" w:eastAsia="宋体" w:cs="Times New Roman"/>
                <w:color w:val="auto"/>
                <w:sz w:val="24"/>
                <w:szCs w:val="24"/>
                <w:lang w:eastAsia="zh-CN"/>
              </w:rPr>
              <w:t>、满意度</w:t>
            </w:r>
          </w:p>
        </w:tc>
        <w:tc>
          <w:tcPr>
            <w:tcW w:w="11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3.00</w:t>
            </w:r>
          </w:p>
        </w:tc>
        <w:tc>
          <w:tcPr>
            <w:tcW w:w="6945" w:type="dxa"/>
            <w:tcBorders>
              <w:top w:val="single" w:color="666666" w:sz="6" w:space="0"/>
              <w:left w:val="single" w:color="666666" w:sz="6" w:space="0"/>
              <w:bottom w:val="single" w:color="666666" w:sz="6" w:space="0"/>
              <w:right w:val="single" w:color="666666" w:sz="6" w:space="0"/>
            </w:tcBorders>
            <w:shd w:val="clear" w:color="auto" w:fill="FFFFFF"/>
            <w:vAlign w:val="top"/>
          </w:tcPr>
          <w:p>
            <w:pPr>
              <w:spacing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根据投标人2022年1月1日至投标截止时间止(以合同签订时间为准)自身完成的与本次采购包1经济责任审计相关的审计服务项目的用户服务反馈评价情况，由评委进行评分：每提供一份获得业主单位（或使用部门）服务认可的有效证明材料得1分，满分3分。投标人须提供服务合同以及业主单位（或使用部门）出具的服务认可有效证明材料，否则不得分。注：同一业主单位出具的满意度证明材料不重复得分，与“业绩”项重复的项目不重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12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4</w:t>
            </w:r>
            <w:r>
              <w:rPr>
                <w:rFonts w:hint="default" w:ascii="Times New Roman" w:hAnsi="Times New Roman" w:eastAsia="宋体" w:cs="Times New Roman"/>
                <w:color w:val="auto"/>
                <w:sz w:val="24"/>
                <w:szCs w:val="24"/>
                <w:lang w:eastAsia="zh-CN"/>
              </w:rPr>
              <w:t>、售后服务方案</w:t>
            </w:r>
          </w:p>
        </w:tc>
        <w:tc>
          <w:tcPr>
            <w:tcW w:w="1168"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2.00</w:t>
            </w:r>
          </w:p>
        </w:tc>
        <w:tc>
          <w:tcPr>
            <w:tcW w:w="6945" w:type="dxa"/>
            <w:tcBorders>
              <w:top w:val="single" w:color="666666" w:sz="6" w:space="0"/>
              <w:left w:val="single" w:color="666666" w:sz="6" w:space="0"/>
              <w:bottom w:val="single" w:color="666666" w:sz="6" w:space="0"/>
              <w:right w:val="single" w:color="666666" w:sz="6" w:space="0"/>
            </w:tcBorders>
            <w:shd w:val="clear" w:color="auto" w:fill="FFFFFF"/>
            <w:vAlign w:val="top"/>
          </w:tcPr>
          <w:p>
            <w:pPr>
              <w:spacing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根据投标人制定的售后服务方案情况（包括但不限于售后服务承诺、保障措施等），由评委进行评分：内容详实、清晰、无缺项，完全符合本项目实际需求的得2分；内容描述完整、详细、可行且合理、但针对性表现不突出的得1.5分； 内容描述基本完整、但详细性、可行性、合理性描述过于简单，针对性表现不突出的得1分；未提供者不得分。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1268" w:type="dxa"/>
            <w:tcBorders>
              <w:top w:val="single" w:color="666666" w:sz="6" w:space="0"/>
              <w:left w:val="single" w:color="666666" w:sz="6" w:space="0"/>
              <w:right w:val="single" w:color="666666" w:sz="6" w:space="0"/>
            </w:tcBorders>
            <w:shd w:val="clear" w:color="auto" w:fill="FFFFFF"/>
            <w:vAlign w:val="top"/>
          </w:tcPr>
          <w:p>
            <w:pPr>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5</w:t>
            </w:r>
            <w:r>
              <w:rPr>
                <w:rFonts w:hint="default" w:ascii="Times New Roman" w:hAnsi="Times New Roman" w:eastAsia="宋体" w:cs="Times New Roman"/>
                <w:color w:val="auto"/>
                <w:sz w:val="24"/>
                <w:szCs w:val="24"/>
                <w:lang w:eastAsia="zh-CN"/>
              </w:rPr>
              <w:t>、服务响应时间</w:t>
            </w:r>
          </w:p>
        </w:tc>
        <w:tc>
          <w:tcPr>
            <w:tcW w:w="1168" w:type="dxa"/>
            <w:tcBorders>
              <w:top w:val="single" w:color="666666" w:sz="6" w:space="0"/>
              <w:left w:val="single" w:color="666666" w:sz="6" w:space="0"/>
              <w:bottom w:val="single" w:color="666666" w:sz="6" w:space="0"/>
              <w:right w:val="single" w:color="666666" w:sz="6" w:space="0"/>
            </w:tcBorders>
            <w:shd w:val="clear" w:color="auto" w:fill="FFFFFF"/>
            <w:vAlign w:val="top"/>
          </w:tcPr>
          <w:p>
            <w:pPr>
              <w:spacing w:line="360" w:lineRule="auto"/>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2.00</w:t>
            </w:r>
          </w:p>
        </w:tc>
        <w:tc>
          <w:tcPr>
            <w:tcW w:w="6945" w:type="dxa"/>
            <w:tcBorders>
              <w:top w:val="single" w:color="666666" w:sz="6" w:space="0"/>
              <w:left w:val="single" w:color="666666" w:sz="6" w:space="0"/>
              <w:bottom w:val="single" w:color="666666" w:sz="6" w:space="0"/>
              <w:right w:val="single" w:color="666666" w:sz="6" w:space="0"/>
            </w:tcBorders>
            <w:shd w:val="clear" w:color="auto" w:fill="FFFFFF"/>
            <w:vAlign w:val="top"/>
          </w:tcPr>
          <w:p>
            <w:pPr>
              <w:spacing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投标人承诺根据采购人工作需要，随时到现场的响应服务时间＜1小时的得2分；1小时≤随时到现场的响应服务时间＜2小时的得1分，随时到现场得响应服务时间≥2小时的不得分。须提供承诺函（承诺函格式自拟），否则不得分。</w:t>
            </w:r>
          </w:p>
        </w:tc>
      </w:tr>
    </w:tbl>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（4）成交候选供应商排列规则顺序和并列相同时的处理约定如下：</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a.成交候选供应商按照综合评审总得分（FA）由高到低顺序排列推荐。</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b.综合评审总得分（FA）相同的，按照经评审最后磋商报价（即经政府采购优惠政策进行价格扣除后的最后报价）由低到高顺序推荐。</w:t>
      </w:r>
    </w:p>
    <w:p>
      <w:pPr>
        <w:pStyle w:val="21"/>
        <w:pageBreakBefore w:val="0"/>
        <w:kinsoku/>
        <w:wordWrap/>
        <w:overflowPunct/>
        <w:topLinePunct w:val="0"/>
        <w:autoSpaceDE/>
        <w:autoSpaceDN/>
        <w:bidi w:val="0"/>
        <w:adjustRightInd/>
        <w:snapToGrid/>
        <w:spacing w:line="341"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c.综合评审总得分（FA）且经评审最后磋商报价（即经政府采购优惠政策进行价格扣除后的最后报价）仍然相同的，按照技术指标优劣顺序推荐。</w:t>
      </w:r>
    </w:p>
    <w:p>
      <w:pPr>
        <w:pStyle w:val="21"/>
        <w:pageBreakBefore w:val="0"/>
        <w:kinsoku/>
        <w:wordWrap/>
        <w:overflowPunct/>
        <w:topLinePunct w:val="0"/>
        <w:autoSpaceDE/>
        <w:autoSpaceDN/>
        <w:bidi w:val="0"/>
        <w:adjustRightInd/>
        <w:snapToGrid/>
        <w:spacing w:line="341"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d.经前述顺序处理仍然并列相同的，则通过随机抽取方式确定优先顺序推荐。</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21" w:name="_Toc9126"/>
      <w:bookmarkStart w:id="22" w:name="_Toc21735"/>
      <w:bookmarkStart w:id="23" w:name="_Toc15043"/>
      <w:r>
        <w:rPr>
          <w:rFonts w:hint="eastAsia" w:ascii="宋体" w:hAnsi="宋体" w:eastAsia="宋体" w:cs="宋体"/>
          <w:color w:val="auto"/>
          <w:sz w:val="24"/>
          <w:szCs w:val="24"/>
          <w:highlight w:val="none"/>
        </w:rPr>
        <w:t>四、评审报告</w:t>
      </w:r>
      <w:bookmarkEnd w:id="21"/>
      <w:bookmarkEnd w:id="22"/>
      <w:bookmarkEnd w:id="23"/>
    </w:p>
    <w:p>
      <w:pPr>
        <w:pStyle w:val="21"/>
        <w:pageBreakBefore w:val="0"/>
        <w:kinsoku/>
        <w:wordWrap/>
        <w:overflowPunct/>
        <w:topLinePunct w:val="0"/>
        <w:autoSpaceDE/>
        <w:autoSpaceDN/>
        <w:bidi w:val="0"/>
        <w:adjustRightInd/>
        <w:snapToGrid/>
        <w:spacing w:line="341"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4.1磋商小组完成评审后，应当编写评审报告并提交给采购人。</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4.2评审报告应当包括以下主要内容：</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（一）邀请供应商参加采购活动的具体方式和相关情况；</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（二）响应文件开启日期和地点；</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（三）获取竞争性磋商文件的供应商名单和磋商小组成员名单；</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（四）评审情况记录和说明，包括对供应商的资格审查情况、供应商响应文件评审情况、磋商情况、报价情况等；</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（五）提出的成交候选供应商的排序名单及理由。</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24" w:name="_Toc20877"/>
      <w:bookmarkStart w:id="25" w:name="_Toc8516"/>
      <w:bookmarkStart w:id="26" w:name="_Toc3110"/>
      <w:r>
        <w:rPr>
          <w:rFonts w:hint="eastAsia" w:ascii="宋体" w:hAnsi="宋体" w:eastAsia="宋体" w:cs="宋体"/>
          <w:color w:val="auto"/>
          <w:sz w:val="24"/>
          <w:szCs w:val="24"/>
          <w:highlight w:val="none"/>
        </w:rPr>
        <w:t>五、其他规定</w:t>
      </w:r>
      <w:bookmarkEnd w:id="24"/>
      <w:bookmarkEnd w:id="25"/>
      <w:bookmarkEnd w:id="26"/>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5.1其他规定</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5.1.1评审应全程保密且不得透露给任一供应商或与评审工作无关的人员。</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5.1.2评审将进行全程实时录音录像，录音录像资料随竞争性磋商文件一并存档。</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5.1.3若供应商有任何试图干扰具体评审事务，影响磋商小组独立履行职责的行为，其响应无效且不予退还磋商保证金。情节严重的，由财政部门列入不良行为记录。</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5.1.4根据采购项目的特点和需要，需要加以详细说明的其他磋商程序规定、要求等内容：无。</w:t>
      </w:r>
    </w:p>
    <w:p>
      <w:pPr>
        <w:pStyle w:val="3"/>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30"/>
          <w:szCs w:val="30"/>
          <w:highlight w:val="none"/>
        </w:rPr>
      </w:pPr>
      <w:bookmarkStart w:id="27" w:name="_Toc14025"/>
      <w:bookmarkStart w:id="28" w:name="_Toc17512"/>
      <w:bookmarkStart w:id="29" w:name="_Toc30651"/>
      <w:r>
        <w:rPr>
          <w:rFonts w:hint="eastAsia" w:ascii="宋体" w:hAnsi="宋体" w:eastAsia="宋体" w:cs="宋体"/>
          <w:color w:val="auto"/>
          <w:sz w:val="30"/>
          <w:szCs w:val="30"/>
          <w:highlight w:val="none"/>
        </w:rPr>
        <w:t>第2节 竞争性磋商须知</w:t>
      </w:r>
      <w:bookmarkEnd w:id="27"/>
      <w:bookmarkEnd w:id="28"/>
      <w:bookmarkEnd w:id="29"/>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30" w:name="_Toc30259"/>
      <w:bookmarkStart w:id="31" w:name="_Toc31212"/>
      <w:bookmarkStart w:id="32" w:name="_Toc11003"/>
      <w:r>
        <w:rPr>
          <w:rFonts w:hint="eastAsia" w:ascii="宋体" w:hAnsi="宋体" w:eastAsia="宋体" w:cs="宋体"/>
          <w:color w:val="auto"/>
          <w:sz w:val="24"/>
          <w:szCs w:val="24"/>
          <w:highlight w:val="none"/>
        </w:rPr>
        <w:t>一、总   则</w:t>
      </w:r>
      <w:bookmarkEnd w:id="30"/>
      <w:bookmarkEnd w:id="31"/>
      <w:bookmarkEnd w:id="32"/>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1.适用范围：</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1.1适用于竞争性磋商文件载明项目的采购活动（以下简称：“本次采购活动”）。</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2.定义及要求：</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2.1“采购标的”指竞争性磋商文件载明的需要采购的货物、服务、工程。</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2.2“采购人”指本次采购项目的买方、或业主方、或甲方，具体见竞争性磋商文件第一章；“采购代理机构”系指接受采购人委托，组织开展竞争性磋商采购活动的代理机构，具体见竞争性磋商文件第一章。</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2.3“潜在供应商”按照竞争性磋商文件第一章规定进行报名，且有意向参加本项目响应磋商的供应商。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2.4“供应商”指按照竞争性磋商文件第一章规定进行报名，且已经提交响应文件的法人或其他组织或自然人。只有适合自然人参与和承接的政府采购项目，供应商才可以是自然人。</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2.5“单位负责人”指单位法定代表人（供应商为法人的）或法律、法规规定代表单位行使职权的主要负责人（供应商为其他组织的）。</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2.6“供应商代表”指供应商（为法人或其他组织的）的单位负责人或由其授权的委托代理人，即单位负责人授权书中载明的接受授权方。供应商为自然人的，由本人签字并附身份证明。</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3.合格的供应商：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3.1一般规定</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3.1.1供应商应当遵守中国的有关法律、法规和规章的规定，参加政府采购活动时已经自觉检查并参照政府采购相关法律规定，主动回避相应利害关系。</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3.1.2为采购项目提供整体设计、规范编制或项目管理、监理、检测等服务的供应商，不得再参加该采购项目除整体设计、规范编制和项目管理、监理、检测等服务之外的其他采购活动</w:t>
      </w:r>
      <w:r>
        <w:rPr>
          <w:rStyle w:val="28"/>
          <w:rFonts w:hint="eastAsia" w:ascii="宋体" w:hAnsi="宋体" w:eastAsia="宋体" w:cs="宋体"/>
          <w:color w:val="auto"/>
          <w:highlight w:val="none"/>
        </w:rPr>
        <w:t>。</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Style w:val="28"/>
          <w:rFonts w:hint="eastAsia" w:ascii="宋体" w:hAnsi="宋体" w:eastAsia="宋体" w:cs="宋体"/>
          <w:color w:val="auto"/>
          <w:highlight w:val="none"/>
        </w:rPr>
        <w:t>。</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供应商有责任检查自身情况，在响应文件中对是否违反以上一般规定做出如实声明，否则其响应文件将被否决。</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3.2特别规定</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3.2.1供应商的资格要求：详见竞争性磋商须知前附表第</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项。</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3.2.2是否接受联合体形式的响应磋商：详见竞争性磋商须知前附表第</w:t>
      </w:r>
      <w:r>
        <w:rPr>
          <w:rFonts w:hint="eastAsia" w:ascii="宋体" w:hAnsi="宋体" w:eastAsia="宋体" w:cs="宋体"/>
          <w:color w:val="auto"/>
          <w:szCs w:val="24"/>
          <w:highlight w:val="none"/>
          <w:u w:val="single"/>
        </w:rPr>
        <w:t>2</w:t>
      </w:r>
      <w:r>
        <w:rPr>
          <w:rFonts w:hint="eastAsia" w:ascii="宋体" w:hAnsi="宋体" w:eastAsia="宋体" w:cs="宋体"/>
          <w:color w:val="auto"/>
          <w:szCs w:val="24"/>
          <w:highlight w:val="none"/>
        </w:rPr>
        <w:t>项。若接受联合体形式且供应商为联合体，则联合体各方除了应遵守本章第3.1条规定外，还应遵守下列规定：</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（1）联合体各方应提交联合体协议，联合体协议应符合竞争性磋商文件规定。</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（2）联合体各方不得再单独参加或与其他供应商另外组成联合体参加同一合同项下的响应磋商。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（3）联合体各方应共同与采购人签订政府采购合同，就政府采购合同约定的事项对采购人承担连带责任。</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4.参与竞争性磋商费用：</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4.1除法律法规或竞争性磋商文件另有规定之外，供应商应自行承担其准备与参加竞争性磋商所涉及的一切费用。</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33" w:name="_Toc21970"/>
      <w:bookmarkStart w:id="34" w:name="_Toc25536"/>
      <w:bookmarkStart w:id="35" w:name="_Toc617"/>
      <w:r>
        <w:rPr>
          <w:rFonts w:hint="eastAsia" w:ascii="宋体" w:hAnsi="宋体" w:eastAsia="宋体" w:cs="宋体"/>
          <w:color w:val="auto"/>
          <w:sz w:val="24"/>
          <w:szCs w:val="24"/>
          <w:highlight w:val="none"/>
        </w:rPr>
        <w:t>二、竞争性磋商文件</w:t>
      </w:r>
      <w:bookmarkEnd w:id="33"/>
      <w:bookmarkEnd w:id="34"/>
      <w:bookmarkEnd w:id="35"/>
    </w:p>
    <w:p>
      <w:pPr>
        <w:pStyle w:val="21"/>
        <w:pageBreakBefore w:val="0"/>
        <w:kinsoku/>
        <w:wordWrap/>
        <w:overflowPunct/>
        <w:topLinePunct w:val="0"/>
        <w:autoSpaceDE/>
        <w:autoSpaceDN/>
        <w:bidi w:val="0"/>
        <w:adjustRightInd/>
        <w:snapToGrid/>
        <w:spacing w:line="341" w:lineRule="auto"/>
        <w:jc w:val="both"/>
        <w:textAlignment w:val="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5.竞争性磋商文件的组成：</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5.1竞争性磋商文件由下述部分组成：</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采购公告（或采购邀请书）</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竞争性磋商须知</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采购内容及要求</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合同主要条款及格式</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响应文件格式</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其他格式</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5.2除上述内容以外，采购人、采购代理机构或者磋商小组在采购过程期间对竞争性磋商文件所作的澄清、修改或补充，均构成竞争性磋商文件的组成部分，对采购人和供应商具有约束力。</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6.竞争性磋商文件的澄清、补充、修改及现场考察等：</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提交响应文件截止时间前，采购人、采购代理机构或者磋商小组可以对已发出的竞争性磋商文件进行必要的澄清、补充或者修改，澄清、补充或者修改的内容作为竞争性磋商文件的组成部分。澄清、补充或者修改的内容可能影响响应文件编制的，采购人、采购代理机构或者磋商小组将在提交响应文件截止时间5个日历日前，以书面形式通知所有获取竞争性磋商文件的潜在供应商，不足5个日历日的，采购人、采购代理机构或磋商小组将顺延提交响应文件的截止时间。</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6.2提交响应文件截止时间前，若采购人发布更正公告，则更正公告及其所发布的内容或信息（包括但不限于竞争性磋商文件的澄清、补充或修改等）作为竞争性磋商文件组成部分，对采购人和供应商具有约束力。更正公告作为采购人、采购代理机构或磋商小组通知所有潜在供应商的书面形式，潜在供应商务必随时关注竞争性磋商文件中载明的指定媒体，以免遗漏。</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color w:val="auto"/>
          <w:szCs w:val="24"/>
          <w:highlight w:val="none"/>
          <w:u w:val="single"/>
        </w:rPr>
        <w:t>13</w:t>
      </w:r>
      <w:r>
        <w:rPr>
          <w:rFonts w:hint="eastAsia" w:ascii="宋体" w:hAnsi="宋体" w:eastAsia="宋体" w:cs="宋体"/>
          <w:color w:val="auto"/>
          <w:szCs w:val="24"/>
          <w:highlight w:val="none"/>
        </w:rPr>
        <w:t>项。</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36" w:name="_Toc16644"/>
      <w:bookmarkStart w:id="37" w:name="_Toc2508"/>
      <w:bookmarkStart w:id="38" w:name="_Toc26326"/>
      <w:r>
        <w:rPr>
          <w:rFonts w:hint="eastAsia" w:ascii="宋体" w:hAnsi="宋体" w:eastAsia="宋体" w:cs="宋体"/>
          <w:color w:val="auto"/>
          <w:sz w:val="24"/>
          <w:szCs w:val="24"/>
          <w:highlight w:val="none"/>
        </w:rPr>
        <w:t>三、响应文件编制</w:t>
      </w:r>
      <w:bookmarkEnd w:id="36"/>
      <w:bookmarkEnd w:id="37"/>
      <w:bookmarkEnd w:id="38"/>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7.应标要求</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7.2供应商代表在同一个合同项下只能接受一个供应商的委托参加响应磋商，否则其响应文件将被否决。</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7.3供应商应仔细阅读竞争性磋商文件的所有内容和要求，按竞争性磋商文件的规定提供响应文件，并对其所提供的全部资料、承诺和声明的真实性、合法性和准确性负责。</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7.4除非竞争性磋商须知前附表另有规定外，供应商提供的响应文件应使用中文文本，若有不同文字文本，以中文文本为准。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7.6除非竞争性磋商须知前附表另有规定外，供应商承诺的报价应以人民币进行报价，合同实施结算时亦以人民币支付；所有计量均采用中华人民共和国法定计量单位。</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8.响应文件的组成：</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8.1响应文件包括但不限于下列部分：</w:t>
      </w:r>
    </w:p>
    <w:p>
      <w:pPr>
        <w:pStyle w:val="21"/>
        <w:pageBreakBefore w:val="0"/>
        <w:kinsoku/>
        <w:wordWrap/>
        <w:overflowPunct/>
        <w:topLinePunct w:val="0"/>
        <w:autoSpaceDE/>
        <w:autoSpaceDN/>
        <w:bidi w:val="0"/>
        <w:adjustRightInd/>
        <w:snapToGrid/>
        <w:spacing w:line="341" w:lineRule="auto"/>
        <w:ind w:firstLine="241" w:firstLineChars="100"/>
        <w:jc w:val="both"/>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（1）资格及资信证明部分</w:t>
      </w:r>
    </w:p>
    <w:p>
      <w:pPr>
        <w:pStyle w:val="21"/>
        <w:pageBreakBefore w:val="0"/>
        <w:kinsoku/>
        <w:wordWrap/>
        <w:overflowPunct/>
        <w:topLinePunct w:val="0"/>
        <w:autoSpaceDE/>
        <w:autoSpaceDN/>
        <w:bidi w:val="0"/>
        <w:adjustRightInd/>
        <w:snapToGrid/>
        <w:spacing w:line="341"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 磋商响应声明</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 供应商的资格及资信证明文件</w:t>
      </w:r>
    </w:p>
    <w:p>
      <w:pPr>
        <w:pStyle w:val="21"/>
        <w:pageBreakBefore w:val="0"/>
        <w:kinsoku/>
        <w:wordWrap/>
        <w:overflowPunct/>
        <w:topLinePunct w:val="0"/>
        <w:autoSpaceDE/>
        <w:autoSpaceDN/>
        <w:bidi w:val="0"/>
        <w:adjustRightInd/>
        <w:snapToGrid/>
        <w:spacing w:line="341"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③ </w:t>
      </w:r>
      <w:r>
        <w:rPr>
          <w:rFonts w:hint="eastAsia" w:ascii="宋体" w:hAnsi="宋体" w:eastAsia="宋体" w:cs="宋体"/>
          <w:color w:val="auto"/>
          <w:szCs w:val="24"/>
          <w:highlight w:val="none"/>
        </w:rPr>
        <w:t>代理服务费缴交承诺书</w:t>
      </w:r>
    </w:p>
    <w:p>
      <w:pPr>
        <w:pStyle w:val="21"/>
        <w:pageBreakBefore w:val="0"/>
        <w:kinsoku/>
        <w:wordWrap/>
        <w:overflowPunct/>
        <w:topLinePunct w:val="0"/>
        <w:autoSpaceDE/>
        <w:autoSpaceDN/>
        <w:bidi w:val="0"/>
        <w:adjustRightInd/>
        <w:snapToGrid/>
        <w:spacing w:line="341" w:lineRule="auto"/>
        <w:ind w:firstLine="241" w:firstLineChars="100"/>
        <w:jc w:val="both"/>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（2）报价部分</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 报价一览表</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 详细报价书</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③ 竞争性磋商文件规定的价格扣除证明材料（若有）</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 竞争性磋商文件规定的加分证明材料（若有）</w:t>
      </w:r>
    </w:p>
    <w:p>
      <w:pPr>
        <w:pStyle w:val="21"/>
        <w:pageBreakBefore w:val="0"/>
        <w:kinsoku/>
        <w:wordWrap/>
        <w:overflowPunct/>
        <w:topLinePunct w:val="0"/>
        <w:autoSpaceDE/>
        <w:autoSpaceDN/>
        <w:bidi w:val="0"/>
        <w:adjustRightInd/>
        <w:snapToGrid/>
        <w:spacing w:line="341" w:lineRule="auto"/>
        <w:ind w:firstLine="241" w:firstLineChars="100"/>
        <w:jc w:val="both"/>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（3）技术商务部分</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 标的说明一览表</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 技术和商务偏离表</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③ 相关技术、商务、服务响应承诺及资料</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 供应商提交符合政府采购政策的证明材料</w:t>
      </w:r>
    </w:p>
    <w:p>
      <w:pPr>
        <w:pStyle w:val="21"/>
        <w:pageBreakBefore w:val="0"/>
        <w:kinsoku/>
        <w:wordWrap/>
        <w:overflowPunct/>
        <w:topLinePunct w:val="0"/>
        <w:autoSpaceDE/>
        <w:autoSpaceDN/>
        <w:bidi w:val="0"/>
        <w:adjustRightInd/>
        <w:snapToGrid/>
        <w:spacing w:line="341" w:lineRule="auto"/>
        <w:ind w:firstLine="48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⑤ 要求作为响应文件组成部分的其他内容（若有）</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9.响应文件有效期：</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9.1响应文件有效期见竞争性磋商须知前附表第</w:t>
      </w:r>
      <w:r>
        <w:rPr>
          <w:rFonts w:hint="eastAsia" w:ascii="宋体" w:hAnsi="宋体" w:eastAsia="宋体" w:cs="宋体"/>
          <w:color w:val="auto"/>
          <w:szCs w:val="24"/>
          <w:highlight w:val="none"/>
          <w:u w:val="single"/>
        </w:rPr>
        <w:t>3</w:t>
      </w:r>
      <w:r>
        <w:rPr>
          <w:rFonts w:hint="eastAsia" w:ascii="宋体" w:hAnsi="宋体" w:eastAsia="宋体" w:cs="宋体"/>
          <w:color w:val="auto"/>
          <w:szCs w:val="24"/>
          <w:highlight w:val="none"/>
        </w:rPr>
        <w:t>项，响应文件承诺的有效期不得少于竞争性磋商文件载明的有效期，</w:t>
      </w:r>
      <w:r>
        <w:rPr>
          <w:rStyle w:val="28"/>
          <w:rFonts w:hint="eastAsia" w:ascii="宋体" w:hAnsi="宋体" w:eastAsia="宋体" w:cs="宋体"/>
          <w:color w:val="auto"/>
          <w:highlight w:val="none"/>
        </w:rPr>
        <w:t>否则其响应文件将被否决。</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lang w:val="en-US" w:eastAsia="zh-CN"/>
        </w:rPr>
      </w:pPr>
      <w:r>
        <w:rPr>
          <w:rStyle w:val="28"/>
          <w:rFonts w:hint="eastAsia" w:ascii="宋体" w:hAnsi="宋体" w:eastAsia="宋体" w:cs="宋体"/>
          <w:color w:val="auto"/>
          <w:highlight w:val="none"/>
        </w:rPr>
        <w:t>10.磋商保证金：</w:t>
      </w:r>
      <w:r>
        <w:rPr>
          <w:rStyle w:val="28"/>
          <w:rFonts w:hint="eastAsia" w:ascii="宋体" w:hAnsi="宋体" w:eastAsia="宋体" w:cs="宋体"/>
          <w:color w:val="auto"/>
          <w:highlight w:val="none"/>
          <w:lang w:val="en-US" w:eastAsia="zh-CN"/>
        </w:rPr>
        <w:t>本项目不设定。</w:t>
      </w:r>
    </w:p>
    <w:p>
      <w:pPr>
        <w:pStyle w:val="21"/>
        <w:pageBreakBefore w:val="0"/>
        <w:kinsoku/>
        <w:wordWrap/>
        <w:overflowPunct/>
        <w:topLinePunct w:val="0"/>
        <w:autoSpaceDE/>
        <w:autoSpaceDN/>
        <w:bidi w:val="0"/>
        <w:adjustRightInd/>
        <w:snapToGrid/>
        <w:spacing w:line="341" w:lineRule="auto"/>
        <w:textAlignment w:val="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11.响应文件基本编制要求：</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11.1供应商须编制由本须知规定组成的响应文件正副本份数详见竞争性磋商须知前附表第</w:t>
      </w:r>
      <w:r>
        <w:rPr>
          <w:rFonts w:hint="eastAsia" w:ascii="宋体" w:hAnsi="宋体" w:eastAsia="宋体" w:cs="宋体"/>
          <w:color w:val="auto"/>
          <w:szCs w:val="24"/>
          <w:highlight w:val="none"/>
          <w:u w:val="single"/>
        </w:rPr>
        <w:t>6</w:t>
      </w:r>
      <w:r>
        <w:rPr>
          <w:rFonts w:hint="eastAsia" w:ascii="宋体" w:hAnsi="宋体" w:eastAsia="宋体" w:cs="宋体"/>
          <w:color w:val="auto"/>
          <w:szCs w:val="24"/>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11.2响应文件应由供应商代表签字并加盖公章。供应商代表如果不是竞争性磋商须知中定义的“单位负责人”，则其响应文件中还必须提供“单位负责人授权书”。</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11.3响应文件应尽量避免涂改、行间插字或删除。如果出现上述情况，改动之处应加盖供应商单位公章或由供应商代表签字确认。</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11.4供应商应提交证明其拟提供货物、服务或工程符合竞争性磋商文件要求的技术和商务响应文件，该文件可以是文字资料、图纸和数据，并对拟提供的货物、服务或工程的主要内容进行详细描述。</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12.响应文件的密封、标识、签署和提交</w:t>
      </w:r>
    </w:p>
    <w:p>
      <w:pPr>
        <w:pStyle w:val="21"/>
        <w:pageBreakBefore w:val="0"/>
        <w:kinsoku/>
        <w:wordWrap/>
        <w:overflowPunct/>
        <w:topLinePunct w:val="0"/>
        <w:autoSpaceDE/>
        <w:autoSpaceDN/>
        <w:bidi w:val="0"/>
        <w:adjustRightInd/>
        <w:snapToGrid/>
        <w:spacing w:line="341" w:lineRule="auto"/>
        <w:ind w:firstLine="426"/>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12.1供应商应当将响应文件密封包装提交，并在外封套上标识项目名称、项目编号、供应商单位名称以及“于 </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之前（指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21"/>
        <w:pageBreakBefore w:val="0"/>
        <w:kinsoku/>
        <w:wordWrap/>
        <w:overflowPunct/>
        <w:topLinePunct w:val="0"/>
        <w:autoSpaceDE/>
        <w:autoSpaceDN/>
        <w:bidi w:val="0"/>
        <w:adjustRightInd/>
        <w:snapToGrid/>
        <w:spacing w:line="341" w:lineRule="auto"/>
        <w:ind w:firstLine="426"/>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供应商应当在竞争性磋商文件规定的提交响应文件截止时间前，将响应文件密封送达竞争性磋商文件规定的指定地点。在截止时间后送达的响应文件为无效文件，采购人、采购代理机构或者磋商小组将不予接收。</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供应商在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供应商在磋商过程中根据磋商小组要求，提交的有关澄清、说明、补充、更正响应文件以及最后响应文件等资料，均应由供应商代表签署（供应商代表如果不是竞争性磋商须知中定义的“单位负责人”，则还必须提供“单位负责人授权书”），或者加盖供应商单位公章。</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除《政府采购竞争性磋商采购方式管理暂行办法》等相关法律法规及财政部门颁布的规范性文件允许的两家供应商进行竞争性磋商采购情形外，响应文件递交截止时间后，提交响应文件的供应商不足三家的，本次竞争性磋商活动终止，除采购任务取消情形外，采购人将依法重新组织采购或者采取其他方式采购。</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39" w:name="_Toc2442"/>
      <w:bookmarkStart w:id="40" w:name="_Toc10440"/>
      <w:bookmarkStart w:id="41" w:name="_Toc21425"/>
      <w:r>
        <w:rPr>
          <w:rFonts w:hint="eastAsia" w:ascii="宋体" w:hAnsi="宋体" w:eastAsia="宋体" w:cs="宋体"/>
          <w:color w:val="auto"/>
          <w:sz w:val="24"/>
          <w:szCs w:val="24"/>
          <w:highlight w:val="none"/>
        </w:rPr>
        <w:t>四、竞争性磋商</w:t>
      </w:r>
      <w:bookmarkEnd w:id="39"/>
      <w:bookmarkEnd w:id="40"/>
      <w:bookmarkEnd w:id="41"/>
    </w:p>
    <w:p>
      <w:pPr>
        <w:pStyle w:val="21"/>
        <w:pageBreakBefore w:val="0"/>
        <w:numPr>
          <w:ilvl w:val="0"/>
          <w:numId w:val="1"/>
        </w:numPr>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评审和磋商基本准则</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13.1对所有供应商的评审和磋商，都采用相同的程序和标准。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13.2磋商及评审过程将严格按照竞争性磋商文件的要求和条件进行，磋商小组将根据供应商的响应文件，按竞争性磋商文件规定的磋商程序及评审的标准和方法进行评审、磋商，并推荐成交候选供应商。</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14.磋商程序以及评审标准和方法</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14.1采购人将根据项目的特点依法组建磋商小组。磋商小组将根据竞争性磋商文件规定的程序、评审标准和方法等内容对供应商进行评审、磋商。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 在进入磋商阶段之前，磋商小组将对供应商提交的响应文件中资格证明文件以及其他响应文件是否对竞争性磋商文件的要求作出实质性响应进行审查。如果供应商资格审查和实质性响应审查不合格，则其响应文件将被磋商小组否决，按无效处理，不进入磋商阶段，磋商小组将告知有关供应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14.2.1供应商有下列情况之一者，其提交的响应文件将被视为未实质性响应竞争性磋商文件要求，磋商小组将否决其响应文件，按无效处理：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(1)响应文件中提供的资格证明文件不全的；</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(2)响应文件未按竞争性磋商文件规定由供应商代表签字，或未按竞争性磋商文件规定加盖供应商单位公章的；或供应商代表未获得有效授权的；</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(3)供应商未按竞争性磋商文件规定提交磋商保证金的；</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(4)响应文件有效期不满足竞争性磋商文件要求的；</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(5)响应内容与磋商采购内容及要求有重大偏离或保留的，限制了采购人的权利或者减少成交供应商合同项下的义务；（由于磋商项目本身特点，不能详细列明采购标的的技术、服务要求的除外）；</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(6)响应文件中附有采购人无法接受的条件的；</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(7)不符合竞争性磋商文件中规定的其它实质性条款（比如：报价超过了竞争性磋商文件规定的最高限价）。</w:t>
      </w:r>
    </w:p>
    <w:p>
      <w:pPr>
        <w:pStyle w:val="21"/>
        <w:pageBreakBefore w:val="0"/>
        <w:kinsoku/>
        <w:wordWrap/>
        <w:overflowPunct/>
        <w:topLinePunct w:val="0"/>
        <w:autoSpaceDE/>
        <w:autoSpaceDN/>
        <w:bidi w:val="0"/>
        <w:adjustRightInd/>
        <w:snapToGrid/>
        <w:spacing w:line="341" w:lineRule="auto"/>
        <w:ind w:left="479" w:leftChars="228" w:firstLine="64" w:firstLineChars="2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14.2.2其他情形</w:t>
      </w:r>
    </w:p>
    <w:p>
      <w:pPr>
        <w:pStyle w:val="21"/>
        <w:pageBreakBefore w:val="0"/>
        <w:kinsoku/>
        <w:wordWrap/>
        <w:overflowPunct/>
        <w:topLinePunct w:val="0"/>
        <w:autoSpaceDE/>
        <w:autoSpaceDN/>
        <w:bidi w:val="0"/>
        <w:adjustRightInd/>
        <w:snapToGrid/>
        <w:spacing w:line="341" w:lineRule="auto"/>
        <w:ind w:left="479" w:leftChars="228" w:firstLine="65" w:firstLineChars="27"/>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包：1</w:t>
      </w:r>
      <w:r>
        <w:rPr>
          <w:rStyle w:val="28"/>
          <w:rFonts w:hint="eastAsia" w:ascii="宋体" w:hAnsi="宋体" w:cs="宋体"/>
          <w:color w:val="auto"/>
          <w:highlight w:val="none"/>
          <w:lang w:val="en-US" w:eastAsia="zh-CN"/>
        </w:rPr>
        <w:t xml:space="preserve"> </w:t>
      </w:r>
      <w:r>
        <w:rPr>
          <w:rStyle w:val="28"/>
          <w:rFonts w:hint="eastAsia" w:ascii="宋体" w:hAnsi="宋体" w:eastAsia="宋体" w:cs="宋体"/>
          <w:color w:val="auto"/>
          <w:highlight w:val="none"/>
        </w:rPr>
        <w:t>无</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磋商小组决定供应商的响应性只根据响应文件本身的内容，而不寻求其他的外部证据。</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竞争性磋商文件和磋商情况实质性变动采购需求中的技术、服务要求以及合同草案条款，但不得变动竞争性磋商文件中的其他内容。实质性变动的内容，须经采购人代表确认。磋商过程中对竞争性磋商文件作出的实质性变动是竞争性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eastAsia="宋体" w:cs="宋体"/>
          <w:color w:val="auto"/>
          <w:szCs w:val="24"/>
          <w:highlight w:val="none"/>
          <w:u w:val="single"/>
        </w:rPr>
        <w:t>8</w:t>
      </w:r>
      <w:r>
        <w:rPr>
          <w:rFonts w:hint="eastAsia" w:ascii="宋体" w:hAnsi="宋体" w:eastAsia="宋体" w:cs="宋体"/>
          <w:color w:val="auto"/>
          <w:szCs w:val="24"/>
          <w:highlight w:val="none"/>
        </w:rPr>
        <w:t>项。</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合格供应商应当按照竞争性磋商文件的变动情况和磋商小组的要求提交补充响应文件（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竞争性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14.7竞争性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14.9磋商小组将采用综合评分法对提交最后报价的供应商的响应文件和最后报价进行综合评分，具体评审的标准和方法详见“竞争性磋商须知前附表”中专项附件：“评审的标准和方法”。磋商小组根据综合评分情况，按照评审得分由高到低顺序推荐1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14.10供应商提交的响应文件和资料将给予保密，但不退回（有关证件或证照的原件除外）。</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42" w:name="_Toc17413"/>
      <w:bookmarkStart w:id="43" w:name="_Toc15041"/>
      <w:bookmarkStart w:id="44" w:name="_Toc22965"/>
      <w:r>
        <w:rPr>
          <w:rFonts w:hint="eastAsia" w:ascii="宋体" w:hAnsi="宋体" w:eastAsia="宋体" w:cs="宋体"/>
          <w:color w:val="auto"/>
          <w:sz w:val="24"/>
          <w:szCs w:val="24"/>
          <w:highlight w:val="none"/>
        </w:rPr>
        <w:t>五、合同授予</w:t>
      </w:r>
      <w:bookmarkEnd w:id="42"/>
      <w:bookmarkEnd w:id="43"/>
      <w:bookmarkEnd w:id="44"/>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15.授予合同的准则：</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15.1除不可抗力等因素外，合同将授予响应文件符合竞争性磋商文件要求，能够圆满地履行合同，且被磋商小组推荐为第一成交候选供应商的供应商。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15.3为维护国家利益和社会公共利益，最低报价不是被授予合同的绝对保证。</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16.确定成交供应商：</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16.1采购人委托代理机构组织竞争性磋商采购活动的，采购代理机构在评审结束后2个工作日内将评审报告送采购人确认。</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采购人在收到评审报告后5个工作日内，从评审报告提出的成交候选供应商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17.成交通知:</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采购人或者采购代理机构在成交供应商确定后2个工作日内，在竞争性磋商文件载明的指定媒体上公告成交结果，同时向成交供应商发出成交通知书，并作为向未成交供应商发出未成交通知书的书面形式。采用书面推荐供应商参加采购活动的，还将公告采购人和评审专家的推荐意见。</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参照《中华人民共和国政府采购法》、《中华人民共和国政府采购法实施条例》、有关财政部规章等法律文件规定执行。</w:t>
      </w:r>
    </w:p>
    <w:p>
      <w:pPr>
        <w:pStyle w:val="21"/>
        <w:pageBreakBefore w:val="0"/>
        <w:kinsoku/>
        <w:wordWrap/>
        <w:overflowPunct/>
        <w:topLinePunct w:val="0"/>
        <w:autoSpaceDE/>
        <w:autoSpaceDN/>
        <w:bidi w:val="0"/>
        <w:adjustRightInd/>
        <w:snapToGrid/>
        <w:spacing w:line="341" w:lineRule="auto"/>
        <w:textAlignment w:val="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18.签订合同：</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采购人与成交供应商应当在成交通知书发出之日起30日内，按照竞争性磋商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18.2竞争性磋商文件、成交供应商的响应文件及其有关澄清承诺文件等，均为签订政府采购合同的依据和组成部分。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rPr>
        <w:t>8.3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45" w:name="_Toc7297"/>
      <w:bookmarkStart w:id="46" w:name="_Toc4813"/>
      <w:bookmarkStart w:id="47" w:name="_Toc19319"/>
      <w:r>
        <w:rPr>
          <w:rFonts w:hint="eastAsia" w:ascii="宋体" w:hAnsi="宋体" w:eastAsia="宋体" w:cs="宋体"/>
          <w:color w:val="auto"/>
          <w:sz w:val="24"/>
          <w:szCs w:val="24"/>
          <w:highlight w:val="none"/>
        </w:rPr>
        <w:t>六、询问、质疑与投诉</w:t>
      </w:r>
      <w:bookmarkEnd w:id="45"/>
      <w:bookmarkEnd w:id="46"/>
      <w:bookmarkEnd w:id="47"/>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19.询问</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19.1潜在供应商或供应商对本次采购活动的有关事项若有疑问，可向采购人或采购代理机构提出询问，采购人或采购代理机构将参照政府采购法及实施条例的有关规定进行答复。</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20.质疑</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20.1质疑应在政府采购法及实施条例规定的时效内提出，并符合下列条件：</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20.1.1对竞争性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20.1.2质疑人应提交质疑函原件。</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20.1.3质疑函应包括下列主要内容：</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 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 所质疑项目的基本信息，至少包括：项目编号、项目名称等；</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③ 所质疑的具体事项（以下简称：“质疑事项”）；</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 质疑人自身权益受到损害的事实依据和证明材料，至少包括：</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a1所质疑的具体事项事实存在的证明材料；</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a2所质疑的具体事项事实导致质疑人自身权益受到损害的证明材料，如：竞争性磋商文件、采购过程或成交结果违法违规，损害自已合法权益等证明材料；</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⑤ 针对质疑事项提出的明确请求和法律依据，</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前述明确请求指质疑人提出质疑的目的、希望采购人或采购代理机构对其质疑作出的处理结果，如：暂停采购活动、修改竞争性磋商文件、停止或纠正违法违规行为、成交结果无效、废标、重新采购等，质疑人提出质疑请求还应当对相应的法律依据进行说明。</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⑥ 提出质疑的日期以及质疑人代表联系方式，至少包括：姓名、手机、电子信箱、邮寄地址等。</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20.2对不符合前文第20.1条规定的质疑，采购人或采购代理机构将按照下列规定进行处理：</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20.2.1超过质疑时效提交的或者质疑人不是直接参与所质疑项目采购活动的供应商，书面告知质疑人其质疑不成立的原因和理由。</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1"/>
        <w:pageBreakBefore w:val="0"/>
        <w:kinsoku/>
        <w:wordWrap/>
        <w:overflowPunct/>
        <w:topLinePunct w:val="0"/>
        <w:autoSpaceDE/>
        <w:autoSpaceDN/>
        <w:bidi w:val="0"/>
        <w:adjustRightInd/>
        <w:snapToGrid/>
        <w:spacing w:line="341"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20.2.3质疑人修改、补充质疑函超过质疑时效提交的按20.2.1款处理。供应商提交质疑函时，要认真阅读本章第20条关于质疑的相关规定，以免内容或资料不齐，需要修改补充而延误时间。</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20.3对符合前文第20.1条规定的质疑，采购人或采购代理机构将参照政府采购法及实施条例的有关规定进行答复。</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21.投诉</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21.1若对质疑答复不满意或质疑答复未在答复期限内作出，质疑人可在答复期限届满之日起15个工作日内向采购人的监督管理部门投诉。</w:t>
      </w:r>
    </w:p>
    <w:p>
      <w:pPr>
        <w:pStyle w:val="21"/>
        <w:pageBreakBefore w:val="0"/>
        <w:kinsoku/>
        <w:wordWrap/>
        <w:overflowPunct/>
        <w:topLinePunct w:val="0"/>
        <w:autoSpaceDE/>
        <w:autoSpaceDN/>
        <w:bidi w:val="0"/>
        <w:adjustRightInd/>
        <w:snapToGrid/>
        <w:spacing w:line="341"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21.2投诉应有明确的请求和必要的证明材料，投诉的事项不得超出已质疑事项的范围。</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48" w:name="_Toc11919"/>
      <w:bookmarkStart w:id="49" w:name="_Toc19252"/>
      <w:bookmarkStart w:id="50" w:name="_Toc27686"/>
      <w:r>
        <w:rPr>
          <w:rFonts w:hint="eastAsia" w:ascii="宋体" w:hAnsi="宋体" w:eastAsia="宋体" w:cs="宋体"/>
          <w:color w:val="auto"/>
          <w:sz w:val="24"/>
          <w:szCs w:val="24"/>
          <w:highlight w:val="none"/>
        </w:rPr>
        <w:t>七、有关信息公告和监督部门</w:t>
      </w:r>
      <w:bookmarkEnd w:id="48"/>
      <w:bookmarkEnd w:id="49"/>
      <w:bookmarkEnd w:id="50"/>
    </w:p>
    <w:p>
      <w:pPr>
        <w:pStyle w:val="21"/>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22.政府采购信息公告媒体</w:t>
      </w:r>
    </w:p>
    <w:p>
      <w:pPr>
        <w:pStyle w:val="21"/>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本项目的有关信息，包括但不限于采购公告、更正公告（若有）、竞争性磋商文件、竞争性磋商文件的澄清或修改（若有）、成交公告、终止公告（若有）、废标公告（若有）等都将在竞争性磋商文件载明的指定媒体发布。潜在供应商或供应商务必随时关注，以免遗漏</w:t>
      </w:r>
    </w:p>
    <w:p>
      <w:pPr>
        <w:pStyle w:val="21"/>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22.2信息公告指定媒体：详见竞争性磋商须知前附表第</w:t>
      </w:r>
      <w:r>
        <w:rPr>
          <w:rFonts w:hint="eastAsia" w:ascii="宋体" w:hAnsi="宋体" w:cs="宋体"/>
          <w:color w:val="auto"/>
          <w:szCs w:val="24"/>
          <w:highlight w:val="none"/>
          <w:u w:val="single"/>
          <w:lang w:val="en-US" w:eastAsia="zh-CN"/>
        </w:rPr>
        <w:t>10</w:t>
      </w:r>
      <w:r>
        <w:rPr>
          <w:rFonts w:hint="eastAsia" w:ascii="宋体" w:hAnsi="宋体" w:eastAsia="宋体" w:cs="宋体"/>
          <w:color w:val="auto"/>
          <w:szCs w:val="24"/>
          <w:highlight w:val="none"/>
        </w:rPr>
        <w:t>项。</w:t>
      </w:r>
    </w:p>
    <w:p>
      <w:pPr>
        <w:pStyle w:val="83"/>
        <w:spacing w:line="360" w:lineRule="auto"/>
        <w:jc w:val="left"/>
        <w:rPr>
          <w:rStyle w:val="28"/>
          <w:rFonts w:hint="eastAsia" w:ascii="宋体" w:hAnsi="宋体" w:eastAsia="宋体" w:cs="宋体"/>
          <w:color w:val="auto"/>
          <w:kern w:val="0"/>
          <w:highlight w:val="none"/>
          <w:lang w:val="en-US" w:eastAsia="zh-CN" w:bidi="ar-SA"/>
        </w:rPr>
      </w:pPr>
      <w:bookmarkStart w:id="51" w:name="_Toc10970"/>
      <w:bookmarkStart w:id="52" w:name="_Toc4501"/>
      <w:r>
        <w:rPr>
          <w:rStyle w:val="28"/>
          <w:rFonts w:hint="eastAsia" w:ascii="宋体" w:hAnsi="宋体" w:eastAsia="宋体" w:cs="宋体"/>
          <w:color w:val="auto"/>
          <w:kern w:val="0"/>
          <w:highlight w:val="none"/>
          <w:lang w:val="en-US" w:eastAsia="zh-CN" w:bidi="ar-SA"/>
        </w:rPr>
        <w:t>23.监督管理部门</w:t>
      </w:r>
    </w:p>
    <w:p>
      <w:pPr>
        <w:pStyle w:val="83"/>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23.1磋商采购活动的监督管理部门详见竞争性磋商须知前附表第</w:t>
      </w:r>
      <w:r>
        <w:rPr>
          <w:rFonts w:hint="eastAsia" w:ascii="宋体"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lang w:val="en-US" w:eastAsia="zh-CN" w:bidi="ar-SA"/>
        </w:rPr>
        <w:t>项。</w:t>
      </w:r>
    </w:p>
    <w:p>
      <w:pPr>
        <w:pStyle w:val="4"/>
        <w:pageBreakBefore w:val="0"/>
        <w:kinsoku/>
        <w:wordWrap/>
        <w:overflowPunct/>
        <w:topLinePunct w:val="0"/>
        <w:autoSpaceDE/>
        <w:autoSpaceDN/>
        <w:bidi w:val="0"/>
        <w:adjustRightInd/>
        <w:snapToGrid/>
        <w:spacing w:line="341" w:lineRule="auto"/>
        <w:jc w:val="center"/>
        <w:textAlignment w:val="auto"/>
        <w:rPr>
          <w:rFonts w:hint="eastAsia" w:ascii="宋体" w:hAnsi="宋体" w:eastAsia="宋体" w:cs="宋体"/>
          <w:color w:val="auto"/>
          <w:sz w:val="24"/>
          <w:szCs w:val="24"/>
          <w:highlight w:val="none"/>
        </w:rPr>
      </w:pPr>
      <w:bookmarkStart w:id="53" w:name="_Toc6543"/>
      <w:r>
        <w:rPr>
          <w:rFonts w:hint="eastAsia" w:ascii="宋体" w:hAnsi="宋体" w:eastAsia="宋体" w:cs="宋体"/>
          <w:color w:val="auto"/>
          <w:sz w:val="24"/>
          <w:szCs w:val="24"/>
          <w:highlight w:val="none"/>
        </w:rPr>
        <w:t>八、根据采购项目特点或政策需要补充的其他内容</w:t>
      </w:r>
      <w:bookmarkEnd w:id="51"/>
      <w:bookmarkEnd w:id="52"/>
      <w:bookmarkEnd w:id="53"/>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2</w:t>
      </w:r>
      <w:r>
        <w:rPr>
          <w:rStyle w:val="28"/>
          <w:rFonts w:hint="eastAsia" w:ascii="宋体" w:hAnsi="宋体" w:cs="宋体"/>
          <w:color w:val="auto"/>
          <w:highlight w:val="none"/>
          <w:lang w:val="en-US" w:eastAsia="zh-CN"/>
        </w:rPr>
        <w:t>4</w:t>
      </w:r>
      <w:r>
        <w:rPr>
          <w:rStyle w:val="28"/>
          <w:rFonts w:hint="eastAsia" w:ascii="宋体" w:hAnsi="宋体" w:eastAsia="宋体" w:cs="宋体"/>
          <w:color w:val="auto"/>
          <w:highlight w:val="none"/>
        </w:rPr>
        <w:t>.履约保证金</w:t>
      </w:r>
    </w:p>
    <w:p>
      <w:pPr>
        <w:pStyle w:val="21"/>
        <w:pageBreakBefore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.1采购人可以根据项目特点和需要，确定是否要求成交人在合同签订前，按照磋商文件规定的时间、形式、金额提交履约保证金，履约保证金的数额不超过中标合同金额的10%。</w:t>
      </w:r>
      <w:r>
        <w:rPr>
          <w:rFonts w:hint="eastAsia" w:ascii="宋体" w:hAnsi="宋体" w:eastAsia="宋体" w:cs="宋体"/>
          <w:color w:val="auto"/>
          <w:szCs w:val="24"/>
          <w:highlight w:val="none"/>
        </w:rPr>
        <w:t>详见竞争性磋商须知前附表第</w:t>
      </w:r>
      <w:r>
        <w:rPr>
          <w:rFonts w:hint="eastAsia" w:ascii="宋体" w:hAnsi="宋体" w:cs="宋体"/>
          <w:color w:val="auto"/>
          <w:szCs w:val="24"/>
          <w:highlight w:val="none"/>
          <w:u w:val="single"/>
          <w:lang w:val="en-US" w:eastAsia="zh-CN"/>
        </w:rPr>
        <w:t>12</w:t>
      </w:r>
      <w:r>
        <w:rPr>
          <w:rFonts w:hint="eastAsia" w:ascii="宋体" w:hAnsi="宋体" w:eastAsia="宋体" w:cs="宋体"/>
          <w:color w:val="auto"/>
          <w:szCs w:val="24"/>
          <w:highlight w:val="none"/>
        </w:rPr>
        <w:t>项。</w:t>
      </w:r>
    </w:p>
    <w:p>
      <w:pPr>
        <w:pStyle w:val="21"/>
        <w:pageBreakBefore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.2磋商文件要求在合同签订前提交履约保证金，如果成交人无故拖延或者拒不提交履约保证金的，则视为成交人拒绝与采购人签订合同，该成交人将承担违法行为的法律责任。</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Style w:val="28"/>
          <w:rFonts w:hint="eastAsia" w:ascii="宋体" w:hAnsi="宋体" w:eastAsia="宋体" w:cs="宋体"/>
          <w:color w:val="auto"/>
          <w:highlight w:val="none"/>
        </w:rPr>
        <w:t>2</w:t>
      </w:r>
      <w:r>
        <w:rPr>
          <w:rStyle w:val="28"/>
          <w:rFonts w:hint="eastAsia" w:ascii="宋体" w:hAnsi="宋体" w:cs="宋体"/>
          <w:color w:val="auto"/>
          <w:highlight w:val="none"/>
          <w:lang w:val="en-US" w:eastAsia="zh-CN"/>
        </w:rPr>
        <w:t>5</w:t>
      </w:r>
      <w:r>
        <w:rPr>
          <w:rStyle w:val="28"/>
          <w:rFonts w:hint="eastAsia" w:ascii="宋体" w:hAnsi="宋体" w:eastAsia="宋体" w:cs="宋体"/>
          <w:color w:val="auto"/>
          <w:highlight w:val="none"/>
        </w:rPr>
        <w:t>.其他新增内容：</w:t>
      </w:r>
    </w:p>
    <w:p>
      <w:pPr>
        <w:pStyle w:val="21"/>
        <w:pageBreakBefore w:val="0"/>
        <w:kinsoku/>
        <w:wordWrap/>
        <w:overflowPunct/>
        <w:topLinePunct w:val="0"/>
        <w:autoSpaceDE/>
        <w:autoSpaceDN/>
        <w:bidi w:val="0"/>
        <w:adjustRightInd/>
        <w:snapToGrid/>
        <w:spacing w:line="341"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根据采购项目特点或政策需要补充的其他新增内容详见竞争性磋商须知前附表第</w:t>
      </w:r>
      <w:r>
        <w:rPr>
          <w:rFonts w:hint="eastAsia" w:ascii="宋体" w:hAnsi="宋体" w:eastAsia="宋体" w:cs="宋体"/>
          <w:color w:val="auto"/>
          <w:szCs w:val="24"/>
          <w:highlight w:val="none"/>
          <w:u w:val="single"/>
        </w:rPr>
        <w:t>1</w:t>
      </w:r>
      <w:r>
        <w:rPr>
          <w:rFonts w:hint="eastAsia" w:ascii="宋体" w:hAnsi="宋体" w:cs="宋体"/>
          <w:color w:val="auto"/>
          <w:szCs w:val="24"/>
          <w:highlight w:val="none"/>
          <w:u w:val="single"/>
          <w:lang w:val="en-US" w:eastAsia="zh-CN"/>
        </w:rPr>
        <w:t>3</w:t>
      </w:r>
      <w:r>
        <w:rPr>
          <w:rFonts w:hint="eastAsia" w:ascii="宋体" w:hAnsi="宋体" w:eastAsia="宋体" w:cs="宋体"/>
          <w:color w:val="auto"/>
          <w:szCs w:val="24"/>
          <w:highlight w:val="none"/>
        </w:rPr>
        <w:t>项。</w:t>
      </w:r>
    </w:p>
    <w:p>
      <w:pPr>
        <w:pStyle w:val="2"/>
        <w:spacing w:line="360" w:lineRule="auto"/>
        <w:jc w:val="center"/>
        <w:rPr>
          <w:rFonts w:hint="eastAsia" w:ascii="宋体" w:hAnsi="宋体" w:eastAsia="宋体" w:cs="宋体"/>
          <w:color w:val="auto"/>
          <w:sz w:val="32"/>
          <w:szCs w:val="32"/>
          <w:highlight w:val="none"/>
        </w:rPr>
      </w:pPr>
      <w:bookmarkStart w:id="54" w:name="_Toc31491"/>
      <w:bookmarkStart w:id="55" w:name="_Toc23605"/>
      <w:bookmarkStart w:id="56" w:name="_Toc25424"/>
    </w:p>
    <w:p>
      <w:pPr>
        <w:pStyle w:val="2"/>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 w:val="32"/>
          <w:szCs w:val="32"/>
          <w:highlight w:val="none"/>
        </w:rPr>
        <w:t>第三章 采购内容及要求</w:t>
      </w:r>
      <w:bookmarkEnd w:id="54"/>
      <w:bookmarkEnd w:id="55"/>
      <w:bookmarkEnd w:id="56"/>
    </w:p>
    <w:p>
      <w:pPr>
        <w:numPr>
          <w:ilvl w:val="0"/>
          <w:numId w:val="0"/>
        </w:numPr>
        <w:spacing w:line="360" w:lineRule="auto"/>
        <w:outlineLvl w:val="1"/>
        <w:rPr>
          <w:rFonts w:ascii="宋体" w:hAnsi="宋体" w:cs="宋体"/>
          <w:b/>
          <w:bCs/>
          <w:color w:val="auto"/>
          <w:sz w:val="24"/>
          <w:szCs w:val="24"/>
        </w:rPr>
      </w:pPr>
      <w:bookmarkStart w:id="57" w:name="_Toc26153"/>
      <w:bookmarkStart w:id="58" w:name="_Toc1998"/>
      <w:bookmarkStart w:id="59" w:name="_Toc420774764"/>
      <w:bookmarkStart w:id="60" w:name="_Toc482620704"/>
      <w:bookmarkStart w:id="61" w:name="_Toc16961"/>
      <w:r>
        <w:rPr>
          <w:rFonts w:hint="eastAsia" w:ascii="宋体" w:hAnsi="宋体" w:cs="宋体"/>
          <w:b/>
          <w:bCs/>
          <w:color w:val="auto"/>
          <w:sz w:val="24"/>
          <w:szCs w:val="24"/>
          <w:lang w:val="en-US" w:eastAsia="zh-CN"/>
        </w:rPr>
        <w:t>一、</w:t>
      </w:r>
      <w:r>
        <w:rPr>
          <w:rFonts w:hint="eastAsia" w:ascii="宋体" w:hAnsi="宋体" w:cs="宋体"/>
          <w:b/>
          <w:bCs/>
          <w:color w:val="auto"/>
          <w:sz w:val="24"/>
          <w:szCs w:val="24"/>
        </w:rPr>
        <w:t>项目概况</w:t>
      </w:r>
      <w:bookmarkEnd w:id="57"/>
      <w:bookmarkEnd w:id="58"/>
    </w:p>
    <w:bookmarkEnd w:id="59"/>
    <w:bookmarkEnd w:id="60"/>
    <w:bookmarkEnd w:id="61"/>
    <w:p>
      <w:pPr>
        <w:spacing w:line="360" w:lineRule="auto"/>
        <w:ind w:firstLine="420" w:firstLineChars="175"/>
        <w:rPr>
          <w:rFonts w:hint="eastAsia" w:ascii="宋体" w:hAnsi="宋体" w:eastAsia="宋体" w:cs="宋体"/>
          <w:color w:val="auto"/>
          <w:sz w:val="24"/>
          <w:szCs w:val="24"/>
        </w:rPr>
      </w:pPr>
      <w:bookmarkStart w:id="62" w:name="_Toc29781"/>
      <w:bookmarkStart w:id="63" w:name="_Toc20615"/>
      <w:r>
        <w:rPr>
          <w:rFonts w:hint="eastAsia" w:ascii="宋体" w:hAnsi="宋体" w:eastAsia="宋体" w:cs="宋体"/>
          <w:color w:val="auto"/>
          <w:sz w:val="24"/>
          <w:szCs w:val="24"/>
        </w:rPr>
        <w:t>本项目为</w:t>
      </w:r>
      <w:r>
        <w:rPr>
          <w:rFonts w:hint="eastAsia" w:ascii="宋体" w:hAnsi="宋体" w:eastAsia="宋体" w:cs="宋体"/>
          <w:color w:val="auto"/>
          <w:sz w:val="24"/>
          <w:szCs w:val="24"/>
          <w:lang w:eastAsia="zh-CN"/>
        </w:rPr>
        <w:t>泉州师范学院</w:t>
      </w: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中层领导干部</w:t>
      </w:r>
      <w:r>
        <w:rPr>
          <w:rFonts w:hint="eastAsia" w:ascii="宋体" w:hAnsi="宋体" w:eastAsia="宋体" w:cs="宋体"/>
          <w:color w:val="auto"/>
          <w:sz w:val="24"/>
          <w:szCs w:val="24"/>
        </w:rPr>
        <w:t>经济责任审计服务采购项目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需出具审计报告</w:t>
      </w:r>
      <w:r>
        <w:rPr>
          <w:rFonts w:hint="eastAsia" w:ascii="宋体" w:hAnsi="宋体" w:eastAsia="宋体" w:cs="宋体"/>
          <w:color w:val="auto"/>
          <w:sz w:val="24"/>
          <w:szCs w:val="24"/>
          <w:lang w:val="en-US" w:eastAsia="zh-CN"/>
        </w:rPr>
        <w:t>16份。</w:t>
      </w:r>
    </w:p>
    <w:p>
      <w:pPr>
        <w:pStyle w:val="21"/>
        <w:spacing w:line="360" w:lineRule="auto"/>
        <w:outlineLvl w:val="1"/>
        <w:rPr>
          <w:rFonts w:ascii="宋体" w:hAnsi="宋体" w:cs="宋体"/>
          <w:b/>
          <w:bCs/>
          <w:color w:val="auto"/>
          <w:szCs w:val="24"/>
        </w:rPr>
      </w:pPr>
      <w:r>
        <w:rPr>
          <w:rFonts w:hint="eastAsia" w:ascii="宋体" w:hAnsi="宋体" w:cs="宋体"/>
          <w:b/>
          <w:bCs/>
          <w:color w:val="auto"/>
          <w:kern w:val="2"/>
          <w:szCs w:val="24"/>
        </w:rPr>
        <w:t>二、技术和服务要求</w:t>
      </w:r>
      <w:bookmarkEnd w:id="62"/>
      <w:bookmarkEnd w:id="63"/>
      <w:bookmarkStart w:id="64" w:name="_Toc4587"/>
    </w:p>
    <w:p>
      <w:pPr>
        <w:spacing w:line="360" w:lineRule="auto"/>
        <w:ind w:firstLine="422" w:firstLineChars="175"/>
        <w:rPr>
          <w:rFonts w:hint="default" w:ascii="宋体" w:hAnsi="宋体" w:eastAsia="宋体" w:cs="宋体"/>
          <w:b/>
          <w:bCs/>
          <w:color w:val="auto"/>
          <w:sz w:val="24"/>
          <w:szCs w:val="24"/>
          <w:lang w:val="en-US" w:eastAsia="zh-CN"/>
        </w:rPr>
      </w:pPr>
      <w:bookmarkStart w:id="65" w:name="_Toc17144"/>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项目具体要求：</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1、审计服务对象：</w:t>
      </w:r>
      <w:r>
        <w:rPr>
          <w:rFonts w:hint="eastAsia" w:ascii="宋体" w:hAnsi="宋体" w:eastAsia="宋体" w:cs="宋体"/>
          <w:color w:val="auto"/>
          <w:sz w:val="24"/>
          <w:szCs w:val="24"/>
          <w:lang w:eastAsia="zh-CN"/>
        </w:rPr>
        <w:t>泉州师范学院</w:t>
      </w:r>
      <w:r>
        <w:rPr>
          <w:rFonts w:hint="eastAsia" w:ascii="宋体" w:hAnsi="宋体" w:eastAsia="宋体" w:cs="宋体"/>
          <w:color w:val="auto"/>
          <w:sz w:val="24"/>
          <w:szCs w:val="24"/>
        </w:rPr>
        <w:t>（采购人）</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★2、审计主要内容：</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贯彻执行党和国家、省重大经济、教育政策和学校决策部署情况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本部门重要发展规划和工作措施的制定、执行和效果情况；内部控制的建立健全及执行情况；重大经济事项的决策、执行和效果情况；部门预算执行和经费收支真实、合法，效益情况；“ 三公经费”、会议费、培训费等公务经费开支和津补贴发放合规情况；合同、协议管理落实情况和本部门职能管理范畴内相关经济活动的监管情况；本部门各类资产管理使用效益情况；物资采购合法合规情况；在经济活动中落实有关党风廉政建设责任和遵守有关廉政规定的情况；以往审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检查等</w:t>
      </w:r>
      <w:r>
        <w:rPr>
          <w:rFonts w:hint="eastAsia" w:ascii="宋体" w:hAnsi="宋体" w:eastAsia="宋体" w:cs="宋体"/>
          <w:color w:val="auto"/>
          <w:sz w:val="24"/>
          <w:szCs w:val="24"/>
        </w:rPr>
        <w:t>发现问题的整改情况；其他需要审计的内容。</w:t>
      </w:r>
    </w:p>
    <w:p>
      <w:pPr>
        <w:spacing w:line="360" w:lineRule="auto"/>
        <w:ind w:firstLine="422" w:firstLineChars="175"/>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（二）服务要求</w:t>
      </w:r>
    </w:p>
    <w:p>
      <w:pPr>
        <w:spacing w:line="360" w:lineRule="auto"/>
        <w:ind w:firstLine="420" w:firstLineChars="175"/>
        <w:rPr>
          <w:rFonts w:hint="eastAsia" w:ascii="宋体" w:hAnsi="宋体" w:eastAsia="宋体" w:cs="宋体"/>
          <w:color w:val="auto"/>
          <w:sz w:val="24"/>
          <w:szCs w:val="24"/>
          <w:u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为及时完成审计任务，</w:t>
      </w:r>
      <w:r>
        <w:rPr>
          <w:rFonts w:hint="eastAsia" w:ascii="宋体" w:hAnsi="宋体" w:eastAsia="宋体" w:cs="宋体"/>
          <w:color w:val="auto"/>
          <w:sz w:val="24"/>
          <w:szCs w:val="24"/>
          <w:u w:val="none"/>
          <w:lang w:val="en-US" w:eastAsia="zh-CN"/>
        </w:rPr>
        <w:t>投标人至少指派6名专业人员</w:t>
      </w:r>
      <w:r>
        <w:rPr>
          <w:rFonts w:hint="eastAsia" w:ascii="宋体" w:hAnsi="宋体" w:cs="宋体"/>
          <w:color w:val="auto"/>
          <w:sz w:val="24"/>
          <w:szCs w:val="24"/>
          <w:u w:val="none"/>
          <w:lang w:val="en-US" w:eastAsia="zh-CN"/>
        </w:rPr>
        <w:t>（其中</w:t>
      </w:r>
      <w:r>
        <w:rPr>
          <w:rFonts w:hint="eastAsia" w:ascii="宋体" w:hAnsi="宋体" w:cs="宋体"/>
          <w:b/>
          <w:bCs/>
          <w:color w:val="auto"/>
          <w:sz w:val="24"/>
          <w:szCs w:val="24"/>
          <w:u w:val="none"/>
          <w:lang w:val="en-US" w:eastAsia="zh-CN"/>
        </w:rPr>
        <w:t>2</w:t>
      </w:r>
      <w:r>
        <w:rPr>
          <w:rFonts w:hint="eastAsia" w:ascii="宋体" w:hAnsi="宋体" w:cs="宋体"/>
          <w:color w:val="auto"/>
          <w:sz w:val="24"/>
          <w:szCs w:val="24"/>
          <w:u w:val="none"/>
          <w:lang w:val="en-US" w:eastAsia="zh-CN"/>
        </w:rPr>
        <w:t>名应具有</w:t>
      </w:r>
      <w:r>
        <w:rPr>
          <w:rFonts w:hint="eastAsia" w:ascii="宋体" w:hAnsi="宋体" w:eastAsia="宋体" w:cs="宋体"/>
          <w:color w:val="auto"/>
          <w:sz w:val="24"/>
          <w:szCs w:val="24"/>
          <w:u w:val="none"/>
        </w:rPr>
        <w:t>注册会计师</w:t>
      </w:r>
      <w:r>
        <w:rPr>
          <w:rFonts w:hint="eastAsia" w:ascii="宋体" w:hAnsi="宋体" w:cs="宋体"/>
          <w:color w:val="auto"/>
          <w:sz w:val="24"/>
          <w:szCs w:val="24"/>
          <w:u w:val="none"/>
          <w:lang w:val="en-US" w:eastAsia="zh-CN"/>
        </w:rPr>
        <w:t>资格</w:t>
      </w:r>
      <w:r>
        <w:rPr>
          <w:rFonts w:hint="eastAsia" w:ascii="宋体" w:hAnsi="宋体" w:eastAsia="宋体" w:cs="宋体"/>
          <w:color w:val="auto"/>
          <w:sz w:val="24"/>
          <w:szCs w:val="24"/>
          <w:u w:val="none"/>
        </w:rPr>
        <w:t>证书</w:t>
      </w:r>
      <w:r>
        <w:rPr>
          <w:rFonts w:hint="eastAsia" w:ascii="宋体" w:hAnsi="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，其中</w:t>
      </w:r>
      <w:r>
        <w:rPr>
          <w:rFonts w:hint="eastAsia" w:ascii="宋体" w:hAnsi="宋体" w:eastAsia="宋体" w:cs="宋体"/>
          <w:color w:val="auto"/>
          <w:sz w:val="24"/>
          <w:szCs w:val="24"/>
          <w:u w:val="none"/>
        </w:rPr>
        <w:t>每个被审计对象提供不少于</w:t>
      </w:r>
      <w:r>
        <w:rPr>
          <w:rFonts w:hint="eastAsia" w:ascii="宋体" w:hAnsi="宋体" w:eastAsia="宋体" w:cs="宋体"/>
          <w:color w:val="auto"/>
          <w:sz w:val="24"/>
          <w:szCs w:val="24"/>
          <w:u w:val="none"/>
          <w:lang w:eastAsia="zh-CN"/>
        </w:rPr>
        <w:t>3</w:t>
      </w:r>
      <w:r>
        <w:rPr>
          <w:rFonts w:hint="eastAsia" w:ascii="宋体" w:hAnsi="宋体" w:eastAsia="宋体" w:cs="宋体"/>
          <w:color w:val="auto"/>
          <w:sz w:val="24"/>
          <w:szCs w:val="24"/>
          <w:u w:val="none"/>
        </w:rPr>
        <w:t>名专业人员。</w:t>
      </w:r>
    </w:p>
    <w:p>
      <w:pPr>
        <w:spacing w:line="360" w:lineRule="auto"/>
        <w:ind w:firstLine="420" w:firstLineChars="175"/>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★2、审计项目由采购人指派的人员担任项目负责人，代表采购人对投标人实施项目进行全过程的管理和质量监控。</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u w:val="none"/>
        </w:rPr>
        <w:t>★3、投标人需指派注册会计师负责现场审计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须提供相关人员的注册会计师证书复印件），其他审计人员具有初级及以上专业职称</w:t>
      </w:r>
      <w:r>
        <w:rPr>
          <w:rFonts w:hint="eastAsia" w:ascii="宋体" w:hAnsi="宋体" w:eastAsia="宋体" w:cs="宋体"/>
          <w:color w:val="auto"/>
          <w:sz w:val="24"/>
          <w:szCs w:val="24"/>
        </w:rPr>
        <w:t>，并提供相关证书复印件</w:t>
      </w:r>
      <w:r>
        <w:rPr>
          <w:rFonts w:hint="eastAsia" w:ascii="宋体" w:hAnsi="宋体" w:eastAsia="宋体" w:cs="宋体"/>
          <w:color w:val="auto"/>
          <w:sz w:val="24"/>
          <w:szCs w:val="24"/>
          <w:lang w:val="en-US" w:eastAsia="zh-CN"/>
        </w:rPr>
        <w:t>为考评依据</w:t>
      </w:r>
      <w:r>
        <w:rPr>
          <w:rFonts w:hint="eastAsia" w:ascii="宋体" w:hAnsi="宋体" w:eastAsia="宋体" w:cs="宋体"/>
          <w:color w:val="auto"/>
          <w:sz w:val="24"/>
          <w:szCs w:val="24"/>
        </w:rPr>
        <w:t>。</w:t>
      </w:r>
    </w:p>
    <w:p>
      <w:pPr>
        <w:spacing w:line="360" w:lineRule="auto"/>
        <w:ind w:firstLine="422" w:firstLineChars="175"/>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备注：须提供以上相关的证明材料，未提供的按无效投标处理。</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、投标人参审人员一经指派，不可随意变动，如遇特殊原因确需变换参审人员的，必须先征得采购人同意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且更换的人员资质经验不低于原有人员</w:t>
      </w:r>
      <w:r>
        <w:rPr>
          <w:rFonts w:hint="eastAsia" w:ascii="宋体" w:hAnsi="宋体" w:eastAsia="宋体" w:cs="宋体"/>
          <w:color w:val="auto"/>
          <w:sz w:val="24"/>
          <w:szCs w:val="24"/>
        </w:rPr>
        <w:t>。</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在审计过程中应严格执行国家及各级政府部门或机构制订颁布的有关企业财务、会计、税收、审计等方面的法律、法规、规章、制度、准则、规则等；严格遵循中介机构的执业操守，坚持客观、</w:t>
      </w:r>
      <w:r>
        <w:rPr>
          <w:rFonts w:hint="eastAsia" w:ascii="宋体" w:hAnsi="宋体" w:eastAsia="宋体" w:cs="宋体"/>
          <w:color w:val="auto"/>
          <w:sz w:val="24"/>
          <w:szCs w:val="24"/>
          <w:lang w:val="en-US" w:eastAsia="zh-CN"/>
        </w:rPr>
        <w:t>公正</w:t>
      </w:r>
      <w:r>
        <w:rPr>
          <w:rFonts w:hint="eastAsia" w:ascii="宋体" w:hAnsi="宋体" w:eastAsia="宋体" w:cs="宋体"/>
          <w:color w:val="auto"/>
          <w:sz w:val="24"/>
          <w:szCs w:val="24"/>
        </w:rPr>
        <w:t>的原则。</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、投标人所提供的参审人员在服务期内，若发现不能胜任工作、违反采购人的纪律或个人身体方面原因，采购人可要求投标人调换参审人员。</w:t>
      </w:r>
    </w:p>
    <w:p>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应严格按照有关法律法规、政策文件及采购人要求制定详细可行的审计实施方案，</w:t>
      </w:r>
      <w:r>
        <w:rPr>
          <w:rFonts w:hint="eastAsia" w:ascii="宋体" w:hAnsi="宋体" w:eastAsia="宋体" w:cs="宋体"/>
          <w:color w:val="auto"/>
          <w:sz w:val="24"/>
          <w:szCs w:val="24"/>
          <w:lang w:val="en-US" w:eastAsia="zh-CN"/>
        </w:rPr>
        <w:t>明确</w:t>
      </w:r>
      <w:r>
        <w:rPr>
          <w:rFonts w:hint="eastAsia" w:ascii="宋体" w:hAnsi="宋体" w:eastAsia="宋体" w:cs="宋体"/>
          <w:color w:val="auto"/>
          <w:sz w:val="24"/>
          <w:szCs w:val="24"/>
        </w:rPr>
        <w:t>审计目标、审计范围、审计内容、审计人员分工、审计程序及方法、审计时间安排</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lang w:val="en-US" w:eastAsia="zh-CN"/>
        </w:rPr>
        <w:t>有关的审计服务承诺</w:t>
      </w:r>
      <w:r>
        <w:rPr>
          <w:rFonts w:hint="eastAsia" w:ascii="宋体" w:hAnsi="宋体" w:eastAsia="宋体" w:cs="宋体"/>
          <w:color w:val="auto"/>
          <w:sz w:val="24"/>
          <w:szCs w:val="24"/>
          <w:lang w:eastAsia="zh-CN"/>
        </w:rPr>
        <w:t>。</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8、投标人</w:t>
      </w:r>
      <w:r>
        <w:rPr>
          <w:rFonts w:hint="eastAsia" w:ascii="宋体" w:hAnsi="宋体" w:eastAsia="宋体" w:cs="宋体"/>
          <w:color w:val="auto"/>
          <w:sz w:val="24"/>
          <w:szCs w:val="24"/>
        </w:rPr>
        <w:t>应独立配合采购人完成审计任务，接受相关业务培训、指导与监督，以及对其审计工作质量和履行协议情况的评定，并严格按照采购人指定的审计任务和审计要求开展审计工作。</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、投标人在审计工作的过程中遇到的重大问题应及时</w:t>
      </w:r>
      <w:r>
        <w:rPr>
          <w:rFonts w:hint="eastAsia" w:ascii="宋体" w:hAnsi="宋体" w:eastAsia="宋体" w:cs="宋体"/>
          <w:color w:val="auto"/>
          <w:sz w:val="24"/>
          <w:szCs w:val="24"/>
          <w:lang w:val="en-US" w:eastAsia="zh-CN"/>
        </w:rPr>
        <w:t>向采购人</w:t>
      </w:r>
      <w:r>
        <w:rPr>
          <w:rFonts w:hint="eastAsia" w:ascii="宋体" w:hAnsi="宋体" w:eastAsia="宋体" w:cs="宋体"/>
          <w:color w:val="auto"/>
          <w:sz w:val="24"/>
          <w:szCs w:val="24"/>
        </w:rPr>
        <w:t>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反馈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协调</w:t>
      </w:r>
      <w:r>
        <w:rPr>
          <w:rFonts w:hint="eastAsia" w:ascii="宋体" w:hAnsi="宋体" w:eastAsia="宋体" w:cs="宋体"/>
          <w:color w:val="auto"/>
          <w:sz w:val="24"/>
          <w:szCs w:val="24"/>
        </w:rPr>
        <w:t>。</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、采购人可组织人员对成交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的工作进度、服务质量等进行抽查，如发现其工作进度、服务质量等不符合要求的，采购人有权要求成交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及时改进。成交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拒不改进或未能及时改进的，采购人将酌情扣减审计服务费，并将相关情况通报给相关行业管理协会。</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采购人按</w:t>
      </w:r>
      <w:r>
        <w:rPr>
          <w:rFonts w:hint="eastAsia" w:ascii="宋体" w:hAnsi="宋体" w:eastAsia="宋体" w:cs="宋体"/>
          <w:color w:val="auto"/>
          <w:sz w:val="24"/>
          <w:szCs w:val="24"/>
          <w:lang w:val="en-US" w:eastAsia="zh-CN"/>
        </w:rPr>
        <w:t>规范</w:t>
      </w:r>
      <w:r>
        <w:rPr>
          <w:rFonts w:hint="eastAsia" w:ascii="宋体" w:hAnsi="宋体" w:eastAsia="宋体" w:cs="宋体"/>
          <w:color w:val="auto"/>
          <w:sz w:val="24"/>
          <w:szCs w:val="24"/>
        </w:rPr>
        <w:t>程序获取审计证据，编制审计记录，对在审计过程中发现的问题给予充分体现，对查出的问题做到事实清楚、证据充分，定性准确，同时还应提供恰当建议，并在约定时间内完成审计，按要求出具审计报告。</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审计</w:t>
      </w:r>
      <w:r>
        <w:rPr>
          <w:rFonts w:hint="eastAsia" w:ascii="宋体" w:hAnsi="宋体" w:eastAsia="宋体" w:cs="宋体"/>
          <w:color w:val="auto"/>
          <w:sz w:val="24"/>
          <w:szCs w:val="24"/>
          <w:lang w:val="en-US" w:eastAsia="zh-Hans"/>
        </w:rPr>
        <w:t>服务完成后，</w:t>
      </w:r>
      <w:r>
        <w:rPr>
          <w:rFonts w:hint="eastAsia" w:ascii="宋体" w:hAnsi="宋体" w:eastAsia="宋体" w:cs="宋体"/>
          <w:color w:val="auto"/>
          <w:sz w:val="24"/>
          <w:szCs w:val="24"/>
          <w:lang w:val="en-US" w:eastAsia="zh-CN"/>
        </w:rPr>
        <w:t>投标人审计报告定稿后，向采购人提出请求，经采购人复核后，出具16份被审计领导干部审计报告征求意见稿，再根据反馈出具16份被审计领导干部正式审计报告。</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投标人在审计过程中终止受聘或审计项目完成后，在采购人规定的时间前将审计报告等资料及时报送采购人，并将实施审计过程中收集和形成的全部（包括纸质、电子介质）资料（含工作记录、问题底稿）及时移交采购人。报送的资料要求签章齐全、装订成册，索引号、页码标示规范、清晰。</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、投标人派出参审人员</w:t>
      </w:r>
      <w:r>
        <w:rPr>
          <w:rFonts w:hint="eastAsia" w:ascii="宋体" w:hAnsi="宋体" w:eastAsia="宋体" w:cs="宋体"/>
          <w:color w:val="auto"/>
          <w:sz w:val="24"/>
          <w:szCs w:val="24"/>
          <w:lang w:val="en-US" w:eastAsia="zh-CN"/>
        </w:rPr>
        <w:t>驻场工作时间不得少于3周，</w:t>
      </w:r>
      <w:r>
        <w:rPr>
          <w:rFonts w:hint="eastAsia" w:ascii="宋体" w:hAnsi="宋体" w:eastAsia="宋体" w:cs="宋体"/>
          <w:color w:val="auto"/>
          <w:sz w:val="24"/>
          <w:szCs w:val="24"/>
        </w:rPr>
        <w:t>采购人会对投标人参审人员的出勤情况予以记录，并结合投标人的配合程度和工作完成情况，作为向投标人支付聘用费用的依据。</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投标人对审计过程中知悉的国家秘密、商业秘密及有关资料负有保密责任，除法律另有规定外，未经采购人同意，不得将被审计单位提供的资料泄露给采购人以外的第三者；若投标人与被审计单位及有关人员存在不利于客观公正开展审计工作的关系，投标人应当主动向采购人提出回避。</w:t>
      </w:r>
    </w:p>
    <w:p>
      <w:pPr>
        <w:spacing w:line="360" w:lineRule="auto"/>
        <w:ind w:firstLine="420" w:firstLineChars="175"/>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、投标人应当对出具审计报告、经济鉴证证明的真实性、准确性、完整性承担责任。</w:t>
      </w:r>
      <w:r>
        <w:rPr>
          <w:rFonts w:hint="eastAsia" w:ascii="宋体" w:hAnsi="宋体" w:eastAsia="宋体" w:cs="宋体"/>
          <w:color w:val="auto"/>
          <w:sz w:val="24"/>
          <w:szCs w:val="24"/>
          <w:lang w:val="en-US" w:eastAsia="zh-Hans"/>
        </w:rPr>
        <w:t>出具的审计报告及其他有关被审人员的文件资料的版权归采购人所有。未经采购人同意，</w:t>
      </w:r>
      <w:r>
        <w:rPr>
          <w:rFonts w:hint="eastAsia" w:ascii="宋体" w:hAnsi="宋体" w:eastAsia="宋体" w:cs="宋体"/>
          <w:color w:val="auto"/>
          <w:sz w:val="24"/>
          <w:szCs w:val="24"/>
        </w:rPr>
        <w:t>不得将参与审计工作的相关审计资料或结果用于与受托审计事项无关的方面。</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、投标人派出的工作人员违反有关法律、法规或采购人制定的工作纪律或被有效投诉的，采购人除相应扣减要支付费用外，可视情节解除与投标人的服务协议。</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本次审计服务在提交完审计报告及其他相关材料之后一年内，采购人若发现成交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出具的审计报告及其他相关材料存在错漏，采购人有权要求成交</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予以修订更正，重新出具更正后审计报告及相关材料，并附更正声明文件。</w:t>
      </w:r>
    </w:p>
    <w:p>
      <w:pPr>
        <w:spacing w:line="360" w:lineRule="auto"/>
        <w:ind w:firstLine="422" w:firstLineChars="175"/>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（三）其他要求</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本项目不允许成交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以任何名义和理由进行转包，如有发现，采购人有权单方终止合同，视为成交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违约，成交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违约对采购人造成的损失的，需另行支付相应的赔偿。</w:t>
      </w:r>
    </w:p>
    <w:p>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本采购文件未明确的其它约定事项或条款，待采购人与成交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签订合同时，由双方协商订立。</w:t>
      </w:r>
    </w:p>
    <w:p>
      <w:pPr>
        <w:pStyle w:val="21"/>
        <w:numPr>
          <w:ilvl w:val="0"/>
          <w:numId w:val="0"/>
        </w:numPr>
        <w:spacing w:line="360" w:lineRule="auto"/>
        <w:ind w:leftChars="0"/>
        <w:outlineLvl w:val="1"/>
        <w:rPr>
          <w:color w:val="auto"/>
          <w:highlight w:val="none"/>
        </w:rPr>
      </w:pPr>
      <w:r>
        <w:rPr>
          <w:rFonts w:hint="eastAsia" w:ascii="宋体" w:hAnsi="宋体" w:cs="宋体"/>
          <w:b/>
          <w:bCs/>
          <w:color w:val="auto"/>
          <w:szCs w:val="24"/>
          <w:highlight w:val="none"/>
          <w:lang w:val="en-US" w:eastAsia="zh-CN"/>
        </w:rPr>
        <w:t>三、</w:t>
      </w:r>
      <w:r>
        <w:rPr>
          <w:rFonts w:hint="eastAsia" w:ascii="宋体" w:hAnsi="宋体" w:cs="宋体"/>
          <w:b/>
          <w:bCs/>
          <w:color w:val="auto"/>
          <w:szCs w:val="24"/>
          <w:highlight w:val="none"/>
        </w:rPr>
        <w:t>商务条件</w:t>
      </w:r>
      <w:bookmarkEnd w:id="64"/>
      <w:r>
        <w:rPr>
          <w:rStyle w:val="28"/>
          <w:rFonts w:hint="eastAsia" w:ascii="宋体" w:hAnsi="宋体" w:cs="宋体"/>
          <w:bCs/>
          <w:color w:val="auto"/>
          <w:highlight w:val="none"/>
        </w:rPr>
        <w:t>（以“★”标示的内容为不允许负偏离的实质性要求）</w:t>
      </w:r>
      <w:bookmarkEnd w:id="65"/>
    </w:p>
    <w:p>
      <w:pPr>
        <w:pStyle w:val="21"/>
        <w:spacing w:line="360" w:lineRule="auto"/>
        <w:ind w:left="482" w:hanging="482" w:hangingChars="200"/>
        <w:rPr>
          <w:rFonts w:ascii="宋体" w:hAnsi="宋体" w:cs="宋体"/>
          <w:b/>
          <w:bCs/>
          <w:color w:val="auto"/>
          <w:szCs w:val="24"/>
          <w:highlight w:val="none"/>
        </w:rPr>
      </w:pPr>
      <w:r>
        <w:rPr>
          <w:rFonts w:hint="eastAsia" w:ascii="宋体" w:hAnsi="宋体" w:cs="宋体"/>
          <w:b/>
          <w:bCs/>
          <w:color w:val="auto"/>
          <w:szCs w:val="24"/>
          <w:highlight w:val="none"/>
        </w:rPr>
        <w:t>采购包：1</w:t>
      </w:r>
    </w:p>
    <w:tbl>
      <w:tblPr>
        <w:tblStyle w:val="2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5"/>
        <w:gridCol w:w="860"/>
        <w:gridCol w:w="1605"/>
        <w:gridCol w:w="62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参数性质</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3340"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交货时间</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合同签订后1</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日内出具审计报告。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福建省</w:t>
            </w:r>
            <w:r>
              <w:rPr>
                <w:rFonts w:hint="eastAsia" w:ascii="宋体" w:hAnsi="宋体" w:eastAsia="宋体" w:cs="宋体"/>
                <w:color w:val="auto"/>
                <w:sz w:val="24"/>
                <w:szCs w:val="24"/>
                <w:highlight w:val="none"/>
                <w:lang w:val="en-US" w:eastAsia="zh-CN"/>
              </w:rPr>
              <w:t>泉州市丰泽区东海大街398号</w:t>
            </w:r>
            <w:r>
              <w:rPr>
                <w:rFonts w:hint="eastAsia" w:ascii="宋体" w:hAnsi="宋体" w:eastAsia="宋体" w:cs="宋体"/>
                <w:color w:val="auto"/>
                <w:sz w:val="24"/>
                <w:szCs w:val="24"/>
                <w:highlight w:val="none"/>
                <w:lang w:eastAsia="zh-CN"/>
              </w:rPr>
              <w:t>泉州师范学院</w:t>
            </w:r>
            <w:r>
              <w:rPr>
                <w:rFonts w:hint="default" w:ascii="宋体" w:hAnsi="宋体" w:eastAsia="宋体" w:cs="宋体"/>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交货条件</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按照采购人指定的审计任务和审计要求开展审计工作并按要求提交审计相关资料。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w:t>
            </w:r>
            <w:r>
              <w:rPr>
                <w:rFonts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rPr>
              <w:t>验收</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不邀请供应商验收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验收</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按照采购人指定的审计任务和审计要求开展审计工作并按要求提交审计相关资料。</w:t>
            </w:r>
            <w:r>
              <w:rPr>
                <w:rFonts w:hint="eastAsia" w:ascii="宋体" w:hAnsi="宋体" w:eastAsia="宋体" w:cs="宋体"/>
                <w:color w:val="auto"/>
                <w:sz w:val="24"/>
                <w:szCs w:val="24"/>
                <w:highlight w:val="none"/>
                <w:lang w:val="en-US" w:eastAsia="zh-CN"/>
              </w:rPr>
              <w:t>具体详见“8、验收要求”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合同支付</w:t>
            </w:r>
          </w:p>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方式</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成交供应商提供正式的审计报告并提供增值税普通发票后，达到付款条件起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0日内（</w:t>
            </w:r>
            <w:r>
              <w:rPr>
                <w:rFonts w:hint="eastAsia" w:ascii="宋体" w:hAnsi="宋体" w:eastAsia="宋体" w:cs="宋体"/>
                <w:color w:val="auto"/>
                <w:sz w:val="24"/>
                <w:szCs w:val="24"/>
                <w:highlight w:val="none"/>
                <w:lang w:val="en-US" w:eastAsia="zh-CN"/>
              </w:rPr>
              <w:t>节假日顺延</w:t>
            </w:r>
            <w:r>
              <w:rPr>
                <w:rFonts w:hint="eastAsia" w:ascii="宋体" w:hAnsi="宋体" w:eastAsia="宋体" w:cs="宋体"/>
                <w:color w:val="auto"/>
                <w:sz w:val="24"/>
                <w:szCs w:val="24"/>
                <w:highlight w:val="none"/>
                <w:lang w:eastAsia="zh-CN"/>
              </w:rPr>
              <w:t>），支付合同总金额的100.00%。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463"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864" w:type="pct"/>
            <w:vAlign w:val="center"/>
          </w:tcPr>
          <w:p>
            <w:pPr>
              <w:pStyle w:val="83"/>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履约保证金</w:t>
            </w:r>
          </w:p>
        </w:tc>
        <w:tc>
          <w:tcPr>
            <w:tcW w:w="3340" w:type="pct"/>
            <w:vAlign w:val="center"/>
          </w:tcPr>
          <w:p>
            <w:pPr>
              <w:pStyle w:val="83"/>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不</w:t>
            </w:r>
            <w:r>
              <w:rPr>
                <w:rFonts w:ascii="宋体" w:hAnsi="宋体" w:eastAsia="宋体" w:cs="宋体"/>
                <w:color w:val="auto"/>
                <w:sz w:val="24"/>
                <w:szCs w:val="24"/>
                <w:highlight w:val="none"/>
                <w:lang w:eastAsia="zh-CN"/>
              </w:rPr>
              <w:t>缴纳</w:t>
            </w:r>
          </w:p>
        </w:tc>
      </w:tr>
    </w:tbl>
    <w:p>
      <w:pPr>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其他商务条件：</w:t>
      </w:r>
    </w:p>
    <w:p>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8、验收要求：</w:t>
      </w:r>
    </w:p>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8.1验收标准</w:t>
      </w:r>
    </w:p>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符合国家、省、市有关的行业标准进行验收，按招标文件、投标文件、合同等相关文件执行。验收结果应符合采购人使用要求。</w:t>
      </w:r>
    </w:p>
    <w:p>
      <w:pPr>
        <w:spacing w:line="360" w:lineRule="auto"/>
        <w:ind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8.2验收内容</w:t>
      </w:r>
    </w:p>
    <w:p>
      <w:pPr>
        <w:spacing w:line="360" w:lineRule="auto"/>
        <w:ind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采购人对审计服务情况进行评分，评价详见下表。</w:t>
      </w:r>
      <w:r>
        <w:rPr>
          <w:rFonts w:hint="default" w:ascii="宋体" w:hAnsi="宋体" w:eastAsia="宋体" w:cs="宋体"/>
          <w:color w:val="auto"/>
          <w:sz w:val="24"/>
          <w:szCs w:val="24"/>
          <w:lang w:val="en-US" w:eastAsia="zh-CN"/>
        </w:rPr>
        <w:t>①</w:t>
      </w:r>
      <w:r>
        <w:rPr>
          <w:rFonts w:hint="eastAsia" w:ascii="宋体" w:hAnsi="宋体" w:eastAsia="宋体" w:cs="宋体"/>
          <w:color w:val="auto"/>
          <w:sz w:val="24"/>
          <w:szCs w:val="24"/>
          <w:lang w:val="en-US" w:eastAsia="zh-CN"/>
        </w:rPr>
        <w:t>评估结果75分（含75分）以上，验收合格，支付100%服务费用；②评估结果75分（不含75分）以下，验收不合格，不予支付服务费，采购人需进行整改，达到验收标准后重新评估，评估符合标准后再支付服务费。</w:t>
      </w:r>
    </w:p>
    <w:tbl>
      <w:tblPr>
        <w:tblStyle w:val="2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713"/>
        <w:gridCol w:w="4485"/>
        <w:gridCol w:w="945"/>
        <w:gridCol w:w="84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091"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审计服务情况评价表（采购人评价）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09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被评价会计师事务所名称：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一级指标</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二级指标</w:t>
            </w:r>
          </w:p>
        </w:tc>
        <w:tc>
          <w:tcPr>
            <w:tcW w:w="44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评分标准</w:t>
            </w:r>
          </w:p>
        </w:tc>
        <w:tc>
          <w:tcPr>
            <w:tcW w:w="9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分数</w:t>
            </w:r>
          </w:p>
        </w:tc>
        <w:tc>
          <w:tcPr>
            <w:tcW w:w="8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人员配备（1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 </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项目组人员配置情况</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按约定安排审计工作人员，并确保工作满勤。</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项目组人员分工情况</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项目组是否有分工方案，并按分开方案开展审计工作</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项目组人员职业道德</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按照中国注册会计师审计准则的规定遵守职业道德规范</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审计质量（8</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 </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审计内容完整性</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按要求完成相关审计内容</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审计报告内容准确性</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审计报告编制符合规范，能客观真实反映被审计单位管理情况及存在问题</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审计工作底稿的编制</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按照审计工作底稿编制规范编制工作底稿</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审计项目现场时间控制</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现场审计时间不能少于3周。</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审计项目出具审计报告时间控制</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出具审计报告时间不得晚于合同签定后120个日内（采购人原因除外）</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审计材料完整提供</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审计报告、审计工作底稿等按要求签章齐全、装订成册</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重大事项书面报告</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对发现的重大事项书面汇报</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工作配合度 </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就审计中出现的事项，与被审计单位沟通</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保密情况</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是否较好地履行了保密责任</w:t>
            </w: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vMerge w:val="continue"/>
            <w:tcBorders>
              <w:top w:val="nil"/>
              <w:left w:val="single" w:color="000000" w:sz="4" w:space="0"/>
              <w:bottom w:val="single" w:color="000000" w:sz="4" w:space="0"/>
              <w:right w:val="single" w:color="000000" w:sz="4" w:space="0"/>
            </w:tcBorders>
          </w:tcPr>
          <w:p>
            <w:pPr>
              <w:spacing w:line="360" w:lineRule="auto"/>
              <w:ind w:firstLine="420" w:firstLineChars="175"/>
              <w:rPr>
                <w:rFonts w:hint="eastAsia" w:ascii="宋体" w:hAnsi="宋体" w:eastAsia="宋体" w:cs="宋体"/>
                <w:color w:val="auto"/>
                <w:sz w:val="24"/>
                <w:szCs w:val="24"/>
                <w:lang w:val="en-US" w:eastAsia="zh-CN"/>
              </w:rPr>
            </w:pP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其他（可反映其他酌情扣分的情况，填写在空白处）</w:t>
            </w:r>
          </w:p>
        </w:tc>
        <w:tc>
          <w:tcPr>
            <w:tcW w:w="54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  分</w:t>
            </w:r>
            <w:r>
              <w:rPr>
                <w:rFonts w:hint="eastAsia" w:ascii="宋体" w:hAnsi="宋体" w:cs="宋体"/>
                <w:color w:val="auto"/>
                <w:sz w:val="24"/>
                <w:szCs w:val="24"/>
                <w:lang w:val="en-US" w:eastAsia="zh-CN"/>
              </w:rPr>
              <w:t xml:space="preserve">                                               </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p>
        </w:tc>
        <w:tc>
          <w:tcPr>
            <w:tcW w:w="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100</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spacing w:line="360" w:lineRule="auto"/>
              <w:ind w:firstLine="420" w:firstLineChars="175"/>
              <w:rPr>
                <w:rFonts w:hint="eastAsia" w:ascii="宋体" w:hAnsi="宋体" w:eastAsia="宋体" w:cs="宋体"/>
                <w:color w:val="auto"/>
                <w:sz w:val="24"/>
                <w:szCs w:val="24"/>
                <w:lang w:val="en-US" w:eastAsia="zh-CN"/>
              </w:rPr>
            </w:pPr>
          </w:p>
        </w:tc>
      </w:tr>
    </w:tbl>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8.3验收程序</w:t>
      </w:r>
    </w:p>
    <w:p>
      <w:pPr>
        <w:spacing w:line="360" w:lineRule="auto"/>
        <w:ind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服务进行过程中，成交供应商应及时通知采购人，进行相关事项的讨论，并根据采购人提出的整改意见及时整改。服务完成后，</w:t>
      </w:r>
      <w:r>
        <w:rPr>
          <w:rFonts w:hint="eastAsia" w:ascii="宋体" w:hAnsi="宋体" w:eastAsia="宋体" w:cs="宋体"/>
          <w:color w:val="auto"/>
          <w:sz w:val="24"/>
          <w:szCs w:val="24"/>
          <w:lang w:val="en-US" w:eastAsia="zh-CN"/>
        </w:rPr>
        <w:t>成交供应商审计报告征求意见稿定稿后，向采购人提出请求，经采购人复核后，出具审计报告征求意见稿</w:t>
      </w:r>
      <w:r>
        <w:rPr>
          <w:rFonts w:hint="eastAsia" w:ascii="宋体" w:hAnsi="宋体" w:cs="宋体"/>
          <w:color w:val="auto"/>
          <w:sz w:val="24"/>
          <w:szCs w:val="24"/>
          <w:lang w:val="en-US" w:eastAsia="zh-CN"/>
        </w:rPr>
        <w:t>一式6份</w:t>
      </w:r>
      <w:r>
        <w:rPr>
          <w:rFonts w:hint="eastAsia" w:ascii="宋体" w:hAnsi="宋体" w:eastAsia="宋体" w:cs="宋体"/>
          <w:color w:val="auto"/>
          <w:sz w:val="24"/>
          <w:szCs w:val="24"/>
          <w:lang w:val="en-US" w:eastAsia="zh-CN"/>
        </w:rPr>
        <w:t>，再根据反馈出具正式报告。</w:t>
      </w:r>
      <w:r>
        <w:rPr>
          <w:rFonts w:hint="eastAsia" w:ascii="宋体" w:hAnsi="宋体" w:eastAsia="宋体" w:cs="宋体"/>
          <w:color w:val="auto"/>
          <w:sz w:val="24"/>
          <w:szCs w:val="24"/>
          <w:lang w:val="en-US" w:eastAsia="zh-Hans"/>
        </w:rPr>
        <w:t>采购人应在供应商完整出具审计报告后7日（节假日顺延）内进行</w:t>
      </w:r>
      <w:r>
        <w:rPr>
          <w:rFonts w:hint="eastAsia" w:ascii="宋体" w:hAnsi="宋体" w:eastAsia="宋体" w:cs="宋体"/>
          <w:color w:val="auto"/>
          <w:sz w:val="24"/>
          <w:szCs w:val="24"/>
          <w:lang w:val="en-US" w:eastAsia="zh-CN"/>
        </w:rPr>
        <w:t>评估</w:t>
      </w:r>
      <w:r>
        <w:rPr>
          <w:rFonts w:hint="eastAsia" w:ascii="宋体" w:hAnsi="宋体" w:eastAsia="宋体" w:cs="宋体"/>
          <w:color w:val="auto"/>
          <w:sz w:val="24"/>
          <w:szCs w:val="24"/>
          <w:lang w:val="en-US" w:eastAsia="zh-Hans"/>
        </w:rPr>
        <w:t>验收</w:t>
      </w:r>
      <w:r>
        <w:rPr>
          <w:rFonts w:hint="eastAsia" w:ascii="宋体" w:hAnsi="宋体" w:eastAsia="宋体" w:cs="宋体"/>
          <w:color w:val="auto"/>
          <w:sz w:val="24"/>
          <w:szCs w:val="24"/>
          <w:lang w:val="en-US" w:eastAsia="zh-CN"/>
        </w:rPr>
        <w:t>，审计成果包括审计报告、审计工作底稿等，材料包括纸质版、电子版（含 WORD 版、PDF 版），其中有注册会计师签章的审计报告</w:t>
      </w:r>
      <w:r>
        <w:rPr>
          <w:rFonts w:hint="eastAsia" w:ascii="宋体" w:hAnsi="宋体" w:cs="宋体"/>
          <w:color w:val="auto"/>
          <w:sz w:val="24"/>
          <w:szCs w:val="24"/>
          <w:lang w:val="en-US" w:eastAsia="zh-CN"/>
        </w:rPr>
        <w:t>一式</w:t>
      </w:r>
      <w:r>
        <w:rPr>
          <w:rFonts w:hint="eastAsia" w:ascii="宋体" w:hAnsi="宋体" w:eastAsia="宋体" w:cs="宋体"/>
          <w:color w:val="auto"/>
          <w:sz w:val="24"/>
          <w:szCs w:val="24"/>
          <w:lang w:val="en-US" w:eastAsia="zh-CN"/>
        </w:rPr>
        <w:t>12份，其他材料1份，报送的资料要求签章齐全、装订成册，索引号、页码标示规范、清晰。</w:t>
      </w:r>
    </w:p>
    <w:p>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r>
        <w:rPr>
          <w:rFonts w:hint="default" w:ascii="宋体" w:hAnsi="宋体" w:eastAsia="宋体" w:cs="宋体"/>
          <w:b/>
          <w:bCs/>
          <w:color w:val="auto"/>
          <w:sz w:val="24"/>
          <w:szCs w:val="24"/>
          <w:lang w:val="en-US" w:eastAsia="zh-CN"/>
        </w:rPr>
        <w:t>、知识产权</w:t>
      </w:r>
    </w:p>
    <w:p>
      <w:pPr>
        <w:spacing w:line="360" w:lineRule="auto"/>
        <w:ind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提供的采购标的应符合国家知识产权法律、法规的规定且非假冒伪劣品；</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还应保证采购人不受到第三方关于侵犯知识产权及专利权、商标权或工业设计权等知识产权方面的指控，任何第三方如果提出此方面指控均与采购人无关，</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应与第三方交涉，并承担可能发生的一切法律责任、费用和后果；若采购人因此而遭致损失，则</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应赔偿该损失。</w:t>
      </w:r>
    </w:p>
    <w:p>
      <w:pPr>
        <w:spacing w:line="360" w:lineRule="auto"/>
        <w:ind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default" w:ascii="宋体" w:hAnsi="宋体" w:eastAsia="宋体" w:cs="宋体"/>
          <w:color w:val="auto"/>
          <w:sz w:val="24"/>
          <w:szCs w:val="24"/>
          <w:lang w:val="en-US" w:eastAsia="zh-CN"/>
        </w:rPr>
        <w:t>.2若</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提供的采购标的不符合国家知识产权法律、法规的规定或被有关主管机关认定为假冒伪劣品，则</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中标资格将被取消；采购人还将按照有关法律、法规和规章的规定进行处理。</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承担可能发生的责任与一切费用。若有违约,按合同约定追究其违约责任。</w:t>
      </w:r>
    </w:p>
    <w:p>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r>
        <w:rPr>
          <w:rFonts w:hint="default" w:ascii="宋体" w:hAnsi="宋体" w:eastAsia="宋体" w:cs="宋体"/>
          <w:b/>
          <w:bCs/>
          <w:color w:val="auto"/>
          <w:sz w:val="24"/>
          <w:szCs w:val="24"/>
          <w:lang w:val="en-US" w:eastAsia="zh-CN"/>
        </w:rPr>
        <w:t>、保密条款</w:t>
      </w:r>
    </w:p>
    <w:p>
      <w:pPr>
        <w:spacing w:line="360" w:lineRule="auto"/>
        <w:ind w:firstLine="420" w:firstLineChars="17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应在采购合同履行过程中对所获悉的所有信息进行保密，并签订保密承诺。</w:t>
      </w:r>
    </w:p>
    <w:p>
      <w:pPr>
        <w:spacing w:line="360" w:lineRule="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val="en-US" w:eastAsia="zh-CN"/>
        </w:rPr>
        <w:t>1</w:t>
      </w:r>
      <w:r>
        <w:rPr>
          <w:rFonts w:hint="default" w:ascii="宋体" w:hAnsi="宋体" w:eastAsia="宋体" w:cs="宋体"/>
          <w:b/>
          <w:bCs/>
          <w:color w:val="auto"/>
          <w:sz w:val="24"/>
          <w:szCs w:val="24"/>
          <w:lang w:val="en-US" w:eastAsia="zh-CN"/>
        </w:rPr>
        <w:t>、违约责任</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.1采购人及</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双方应严格履行本合同，一方违约，另一方有权要求一方承担相应的违约责任。</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达不到采购合同中的服务要求，采购人有权单方解除合同。因服务工作或服务质量不符合双方约定的标准，</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须承担返工责任。</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逾期履行服务的，</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应按逾期交付总额每日千分之五向采购人支付违约金，由采购人从待付款项中扣除。</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无正当理由逾期超过约定日期15日仍不能交付的，视为“</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不按合同约定履约”。</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所履行的服务不符合合同规定及</w:t>
      </w:r>
      <w:r>
        <w:rPr>
          <w:rFonts w:hint="eastAsia" w:ascii="宋体" w:hAnsi="宋体" w:eastAsia="宋体" w:cs="宋体"/>
          <w:color w:val="auto"/>
          <w:sz w:val="24"/>
          <w:szCs w:val="24"/>
          <w:lang w:val="en-US" w:eastAsia="zh-CN"/>
        </w:rPr>
        <w:t>本项目</w:t>
      </w:r>
      <w:r>
        <w:rPr>
          <w:rFonts w:hint="default" w:ascii="宋体" w:hAnsi="宋体" w:eastAsia="宋体" w:cs="宋体"/>
          <w:color w:val="auto"/>
          <w:sz w:val="24"/>
          <w:szCs w:val="24"/>
          <w:lang w:val="en-US" w:eastAsia="zh-CN"/>
        </w:rPr>
        <w:t>《招标文件》规定标准的，采购人有权拒绝，</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愿意整改但逾期履行的，按</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逾期履行处理。</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拒绝整改的，视为“</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不按合同约定履约”。</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不按合同约定履约的，采购人可以解除采购合同。同时，</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须按约定向采购人支付合同款30%的违约金。</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在明确违约责任后，</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应在接到书面通知书起七天内支付违约金。</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.5在签订采购合同之后，</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要求解除合同的，视为</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违约，应向采购人退还本项目全部的合同款项，还需承担上述的违约责任。</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.6合同签订前，若发现</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在投标过程中提供虚假材料或填报内容不实的，采购人有权拒绝签订采购合同，同时取消其</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资格，并追究相应的法律责任和进行相应的赔偿。</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.7在合同履行过程中，若发现</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提供虚假材料或填报内容不实的，视为“</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不按合同约定履约”，采购人有权解除合同；除承担赔偿责任外，还将报相关行政主管部门备案处理。</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.8因</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原因造成采购人无法办理增值税退税，</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应向采购人支付应退税额的两倍赔偿金。</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.9本项目不允许</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以任何名义和理由进行转包，如有发现，视为</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违约，采购人有权解除合同,</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向采购人支付合同款30%的违约金，造成损失的,还须向采购人支付赔偿金。</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.10因</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原因发生重大质量事故，除依约承担赔偿责任外，还将按有关质量管理办法规定执行。同时，采购人有权保留更换</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的权利，并报相关行政主管部门处罚。</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11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的权利，给采购人造成的损失，还应承担赔偿责任。</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.12</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须在结果公告发布之日起3天内与采购人协商签订合同事宜，逾期对项目执行造成的一切后果将由</w:t>
      </w:r>
      <w:r>
        <w:rPr>
          <w:rFonts w:hint="eastAsia" w:ascii="宋体" w:hAnsi="宋体" w:eastAsia="宋体" w:cs="宋体"/>
          <w:color w:val="auto"/>
          <w:sz w:val="24"/>
          <w:szCs w:val="24"/>
          <w:lang w:val="en-US" w:eastAsia="zh-CN"/>
        </w:rPr>
        <w:t>成交供应商</w:t>
      </w:r>
      <w:r>
        <w:rPr>
          <w:rFonts w:hint="default" w:ascii="宋体" w:hAnsi="宋体" w:eastAsia="宋体" w:cs="宋体"/>
          <w:color w:val="auto"/>
          <w:sz w:val="24"/>
          <w:szCs w:val="24"/>
          <w:lang w:val="en-US" w:eastAsia="zh-CN"/>
        </w:rPr>
        <w:t>承担。</w:t>
      </w:r>
    </w:p>
    <w:p>
      <w:p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、不可抗力</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line="360" w:lineRule="auto"/>
        <w:ind w:firstLine="420" w:firstLineChars="175"/>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.2不可抗力指不能预见、不能避免、不能克服的客观情况，包括但不限于：自然灾害如地震、台风、洪水、火灾及政府行为、法律规定或其适用的变化或其他任何无法预见、避免或控制的事件。</w:t>
      </w:r>
    </w:p>
    <w:p>
      <w:pPr>
        <w:spacing w:line="360" w:lineRule="auto"/>
        <w:rPr>
          <w:rFonts w:ascii="宋体" w:hAnsi="宋体" w:cs="宋体"/>
          <w:b/>
          <w:bCs/>
          <w:color w:val="auto"/>
          <w:sz w:val="24"/>
          <w:szCs w:val="24"/>
        </w:rPr>
      </w:pPr>
      <w:r>
        <w:rPr>
          <w:rFonts w:hint="eastAsia" w:ascii="宋体" w:hAnsi="宋体" w:cs="宋体"/>
          <w:b/>
          <w:bCs/>
          <w:color w:val="auto"/>
          <w:sz w:val="24"/>
          <w:szCs w:val="24"/>
          <w:lang w:val="en-US" w:eastAsia="zh-CN"/>
        </w:rPr>
        <w:t>13</w:t>
      </w:r>
      <w:r>
        <w:rPr>
          <w:rFonts w:hint="eastAsia" w:ascii="宋体" w:hAnsi="宋体" w:cs="宋体"/>
          <w:b/>
          <w:bCs/>
          <w:color w:val="auto"/>
          <w:sz w:val="24"/>
          <w:szCs w:val="24"/>
        </w:rPr>
        <w:t>、注意事项</w:t>
      </w:r>
    </w:p>
    <w:p>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.1供应商应遵守国家有关法律、规章，不得提供虚假资料，不得串通报价，成交供应商产生后，不得拒绝签订《采购合同》。</w:t>
      </w:r>
    </w:p>
    <w:p>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.2成交供应商应认真履行《采购合同》做好安全服务工作，否则采购管理部门将按有关规定进行处罚。</w:t>
      </w:r>
    </w:p>
    <w:p>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.3本项目不允许成交供应商以任何名义和理由进行转包或分包，如有发现，采购人有权单方终止合同，且成交供应商必须赔偿由此给采购人带来的一切损失。</w:t>
      </w:r>
    </w:p>
    <w:p>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.4本项目不单独提供使用地自然环境、气候条件、公用设施等情况，供应商被视为熟悉上述与履行合同有关的一切情况。</w:t>
      </w:r>
    </w:p>
    <w:p>
      <w:pPr>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13</w:t>
      </w:r>
      <w:r>
        <w:rPr>
          <w:rFonts w:hint="eastAsia" w:ascii="宋体" w:hAnsi="宋体" w:cs="宋体"/>
          <w:color w:val="auto"/>
          <w:sz w:val="24"/>
          <w:szCs w:val="24"/>
        </w:rPr>
        <w:t>.5响应文件一旦递交，概不退还。</w:t>
      </w:r>
    </w:p>
    <w:p>
      <w:pPr>
        <w:pStyle w:val="21"/>
        <w:keepNext w:val="0"/>
        <w:keepLines w:val="0"/>
        <w:pageBreakBefore w:val="0"/>
        <w:numPr>
          <w:ilvl w:val="0"/>
          <w:numId w:val="0"/>
        </w:numPr>
        <w:kinsoku/>
        <w:wordWrap/>
        <w:overflowPunct/>
        <w:topLinePunct w:val="0"/>
        <w:autoSpaceDE/>
        <w:autoSpaceDN/>
        <w:bidi w:val="0"/>
        <w:adjustRightInd/>
        <w:snapToGrid/>
        <w:spacing w:line="336" w:lineRule="auto"/>
        <w:textAlignment w:val="auto"/>
        <w:outlineLvl w:val="1"/>
        <w:rPr>
          <w:rFonts w:hint="eastAsia" w:ascii="宋体" w:hAnsi="宋体" w:eastAsia="宋体" w:cs="宋体"/>
          <w:color w:val="auto"/>
          <w:szCs w:val="24"/>
          <w:highlight w:val="none"/>
        </w:rPr>
      </w:pPr>
      <w:bookmarkStart w:id="66" w:name="_Toc13274"/>
      <w:bookmarkStart w:id="67" w:name="_Toc115"/>
      <w:r>
        <w:rPr>
          <w:rFonts w:hint="eastAsia" w:ascii="宋体" w:hAnsi="宋体" w:eastAsia="宋体" w:cs="宋体"/>
          <w:b/>
          <w:bCs/>
          <w:color w:val="auto"/>
          <w:szCs w:val="24"/>
          <w:highlight w:val="none"/>
          <w:lang w:val="en-US" w:eastAsia="zh-CN"/>
        </w:rPr>
        <w:t>四、</w:t>
      </w:r>
      <w:r>
        <w:rPr>
          <w:rFonts w:hint="eastAsia" w:ascii="宋体" w:hAnsi="宋体" w:eastAsia="宋体" w:cs="宋体"/>
          <w:b/>
          <w:bCs/>
          <w:color w:val="auto"/>
          <w:szCs w:val="24"/>
          <w:highlight w:val="none"/>
        </w:rPr>
        <w:t>其他事项</w:t>
      </w:r>
      <w:bookmarkEnd w:id="66"/>
      <w:bookmarkEnd w:id="67"/>
    </w:p>
    <w:p>
      <w:pPr>
        <w:keepNext w:val="0"/>
        <w:keepLines w:val="0"/>
        <w:pageBreakBefore w:val="0"/>
        <w:widowControl w:val="0"/>
        <w:kinsoku/>
        <w:wordWrap/>
        <w:overflowPunct/>
        <w:topLinePunct w:val="0"/>
        <w:autoSpaceDE/>
        <w:autoSpaceDN/>
        <w:bidi w:val="0"/>
        <w:adjustRightInd/>
        <w:snapToGrid/>
        <w:spacing w:line="336" w:lineRule="auto"/>
        <w:ind w:firstLine="420" w:firstLineChars="175"/>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、本次采购为1个合同包，供应商对同一合同包内所有品目号内容投标时必须完整。评标与授标以合同包为单位。</w:t>
      </w:r>
    </w:p>
    <w:p>
      <w:pPr>
        <w:keepNext w:val="0"/>
        <w:keepLines w:val="0"/>
        <w:pageBreakBefore w:val="0"/>
        <w:widowControl w:val="0"/>
        <w:kinsoku/>
        <w:wordWrap/>
        <w:overflowPunct/>
        <w:topLinePunct w:val="0"/>
        <w:autoSpaceDE/>
        <w:autoSpaceDN/>
        <w:bidi w:val="0"/>
        <w:adjustRightInd/>
        <w:snapToGrid/>
        <w:spacing w:line="336" w:lineRule="auto"/>
        <w:ind w:firstLine="420" w:firstLineChars="175"/>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采购人在确认成交结果前，可自行对成交候选供应商提供的符合性条款和商务技术评分项中涉及的证明资料（证书、报告等）原件进行复核，成交候选供应商无法提供原件复核的，按提供虚假材料谋取中标或成交的情形处理，该供应商为无效投标，本项目顺延确定成交候选供应商或重新招标</w:t>
      </w:r>
      <w:r>
        <w:rPr>
          <w:rFonts w:hint="eastAsia" w:ascii="宋体" w:hAnsi="宋体" w:eastAsia="宋体" w:cs="宋体"/>
          <w:b w:val="0"/>
          <w:bCs w:val="0"/>
          <w:color w:val="auto"/>
          <w:sz w:val="24"/>
          <w:szCs w:val="24"/>
          <w:highlight w:val="none"/>
        </w:rPr>
        <w:t>。</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除竞争性磋商文件另有规定外，若出现有关法律、法规和规章有强制性规定但竞争性磋商文件未列明的情形，则供应商应按照有关法律、法规和规章强制性规定执行。</w:t>
      </w:r>
    </w:p>
    <w:p>
      <w:pPr>
        <w:rPr>
          <w:rFonts w:hint="eastAsia" w:ascii="宋体" w:hAnsi="宋体" w:eastAsia="宋体" w:cs="宋体"/>
          <w:color w:val="auto"/>
          <w:sz w:val="32"/>
          <w:szCs w:val="32"/>
          <w:highlight w:val="none"/>
        </w:rPr>
      </w:pPr>
      <w:bookmarkStart w:id="68" w:name="_Toc2102"/>
      <w:bookmarkStart w:id="69" w:name="_Toc16437"/>
      <w:r>
        <w:rPr>
          <w:rFonts w:hint="eastAsia" w:ascii="宋体" w:hAnsi="宋体" w:eastAsia="宋体" w:cs="宋体"/>
          <w:color w:val="auto"/>
          <w:sz w:val="32"/>
          <w:szCs w:val="32"/>
          <w:highlight w:val="none"/>
        </w:rPr>
        <w:br w:type="page"/>
      </w:r>
    </w:p>
    <w:p>
      <w:pPr>
        <w:pStyle w:val="2"/>
        <w:jc w:val="center"/>
        <w:outlineLvl w:val="0"/>
        <w:rPr>
          <w:rFonts w:hint="eastAsia" w:ascii="宋体" w:hAnsi="宋体" w:eastAsia="宋体" w:cs="宋体"/>
          <w:color w:val="auto"/>
          <w:sz w:val="32"/>
          <w:szCs w:val="32"/>
          <w:highlight w:val="none"/>
        </w:rPr>
      </w:pPr>
      <w:bookmarkStart w:id="70" w:name="_Toc16008"/>
      <w:r>
        <w:rPr>
          <w:rFonts w:hint="eastAsia" w:ascii="宋体" w:hAnsi="宋体" w:eastAsia="宋体" w:cs="宋体"/>
          <w:color w:val="auto"/>
          <w:sz w:val="32"/>
          <w:szCs w:val="32"/>
          <w:highlight w:val="none"/>
        </w:rPr>
        <w:t>第四章 合同主要条款及格式</w:t>
      </w:r>
      <w:bookmarkEnd w:id="68"/>
      <w:bookmarkEnd w:id="69"/>
      <w:bookmarkEnd w:id="70"/>
    </w:p>
    <w:p>
      <w:pPr>
        <w:pStyle w:val="83"/>
        <w:jc w:val="center"/>
        <w:outlineLvl w:val="9"/>
        <w:rPr>
          <w:color w:val="auto"/>
          <w:highlight w:val="none"/>
        </w:rPr>
      </w:pPr>
      <w:bookmarkStart w:id="71" w:name="_Toc17726"/>
      <w:r>
        <w:rPr>
          <w:b/>
          <w:color w:val="auto"/>
          <w:sz w:val="36"/>
          <w:highlight w:val="none"/>
        </w:rPr>
        <w:t>采购合同（服务类）</w:t>
      </w:r>
    </w:p>
    <w:p>
      <w:pPr>
        <w:pStyle w:val="83"/>
        <w:jc w:val="center"/>
        <w:outlineLvl w:val="9"/>
        <w:rPr>
          <w:color w:val="auto"/>
          <w:highlight w:val="none"/>
        </w:rPr>
      </w:pPr>
      <w:r>
        <w:rPr>
          <w:b/>
          <w:color w:val="auto"/>
          <w:sz w:val="24"/>
          <w:highlight w:val="none"/>
        </w:rPr>
        <w:t>编制说明</w:t>
      </w:r>
      <w:r>
        <w:rPr>
          <w:color w:val="auto"/>
          <w:highlight w:val="none"/>
        </w:rPr>
        <w:br w:type="textWrapping"/>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pPr>
        <w:pStyle w:val="83"/>
        <w:spacing w:line="360" w:lineRule="auto"/>
        <w:ind w:lef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pPr>
        <w:pStyle w:val="83"/>
        <w:spacing w:line="360" w:lineRule="auto"/>
        <w:ind w:lef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pPr>
        <w:pStyle w:val="83"/>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责任保险</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三、价格形式及合同价款</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3.1价格形式</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固定单价合同。完成约定服务事项的含税合同单价为：人民币（大写）元（￥ _____________元）。</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固定总价合同。完成约定服务事项的含税服务费用为：人民币（大写）元（￥_____________ 元）。</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其他方式。</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3.2合同价款包含范围</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3.3其他需说明的事项：</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四、合同标的及服务范围、地点和时间</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4.1项目名称： 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4.2服务范围：_____________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4.3服务地点：_____________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4.4服务完成时间：_____________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五、服务内容、质量标准和要求</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服务质量标准及要求：</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.3其他要求：</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六、服务履约验收或考核</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七、甲方的权利与义务</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7.1甲方委派___________为联系人，联系方式 ___________，负责与乙方联系。如甲方联系人发生变更，甲方应书面告知乙方。</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7.2甲方应为乙方开展服务工作提供必要的工作条件，以及对内对外沟通和配合协助。</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7.3甲方应于___________之前提供服务所需的全部资料，并对所提供材料真实性、完整性、合法性负责。</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7.5甲方应按本合同约定及时足额支付服务费用及相关费用。</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7.6其他</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八、乙方的权利与义务</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文件等要求开展服务；</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九、资金支付方式、时间和条件</w:t>
      </w:r>
    </w:p>
    <w:tbl>
      <w:tblPr>
        <w:tblStyle w:val="25"/>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1042"/>
        <w:gridCol w:w="895"/>
        <w:gridCol w:w="2753"/>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332" w:type="pct"/>
            <w:noWrap/>
            <w:vAlign w:val="center"/>
          </w:tcPr>
          <w:p>
            <w:pPr>
              <w:bidi w:val="0"/>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支付期次</w:t>
            </w:r>
          </w:p>
        </w:tc>
        <w:tc>
          <w:tcPr>
            <w:tcW w:w="573" w:type="pct"/>
            <w:noWrap/>
            <w:vAlign w:val="center"/>
          </w:tcPr>
          <w:p>
            <w:pPr>
              <w:bidi w:val="0"/>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支付金额（元）</w:t>
            </w:r>
          </w:p>
        </w:tc>
        <w:tc>
          <w:tcPr>
            <w:tcW w:w="492" w:type="pct"/>
            <w:noWrap/>
            <w:vAlign w:val="center"/>
          </w:tcPr>
          <w:p>
            <w:pPr>
              <w:bidi w:val="0"/>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计划支付日期</w:t>
            </w:r>
          </w:p>
        </w:tc>
        <w:tc>
          <w:tcPr>
            <w:tcW w:w="1513" w:type="pct"/>
            <w:noWrap/>
            <w:vAlign w:val="center"/>
          </w:tcPr>
          <w:p>
            <w:pPr>
              <w:bidi w:val="0"/>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收款人</w:t>
            </w:r>
          </w:p>
        </w:tc>
        <w:tc>
          <w:tcPr>
            <w:tcW w:w="2088" w:type="pct"/>
            <w:noWrap/>
            <w:vAlign w:val="center"/>
          </w:tcPr>
          <w:p>
            <w:pPr>
              <w:bidi w:val="0"/>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支付说明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blCellSpacing w:w="0" w:type="dxa"/>
        </w:trPr>
        <w:tc>
          <w:tcPr>
            <w:tcW w:w="332" w:type="pct"/>
            <w:noWrap/>
            <w:vAlign w:val="center"/>
          </w:tcPr>
          <w:p>
            <w:pPr>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73" w:type="pct"/>
            <w:noWrap/>
            <w:vAlign w:val="center"/>
          </w:tcPr>
          <w:p>
            <w:pPr>
              <w:bidi w:val="0"/>
              <w:spacing w:line="360" w:lineRule="auto"/>
              <w:jc w:val="center"/>
              <w:outlineLvl w:val="9"/>
              <w:rPr>
                <w:rFonts w:hint="default" w:ascii="宋体" w:hAnsi="宋体" w:eastAsia="宋体" w:cs="宋体"/>
                <w:color w:val="auto"/>
                <w:sz w:val="24"/>
                <w:szCs w:val="24"/>
                <w:highlight w:val="none"/>
                <w:lang w:val="en-US" w:eastAsia="zh-CN"/>
              </w:rPr>
            </w:pPr>
          </w:p>
        </w:tc>
        <w:tc>
          <w:tcPr>
            <w:tcW w:w="492" w:type="pct"/>
            <w:noWrap/>
            <w:vAlign w:val="center"/>
          </w:tcPr>
          <w:p>
            <w:pPr>
              <w:bidi w:val="0"/>
              <w:spacing w:line="360" w:lineRule="auto"/>
              <w:jc w:val="center"/>
              <w:outlineLvl w:val="9"/>
              <w:rPr>
                <w:rFonts w:hint="eastAsia" w:ascii="宋体" w:hAnsi="宋体" w:eastAsia="宋体" w:cs="宋体"/>
                <w:color w:val="auto"/>
                <w:sz w:val="24"/>
                <w:szCs w:val="24"/>
                <w:highlight w:val="none"/>
                <w:lang w:val="en-US" w:eastAsia="zh-CN"/>
              </w:rPr>
            </w:pPr>
          </w:p>
        </w:tc>
        <w:tc>
          <w:tcPr>
            <w:tcW w:w="1513" w:type="pct"/>
            <w:noWrap/>
            <w:vAlign w:val="center"/>
          </w:tcPr>
          <w:p>
            <w:pPr>
              <w:bidi w:val="0"/>
              <w:spacing w:line="360" w:lineRule="auto"/>
              <w:jc w:val="center"/>
              <w:outlineLvl w:val="9"/>
              <w:rPr>
                <w:rFonts w:hint="eastAsia" w:ascii="宋体" w:hAnsi="宋体" w:eastAsia="宋体" w:cs="宋体"/>
                <w:color w:val="auto"/>
                <w:sz w:val="24"/>
                <w:szCs w:val="24"/>
                <w:highlight w:val="none"/>
                <w:lang w:val="en-US" w:eastAsia="zh-CN"/>
              </w:rPr>
            </w:pPr>
          </w:p>
        </w:tc>
        <w:tc>
          <w:tcPr>
            <w:tcW w:w="2088" w:type="pct"/>
            <w:noWrap/>
            <w:vAlign w:val="center"/>
          </w:tcPr>
          <w:p>
            <w:pPr>
              <w:bidi w:val="0"/>
              <w:spacing w:line="360" w:lineRule="auto"/>
              <w:jc w:val="both"/>
              <w:outlineLvl w:val="9"/>
              <w:rPr>
                <w:rFonts w:hint="eastAsia" w:ascii="宋体" w:hAnsi="宋体" w:eastAsia="宋体" w:cs="宋体"/>
                <w:color w:val="auto"/>
                <w:sz w:val="24"/>
                <w:szCs w:val="24"/>
                <w:highlight w:val="none"/>
                <w:lang w:val="en-US" w:eastAsia="zh-CN"/>
              </w:rPr>
            </w:pPr>
          </w:p>
        </w:tc>
      </w:tr>
    </w:tbl>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十、履约保证金</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□有，</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无。具体如下：（按照采购文件规定填写）。</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十一、合同期限</w:t>
      </w:r>
      <w:r>
        <w:rPr>
          <w:rFonts w:hint="eastAsia" w:ascii="宋体" w:hAnsi="宋体" w:eastAsia="宋体" w:cs="宋体"/>
          <w:color w:val="auto"/>
          <w:sz w:val="24"/>
          <w:szCs w:val="24"/>
          <w:highlight w:val="none"/>
        </w:rPr>
        <w:br w:type="textWrapping"/>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十二、保密条款</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十三、违约责任</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（1）甲方无正当理由拒绝乙方提供合格服务的，甲方应向乙方偿付所拒收合同总价________的违约金</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（2）甲方无故逾期验收和办理合同款项支付手续的,甲方应按逾期付款总额每日________向乙方支付违约金。</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十四、不可抗力事件处理</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十五、解决争议的方法</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1、提交仲裁委员会仲裁，具体如下：</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2、向人民法院提起诉讼。</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十六、合同其他条款</w:t>
      </w:r>
      <w:r>
        <w:rPr>
          <w:rFonts w:hint="eastAsia" w:ascii="宋体" w:hAnsi="宋体" w:eastAsia="宋体" w:cs="宋体"/>
          <w:color w:val="auto"/>
          <w:sz w:val="24"/>
          <w:szCs w:val="24"/>
          <w:highlight w:val="none"/>
        </w:rPr>
        <w:br w:type="textWrapping"/>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十七、其他约定</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17.5其他</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十八、合同附件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pPr>
        <w:pStyle w:val="83"/>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p>
    <w:p>
      <w:pPr>
        <w:outlineLvl w:val="9"/>
        <w:rPr>
          <w:rFonts w:hint="eastAsia" w:ascii="宋体" w:hAnsi="宋体" w:eastAsia="宋体" w:cs="宋体"/>
          <w:color w:val="auto"/>
          <w:highlight w:val="none"/>
        </w:rPr>
      </w:pPr>
    </w:p>
    <w:p>
      <w:pPr>
        <w:pStyle w:val="24"/>
        <w:outlineLvl w:val="9"/>
        <w:rPr>
          <w:rFonts w:hint="eastAsia" w:ascii="宋体" w:hAnsi="宋体" w:eastAsia="宋体" w:cs="宋体"/>
          <w:color w:val="auto"/>
          <w:highlight w:val="none"/>
        </w:rPr>
      </w:pPr>
    </w:p>
    <w:p>
      <w:pPr>
        <w:pStyle w:val="24"/>
        <w:outlineLvl w:val="9"/>
        <w:rPr>
          <w:rFonts w:hint="eastAsia" w:ascii="宋体" w:hAnsi="宋体" w:eastAsia="宋体" w:cs="宋体"/>
          <w:color w:val="auto"/>
          <w:highlight w:val="none"/>
        </w:rPr>
      </w:pPr>
    </w:p>
    <w:p>
      <w:pPr>
        <w:pStyle w:val="24"/>
        <w:outlineLvl w:val="9"/>
        <w:rPr>
          <w:rFonts w:hint="eastAsia" w:ascii="宋体" w:hAnsi="宋体" w:eastAsia="宋体" w:cs="宋体"/>
          <w:color w:val="auto"/>
          <w:highlight w:val="none"/>
        </w:rPr>
      </w:pPr>
    </w:p>
    <w:p>
      <w:pPr>
        <w:pStyle w:val="24"/>
        <w:outlineLvl w:val="9"/>
        <w:rPr>
          <w:rFonts w:hint="eastAsia" w:ascii="宋体" w:hAnsi="宋体" w:eastAsia="宋体" w:cs="宋体"/>
          <w:color w:val="auto"/>
          <w:highlight w:val="none"/>
        </w:rPr>
      </w:pPr>
    </w:p>
    <w:p>
      <w:pPr>
        <w:pStyle w:val="24"/>
        <w:outlineLvl w:val="9"/>
        <w:rPr>
          <w:rFonts w:hint="eastAsia" w:ascii="宋体" w:hAnsi="宋体" w:eastAsia="宋体" w:cs="宋体"/>
          <w:color w:val="auto"/>
          <w:highlight w:val="none"/>
        </w:rPr>
      </w:pPr>
    </w:p>
    <w:p>
      <w:pPr>
        <w:jc w:val="center"/>
        <w:outlineLvl w:val="9"/>
        <w:rPr>
          <w:rFonts w:hint="eastAsia" w:ascii="宋体" w:hAnsi="宋体" w:eastAsia="宋体" w:cs="宋体"/>
          <w:color w:val="auto"/>
          <w:sz w:val="32"/>
          <w:szCs w:val="32"/>
          <w:highlight w:val="none"/>
        </w:rPr>
      </w:pPr>
    </w:p>
    <w:p>
      <w:pPr>
        <w:jc w:val="center"/>
        <w:outlineLvl w:val="9"/>
        <w:rPr>
          <w:rFonts w:hint="eastAsia" w:ascii="宋体" w:hAnsi="宋体" w:eastAsia="宋体" w:cs="宋体"/>
          <w:color w:val="auto"/>
          <w:sz w:val="32"/>
          <w:szCs w:val="32"/>
          <w:highlight w:val="none"/>
        </w:rPr>
      </w:pPr>
    </w:p>
    <w:p>
      <w:pPr>
        <w:jc w:val="center"/>
        <w:outlineLvl w:val="9"/>
        <w:rPr>
          <w:rFonts w:hint="eastAsia" w:ascii="宋体" w:hAnsi="宋体" w:eastAsia="宋体" w:cs="宋体"/>
          <w:color w:val="auto"/>
          <w:sz w:val="32"/>
          <w:szCs w:val="32"/>
          <w:highlight w:val="none"/>
        </w:rPr>
      </w:pPr>
    </w:p>
    <w:p>
      <w:pPr>
        <w:jc w:val="center"/>
        <w:outlineLvl w:val="9"/>
        <w:rPr>
          <w:rFonts w:hint="eastAsia" w:ascii="宋体" w:hAnsi="宋体" w:eastAsia="宋体" w:cs="宋体"/>
          <w:color w:val="auto"/>
          <w:sz w:val="32"/>
          <w:szCs w:val="32"/>
          <w:highlight w:val="none"/>
        </w:rPr>
      </w:pPr>
    </w:p>
    <w:p>
      <w:pPr>
        <w:jc w:val="center"/>
        <w:outlineLvl w:val="9"/>
        <w:rPr>
          <w:rFonts w:hint="eastAsia" w:ascii="宋体" w:hAnsi="宋体" w:eastAsia="宋体" w:cs="宋体"/>
          <w:color w:val="auto"/>
          <w:sz w:val="32"/>
          <w:szCs w:val="32"/>
          <w:highlight w:val="none"/>
        </w:rPr>
      </w:pPr>
    </w:p>
    <w:p>
      <w:pPr>
        <w:jc w:val="center"/>
        <w:outlineLvl w:val="9"/>
        <w:rPr>
          <w:rFonts w:hint="eastAsia" w:ascii="宋体" w:hAnsi="宋体" w:eastAsia="宋体" w:cs="宋体"/>
          <w:color w:val="auto"/>
          <w:sz w:val="32"/>
          <w:szCs w:val="32"/>
          <w:highlight w:val="none"/>
        </w:rPr>
      </w:pPr>
    </w:p>
    <w:p>
      <w:pP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2"/>
        <w:jc w:val="center"/>
        <w:rPr>
          <w:rFonts w:hint="eastAsia" w:ascii="宋体" w:hAnsi="宋体" w:eastAsia="宋体" w:cs="宋体"/>
          <w:color w:val="auto"/>
          <w:sz w:val="32"/>
          <w:szCs w:val="32"/>
          <w:highlight w:val="none"/>
        </w:rPr>
      </w:pPr>
      <w:bookmarkStart w:id="72" w:name="_Toc27503"/>
      <w:bookmarkStart w:id="73" w:name="_Toc13457"/>
      <w:r>
        <w:rPr>
          <w:rFonts w:hint="eastAsia" w:ascii="宋体" w:hAnsi="宋体" w:eastAsia="宋体" w:cs="宋体"/>
          <w:color w:val="auto"/>
          <w:sz w:val="32"/>
          <w:szCs w:val="32"/>
          <w:highlight w:val="none"/>
        </w:rPr>
        <w:t>第五章 响应文件格式</w:t>
      </w:r>
      <w:bookmarkEnd w:id="71"/>
      <w:bookmarkEnd w:id="72"/>
      <w:bookmarkEnd w:id="73"/>
    </w:p>
    <w:p>
      <w:pPr>
        <w:pStyle w:val="21"/>
        <w:spacing w:before="76" w:after="76" w:line="435" w:lineRule="atLeast"/>
        <w:jc w:val="center"/>
        <w:rPr>
          <w:rStyle w:val="28"/>
          <w:rFonts w:hint="eastAsia" w:ascii="宋体" w:hAnsi="宋体" w:eastAsia="宋体" w:cs="宋体"/>
          <w:color w:val="auto"/>
          <w:highlight w:val="none"/>
        </w:rPr>
      </w:pPr>
    </w:p>
    <w:p>
      <w:pPr>
        <w:pStyle w:val="21"/>
        <w:spacing w:before="76" w:after="76" w:line="435" w:lineRule="atLeast"/>
        <w:jc w:val="center"/>
        <w:rPr>
          <w:rFonts w:hint="eastAsia" w:ascii="宋体" w:hAnsi="宋体" w:eastAsia="宋体" w:cs="宋体"/>
          <w:color w:val="auto"/>
          <w:szCs w:val="24"/>
          <w:highlight w:val="none"/>
        </w:rPr>
      </w:pPr>
      <w:r>
        <w:rPr>
          <w:rStyle w:val="28"/>
          <w:rFonts w:hint="eastAsia" w:ascii="宋体" w:hAnsi="宋体" w:eastAsia="宋体" w:cs="宋体"/>
          <w:color w:val="auto"/>
          <w:highlight w:val="none"/>
        </w:rPr>
        <w:t>编制说明</w:t>
      </w:r>
    </w:p>
    <w:p>
      <w:pPr>
        <w:pStyle w:val="21"/>
        <w:spacing w:before="76" w:after="76" w:line="400" w:lineRule="exact"/>
        <w:ind w:firstLine="480" w:firstLineChars="200"/>
        <w:rPr>
          <w:rFonts w:hint="eastAsia" w:ascii="宋体" w:hAnsi="宋体" w:eastAsia="宋体" w:cs="宋体"/>
          <w:color w:val="auto"/>
          <w:szCs w:val="24"/>
          <w:highlight w:val="none"/>
        </w:rPr>
      </w:pPr>
    </w:p>
    <w:p>
      <w:pPr>
        <w:pStyle w:val="21"/>
        <w:spacing w:before="76" w:after="76"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1、本附件所有格式为响应文件的组成部分，供采购人或代理机构编制竞争性磋商文件时参考使用。由于新增政策、行业管理规定或者不同项目实际特点需要,则采购人或代理机构可以对有关表格进行必要的补充或修改，以满足实际项目的使用。</w:t>
      </w:r>
    </w:p>
    <w:p>
      <w:pPr>
        <w:pStyle w:val="21"/>
        <w:spacing w:before="76" w:after="76"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2、除竞争性磋商文件另有规定外，竞争性磋商文件要求原件的，供应商在响应文件正本中应提供原件；竞争性磋商文件要求复印件的，供应商在响应文件中可提供原件、复印件或扫描件；竞争性磋商文件对原件、复印件未作要求的，供应商可自行确定在响应文件中提供原件、复印件或扫描件（若供应商提供注明“复印件无效”的材料或资料，供应商在响应文件正本中应提供原件）。</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18" w:lineRule="atLeast"/>
        <w:rPr>
          <w:rFonts w:hint="eastAsia" w:ascii="宋体" w:hAnsi="宋体" w:eastAsia="宋体" w:cs="宋体"/>
          <w:color w:val="auto"/>
          <w:szCs w:val="24"/>
          <w:highlight w:val="none"/>
        </w:rPr>
      </w:pPr>
      <w:r>
        <w:rPr>
          <w:rStyle w:val="28"/>
          <w:rFonts w:hint="eastAsia" w:ascii="宋体" w:hAnsi="宋体" w:eastAsia="宋体" w:cs="宋体"/>
          <w:color w:val="auto"/>
          <w:highlight w:val="none"/>
        </w:rPr>
        <w:t> </w:t>
      </w:r>
    </w:p>
    <w:p>
      <w:pPr>
        <w:pStyle w:val="21"/>
        <w:spacing w:before="76" w:after="76" w:line="18" w:lineRule="atLeast"/>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 </w:t>
      </w:r>
    </w:p>
    <w:p>
      <w:pPr>
        <w:jc w:val="left"/>
        <w:rPr>
          <w:rStyle w:val="28"/>
          <w:rFonts w:hint="eastAsia" w:ascii="宋体" w:hAnsi="宋体" w:eastAsia="宋体" w:cs="宋体"/>
          <w:color w:val="auto"/>
          <w:kern w:val="0"/>
          <w:highlight w:val="none"/>
        </w:rPr>
      </w:pPr>
      <w:r>
        <w:rPr>
          <w:rStyle w:val="28"/>
          <w:rFonts w:hint="eastAsia" w:ascii="宋体" w:hAnsi="宋体" w:eastAsia="宋体" w:cs="宋体"/>
          <w:color w:val="auto"/>
          <w:highlight w:val="none"/>
        </w:rPr>
        <w:br w:type="page"/>
      </w:r>
    </w:p>
    <w:p>
      <w:pPr>
        <w:pStyle w:val="21"/>
        <w:spacing w:before="76" w:after="76" w:line="18" w:lineRule="atLeast"/>
        <w:jc w:val="center"/>
        <w:rPr>
          <w:rFonts w:hint="eastAsia" w:ascii="宋体" w:hAnsi="宋体" w:eastAsia="宋体" w:cs="宋体"/>
          <w:color w:val="auto"/>
          <w:highlight w:val="none"/>
        </w:rPr>
      </w:pPr>
      <w:r>
        <w:rPr>
          <w:rStyle w:val="28"/>
          <w:rFonts w:hint="eastAsia" w:ascii="宋体" w:hAnsi="宋体" w:eastAsia="宋体" w:cs="宋体"/>
          <w:color w:val="auto"/>
          <w:sz w:val="28"/>
          <w:szCs w:val="28"/>
          <w:highlight w:val="none"/>
        </w:rPr>
        <w:t>封面格式</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highlight w:val="none"/>
        </w:rPr>
      </w:pPr>
      <w:r>
        <w:rPr>
          <w:rStyle w:val="28"/>
          <w:rFonts w:hint="eastAsia" w:ascii="宋体" w:hAnsi="宋体" w:eastAsia="宋体" w:cs="宋体"/>
          <w:color w:val="auto"/>
          <w:sz w:val="84"/>
          <w:szCs w:val="84"/>
          <w:highlight w:val="none"/>
        </w:rPr>
        <w:t>竞争性磋商</w:t>
      </w:r>
    </w:p>
    <w:p>
      <w:pPr>
        <w:pStyle w:val="21"/>
        <w:spacing w:before="75" w:after="75"/>
        <w:jc w:val="center"/>
        <w:rPr>
          <w:rFonts w:hint="eastAsia" w:ascii="宋体" w:hAnsi="宋体" w:eastAsia="宋体" w:cs="宋体"/>
          <w:color w:val="auto"/>
          <w:sz w:val="84"/>
          <w:szCs w:val="84"/>
          <w:highlight w:val="none"/>
        </w:rPr>
      </w:pPr>
      <w:r>
        <w:rPr>
          <w:rStyle w:val="28"/>
          <w:rFonts w:hint="eastAsia" w:ascii="宋体" w:hAnsi="宋体" w:eastAsia="宋体" w:cs="宋体"/>
          <w:color w:val="auto"/>
          <w:sz w:val="84"/>
          <w:szCs w:val="84"/>
          <w:highlight w:val="none"/>
        </w:rPr>
        <w:t>响应文件</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（资格及资信证明部分）</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u w:val="single"/>
        </w:rPr>
        <w:t>（填写正本或副本）</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项目名称：</w:t>
      </w:r>
      <w:r>
        <w:rPr>
          <w:rStyle w:val="28"/>
          <w:rFonts w:hint="eastAsia" w:ascii="宋体" w:hAnsi="宋体" w:eastAsia="宋体" w:cs="宋体"/>
          <w:color w:val="auto"/>
          <w:sz w:val="28"/>
          <w:szCs w:val="28"/>
          <w:highlight w:val="none"/>
          <w:u w:val="single"/>
        </w:rPr>
        <w:t>（由供应商填写）</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项目编号：</w:t>
      </w:r>
      <w:r>
        <w:rPr>
          <w:rStyle w:val="28"/>
          <w:rFonts w:hint="eastAsia" w:ascii="宋体" w:hAnsi="宋体" w:eastAsia="宋体" w:cs="宋体"/>
          <w:color w:val="auto"/>
          <w:sz w:val="28"/>
          <w:szCs w:val="28"/>
          <w:highlight w:val="none"/>
          <w:u w:val="single"/>
        </w:rPr>
        <w:t>（由供应商填写）</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合同包：</w:t>
      </w:r>
      <w:r>
        <w:rPr>
          <w:rStyle w:val="28"/>
          <w:rFonts w:hint="eastAsia" w:ascii="宋体" w:hAnsi="宋体" w:eastAsia="宋体" w:cs="宋体"/>
          <w:color w:val="auto"/>
          <w:sz w:val="28"/>
          <w:szCs w:val="28"/>
          <w:highlight w:val="none"/>
          <w:u w:val="single"/>
        </w:rPr>
        <w:t>（由供应商填写）</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sz w:val="36"/>
          <w:szCs w:val="36"/>
          <w:highlight w:val="none"/>
        </w:rPr>
      </w:pP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供应商：</w:t>
      </w:r>
      <w:r>
        <w:rPr>
          <w:rStyle w:val="28"/>
          <w:rFonts w:hint="eastAsia" w:ascii="宋体" w:hAnsi="宋体" w:eastAsia="宋体" w:cs="宋体"/>
          <w:color w:val="auto"/>
          <w:sz w:val="32"/>
          <w:szCs w:val="32"/>
          <w:highlight w:val="none"/>
          <w:u w:val="single"/>
        </w:rPr>
        <w:t>（填写“全称”）</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u w:val="single"/>
        </w:rPr>
        <w:t>（由供应商填写）</w:t>
      </w:r>
      <w:r>
        <w:rPr>
          <w:rStyle w:val="28"/>
          <w:rFonts w:hint="eastAsia" w:ascii="宋体" w:hAnsi="宋体" w:eastAsia="宋体" w:cs="宋体"/>
          <w:color w:val="auto"/>
          <w:sz w:val="32"/>
          <w:szCs w:val="32"/>
          <w:highlight w:val="none"/>
        </w:rPr>
        <w:t>年</w:t>
      </w:r>
      <w:r>
        <w:rPr>
          <w:rStyle w:val="28"/>
          <w:rFonts w:hint="eastAsia" w:ascii="宋体" w:hAnsi="宋体" w:eastAsia="宋体" w:cs="宋体"/>
          <w:color w:val="auto"/>
          <w:sz w:val="32"/>
          <w:szCs w:val="32"/>
          <w:highlight w:val="none"/>
          <w:u w:val="single"/>
        </w:rPr>
        <w:t>（由供应商填写）</w:t>
      </w:r>
      <w:r>
        <w:rPr>
          <w:rStyle w:val="28"/>
          <w:rFonts w:hint="eastAsia" w:ascii="宋体" w:hAnsi="宋体" w:eastAsia="宋体" w:cs="宋体"/>
          <w:color w:val="auto"/>
          <w:sz w:val="32"/>
          <w:szCs w:val="32"/>
          <w:highlight w:val="none"/>
        </w:rPr>
        <w:t>月</w:t>
      </w:r>
    </w:p>
    <w:p>
      <w:pPr>
        <w:pStyle w:val="21"/>
        <w:spacing w:before="76" w:after="76" w:line="435" w:lineRule="atLeast"/>
        <w:rPr>
          <w:rStyle w:val="28"/>
          <w:rFonts w:hint="eastAsia" w:ascii="宋体" w:hAnsi="宋体" w:eastAsia="宋体" w:cs="宋体"/>
          <w:color w:val="auto"/>
          <w:highlight w:val="none"/>
        </w:rPr>
      </w:pPr>
    </w:p>
    <w:p>
      <w:pPr>
        <w:pStyle w:val="21"/>
        <w:spacing w:before="76" w:after="76" w:line="18" w:lineRule="atLeast"/>
        <w:jc w:val="center"/>
        <w:rPr>
          <w:rStyle w:val="28"/>
          <w:rFonts w:hint="eastAsia" w:ascii="宋体" w:hAnsi="宋体" w:eastAsia="宋体" w:cs="宋体"/>
          <w:color w:val="auto"/>
          <w:highlight w:val="none"/>
        </w:rPr>
      </w:pPr>
    </w:p>
    <w:p>
      <w:pPr>
        <w:pStyle w:val="21"/>
        <w:spacing w:before="76" w:after="76" w:line="18" w:lineRule="atLeas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 索 引</w:t>
      </w:r>
    </w:p>
    <w:p>
      <w:pPr>
        <w:pStyle w:val="21"/>
        <w:spacing w:before="76" w:after="76" w:line="46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一、磋商响应声明</w:t>
      </w:r>
    </w:p>
    <w:p>
      <w:pPr>
        <w:pStyle w:val="21"/>
        <w:spacing w:before="76" w:after="76" w:line="46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二、供应商的资格及资信证明文件</w:t>
      </w:r>
    </w:p>
    <w:p>
      <w:pPr>
        <w:pStyle w:val="21"/>
        <w:spacing w:before="76" w:after="76" w:line="465" w:lineRule="atLeas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三、代理服务费缴交承诺书</w:t>
      </w:r>
    </w:p>
    <w:p>
      <w:pPr>
        <w:pStyle w:val="21"/>
        <w:spacing w:before="76" w:after="240" w:line="49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240" w:line="495" w:lineRule="atLeast"/>
        <w:rPr>
          <w:rFonts w:hint="eastAsia" w:ascii="宋体" w:hAnsi="宋体" w:eastAsia="宋体" w:cs="宋体"/>
          <w:color w:val="auto"/>
          <w:szCs w:val="24"/>
          <w:highlight w:val="none"/>
        </w:rPr>
      </w:pPr>
    </w:p>
    <w:p>
      <w:pPr>
        <w:pStyle w:val="21"/>
        <w:spacing w:before="76" w:after="76" w:line="495" w:lineRule="atLeast"/>
        <w:rPr>
          <w:rFonts w:hint="eastAsia" w:ascii="宋体" w:hAnsi="宋体" w:eastAsia="宋体" w:cs="宋体"/>
          <w:color w:val="auto"/>
          <w:szCs w:val="24"/>
          <w:highlight w:val="none"/>
        </w:rPr>
      </w:pPr>
    </w:p>
    <w:p>
      <w:pPr>
        <w:pStyle w:val="21"/>
        <w:spacing w:before="76" w:after="76" w:line="495" w:lineRule="atLeast"/>
        <w:rPr>
          <w:rFonts w:hint="eastAsia" w:ascii="宋体" w:hAnsi="宋体" w:eastAsia="宋体" w:cs="宋体"/>
          <w:color w:val="auto"/>
          <w:szCs w:val="24"/>
          <w:highlight w:val="none"/>
        </w:rPr>
      </w:pPr>
    </w:p>
    <w:p>
      <w:pPr>
        <w:pStyle w:val="21"/>
        <w:spacing w:before="76" w:after="76" w:line="49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附件1               </w:t>
      </w:r>
    </w:p>
    <w:p>
      <w:pPr>
        <w:pStyle w:val="21"/>
        <w:spacing w:before="76" w:after="76" w:line="495"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磋商响应声明</w:t>
      </w:r>
    </w:p>
    <w:p>
      <w:pPr>
        <w:pStyle w:val="21"/>
        <w:spacing w:before="76" w:after="76" w:line="400" w:lineRule="exac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     (采购人或采购代理机构)       </w:t>
      </w:r>
    </w:p>
    <w:p>
      <w:pPr>
        <w:pStyle w:val="21"/>
        <w:spacing w:before="76" w:after="76"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1.根据贵方为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项目（项目编号:</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）的采购公告（或采购邀请书），我方签字代表</w:t>
      </w:r>
      <w:r>
        <w:rPr>
          <w:rFonts w:hint="eastAsia" w:ascii="宋体" w:hAnsi="宋体" w:eastAsia="宋体" w:cs="宋体"/>
          <w:color w:val="auto"/>
          <w:szCs w:val="24"/>
          <w:highlight w:val="none"/>
          <w:u w:val="single"/>
        </w:rPr>
        <w:t>       （全名、职务）</w:t>
      </w:r>
      <w:r>
        <w:rPr>
          <w:rFonts w:hint="eastAsia" w:ascii="宋体" w:hAnsi="宋体" w:eastAsia="宋体" w:cs="宋体"/>
          <w:color w:val="auto"/>
          <w:szCs w:val="24"/>
          <w:highlight w:val="none"/>
        </w:rPr>
        <w:t>经正式授权并代表的供应商</w:t>
      </w:r>
      <w:r>
        <w:rPr>
          <w:rFonts w:hint="eastAsia" w:ascii="宋体" w:hAnsi="宋体" w:eastAsia="宋体" w:cs="宋体"/>
          <w:color w:val="auto"/>
          <w:szCs w:val="24"/>
          <w:highlight w:val="none"/>
          <w:u w:val="single"/>
        </w:rPr>
        <w:t>          （供应商名称、地址）</w:t>
      </w:r>
      <w:r>
        <w:rPr>
          <w:rFonts w:hint="eastAsia" w:ascii="宋体" w:hAnsi="宋体" w:eastAsia="宋体" w:cs="宋体"/>
          <w:color w:val="auto"/>
          <w:szCs w:val="24"/>
          <w:highlight w:val="none"/>
        </w:rPr>
        <w:t>提交包含下述内容的响应文件纸质文本正本</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套，副本</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套及电子文档</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套。</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（1）响应函</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（2）报价一览表（含详细报价书）</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（3）资格证明文件</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（4）技术和商务偏离表</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（5）相关技术、商务、服务响应承诺及资料</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（6）供应商提交的其他资料</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（7）按照竞争性磋商文件规定，要求作为响应文件组成部分的其他内容（若有）</w:t>
      </w:r>
    </w:p>
    <w:p>
      <w:pPr>
        <w:pStyle w:val="21"/>
        <w:spacing w:before="76" w:after="76"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2.据此函，我方宣布响应承诺如下：</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一旦我方获得成交，我方将按照竞争性磋商文件的要求和我方提交的响应文件（包括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我方承诺：递交的所有响应文件（包括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2.4我方愿意向贵方提供任何与本项目磋商采购有关的数据或资料。若贵方需要，我方愿意提供我方作出的一切承诺的证明材料。</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line="500" w:lineRule="exact"/>
        <w:ind w:firstLine="480" w:firstLineChars="200"/>
        <w:rPr>
          <w:rFonts w:hint="eastAsia" w:ascii="宋体" w:hAnsi="宋体" w:eastAsia="宋体" w:cs="宋体"/>
          <w:color w:val="auto"/>
          <w:szCs w:val="24"/>
          <w:highlight w:val="none"/>
        </w:rPr>
      </w:pPr>
    </w:p>
    <w:p>
      <w:pPr>
        <w:pStyle w:val="21"/>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通信地址：</w:t>
      </w:r>
      <w:r>
        <w:rPr>
          <w:rFonts w:hint="eastAsia" w:ascii="宋体" w:hAnsi="宋体" w:eastAsia="宋体" w:cs="宋体"/>
          <w:color w:val="auto"/>
          <w:szCs w:val="24"/>
          <w:highlight w:val="none"/>
          <w:u w:val="single"/>
        </w:rPr>
        <w:t xml:space="preserve">                               </w:t>
      </w:r>
    </w:p>
    <w:p>
      <w:pPr>
        <w:pStyle w:val="21"/>
        <w:spacing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邮    编：</w:t>
      </w:r>
      <w:r>
        <w:rPr>
          <w:rFonts w:hint="eastAsia" w:ascii="宋体" w:hAnsi="宋体" w:eastAsia="宋体" w:cs="宋体"/>
          <w:color w:val="auto"/>
          <w:szCs w:val="24"/>
          <w:highlight w:val="none"/>
          <w:u w:val="single"/>
        </w:rPr>
        <w:t>                        </w:t>
      </w:r>
    </w:p>
    <w:p>
      <w:pPr>
        <w:pStyle w:val="21"/>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r>
        <w:rPr>
          <w:rFonts w:hint="eastAsia" w:ascii="宋体" w:hAnsi="宋体" w:eastAsia="宋体" w:cs="宋体"/>
          <w:color w:val="auto"/>
          <w:szCs w:val="24"/>
          <w:highlight w:val="none"/>
          <w:u w:val="single"/>
        </w:rPr>
        <w:t>                          </w:t>
      </w:r>
    </w:p>
    <w:p>
      <w:pPr>
        <w:pStyle w:val="21"/>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联系电话（固定电话和移动电话）：</w:t>
      </w:r>
      <w:r>
        <w:rPr>
          <w:rFonts w:hint="eastAsia" w:ascii="宋体" w:hAnsi="宋体" w:eastAsia="宋体" w:cs="宋体"/>
          <w:color w:val="auto"/>
          <w:szCs w:val="24"/>
          <w:highlight w:val="none"/>
          <w:u w:val="single"/>
        </w:rPr>
        <w:t>                   </w:t>
      </w:r>
    </w:p>
    <w:p>
      <w:pPr>
        <w:pStyle w:val="21"/>
        <w:spacing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供应商代表：</w:t>
      </w:r>
      <w:r>
        <w:rPr>
          <w:rFonts w:hint="eastAsia" w:ascii="宋体" w:hAnsi="宋体" w:eastAsia="宋体" w:cs="宋体"/>
          <w:color w:val="auto"/>
          <w:szCs w:val="24"/>
          <w:highlight w:val="none"/>
          <w:u w:val="single"/>
        </w:rPr>
        <w:t>                （签字） </w:t>
      </w:r>
    </w:p>
    <w:p>
      <w:pPr>
        <w:pStyle w:val="21"/>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供应商代表电子信箱：</w:t>
      </w:r>
      <w:r>
        <w:rPr>
          <w:rFonts w:hint="eastAsia" w:ascii="宋体" w:hAnsi="宋体" w:eastAsia="宋体" w:cs="宋体"/>
          <w:color w:val="auto"/>
          <w:szCs w:val="24"/>
          <w:highlight w:val="none"/>
          <w:u w:val="single"/>
        </w:rPr>
        <w:t>                          </w:t>
      </w:r>
    </w:p>
    <w:p>
      <w:pPr>
        <w:pStyle w:val="21"/>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w:t>
      </w:r>
      <w:r>
        <w:rPr>
          <w:rFonts w:hint="eastAsia" w:ascii="宋体" w:hAnsi="宋体" w:eastAsia="宋体" w:cs="宋体"/>
          <w:color w:val="auto"/>
          <w:szCs w:val="24"/>
          <w:highlight w:val="none"/>
          <w:u w:val="single"/>
        </w:rPr>
        <w:t>            （全称并加盖公章） </w:t>
      </w:r>
    </w:p>
    <w:p>
      <w:pPr>
        <w:pStyle w:val="21"/>
        <w:spacing w:line="500" w:lineRule="exact"/>
        <w:ind w:firstLine="2400" w:firstLineChars="1000"/>
        <w:rPr>
          <w:rFonts w:hint="eastAsia" w:ascii="宋体" w:hAnsi="宋体" w:eastAsia="宋体" w:cs="宋体"/>
          <w:color w:val="auto"/>
          <w:szCs w:val="24"/>
          <w:highlight w:val="none"/>
        </w:rPr>
      </w:pPr>
    </w:p>
    <w:p>
      <w:pPr>
        <w:pStyle w:val="21"/>
        <w:spacing w:line="500" w:lineRule="exact"/>
        <w:jc w:val="right"/>
        <w:rPr>
          <w:rFonts w:hint="eastAsia" w:ascii="宋体" w:hAnsi="宋体" w:eastAsia="宋体" w:cs="宋体"/>
          <w:color w:val="auto"/>
          <w:highlight w:val="none"/>
        </w:rPr>
      </w:pPr>
      <w:r>
        <w:rPr>
          <w:rFonts w:hint="eastAsia" w:ascii="宋体" w:hAnsi="宋体" w:eastAsia="宋体" w:cs="宋体"/>
          <w:color w:val="auto"/>
          <w:szCs w:val="24"/>
          <w:highlight w:val="none"/>
        </w:rPr>
        <w:t>日  期：     年    月    日</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r>
        <w:rPr>
          <w:rStyle w:val="28"/>
          <w:rFonts w:hint="eastAsia" w:ascii="宋体" w:hAnsi="宋体" w:eastAsia="宋体" w:cs="宋体"/>
          <w:color w:val="auto"/>
          <w:highlight w:val="none"/>
        </w:rPr>
        <w:t> </w:t>
      </w:r>
    </w:p>
    <w:p>
      <w:pPr>
        <w:pStyle w:val="21"/>
        <w:spacing w:before="76" w:after="76" w:line="375" w:lineRule="atLeast"/>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 </w:t>
      </w:r>
    </w:p>
    <w:p>
      <w:pPr>
        <w:jc w:val="left"/>
        <w:rPr>
          <w:rStyle w:val="28"/>
          <w:rFonts w:hint="eastAsia" w:ascii="宋体" w:hAnsi="宋体" w:eastAsia="宋体" w:cs="宋体"/>
          <w:color w:val="auto"/>
          <w:kern w:val="0"/>
          <w:highlight w:val="none"/>
        </w:rPr>
      </w:pPr>
      <w:r>
        <w:rPr>
          <w:rStyle w:val="28"/>
          <w:rFonts w:hint="eastAsia" w:ascii="宋体" w:hAnsi="宋体" w:eastAsia="宋体" w:cs="宋体"/>
          <w:color w:val="auto"/>
          <w:highlight w:val="none"/>
        </w:rPr>
        <w:br w:type="page"/>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w:t>
      </w:r>
    </w:p>
    <w:p>
      <w:pPr>
        <w:pStyle w:val="21"/>
        <w:spacing w:before="76" w:after="76" w:line="18" w:lineRule="atLeast"/>
        <w:jc w:val="center"/>
        <w:rPr>
          <w:rStyle w:val="28"/>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资格证明文件</w:t>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附件2-1</w:t>
      </w:r>
    </w:p>
    <w:p>
      <w:pPr>
        <w:pStyle w:val="21"/>
        <w:spacing w:before="76" w:after="76" w:line="465" w:lineRule="atLeast"/>
        <w:jc w:val="center"/>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参加竞争性磋商的声明函</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     (采购人或采购代理机构)       </w:t>
      </w:r>
      <w:r>
        <w:rPr>
          <w:rFonts w:hint="eastAsia" w:ascii="宋体" w:hAnsi="宋体" w:eastAsia="宋体" w:cs="宋体"/>
          <w:color w:val="auto"/>
          <w:szCs w:val="24"/>
          <w:highlight w:val="none"/>
        </w:rPr>
        <w:t> </w:t>
      </w:r>
    </w:p>
    <w:p>
      <w:pPr>
        <w:pStyle w:val="21"/>
        <w:spacing w:before="76" w:after="76"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1、关于贵方_____年______月______日</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项目（项目编号:</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21"/>
        <w:spacing w:before="76" w:after="76"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2、供应商的基本概况：</w:t>
      </w:r>
    </w:p>
    <w:p>
      <w:pPr>
        <w:pStyle w:val="21"/>
        <w:spacing w:before="76" w:after="76" w:line="400" w:lineRule="exact"/>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2.1供应商单位名称：</w:t>
      </w:r>
      <w:r>
        <w:rPr>
          <w:rFonts w:hint="eastAsia" w:ascii="宋体" w:hAnsi="宋体" w:eastAsia="宋体" w:cs="宋体"/>
          <w:color w:val="auto"/>
          <w:szCs w:val="24"/>
          <w:highlight w:val="none"/>
          <w:u w:val="single"/>
        </w:rPr>
        <w:t>                      </w:t>
      </w:r>
    </w:p>
    <w:p>
      <w:pPr>
        <w:pStyle w:val="21"/>
        <w:spacing w:before="76" w:after="76" w:line="400" w:lineRule="exact"/>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2.2注册地址：</w:t>
      </w:r>
      <w:r>
        <w:rPr>
          <w:rFonts w:hint="eastAsia" w:ascii="宋体" w:hAnsi="宋体" w:eastAsia="宋体" w:cs="宋体"/>
          <w:color w:val="auto"/>
          <w:szCs w:val="24"/>
          <w:highlight w:val="none"/>
          <w:u w:val="single"/>
        </w:rPr>
        <w:t>                                 </w:t>
      </w:r>
    </w:p>
    <w:p>
      <w:pPr>
        <w:pStyle w:val="21"/>
        <w:spacing w:before="76" w:after="76"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2.3单位负责人姓名：</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年龄：</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w:t>
      </w:r>
    </w:p>
    <w:p>
      <w:pPr>
        <w:pStyle w:val="21"/>
        <w:spacing w:before="76" w:after="76" w:line="400" w:lineRule="exact"/>
        <w:ind w:firstLine="480"/>
        <w:rPr>
          <w:rFonts w:hint="eastAsia" w:ascii="宋体" w:hAnsi="宋体" w:eastAsia="宋体" w:cs="宋体"/>
          <w:color w:val="auto"/>
          <w:szCs w:val="24"/>
          <w:highlight w:val="none"/>
        </w:rPr>
      </w:pPr>
    </w:p>
    <w:p>
      <w:pPr>
        <w:pStyle w:val="21"/>
        <w:spacing w:before="76" w:after="76"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备注：“单位负责人”指单位法定代表人（供应商为法人的）或法律、法规规定代表单位行使职权的主要负责人（供应商为其他组织的）。</w:t>
      </w:r>
    </w:p>
    <w:p>
      <w:pPr>
        <w:pStyle w:val="21"/>
        <w:spacing w:before="76" w:after="76"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对于接受联合体形式的磋商且供应商是联合体的，则联合体各成员都应当提交本资格证明文件。</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rPr>
        <w:br w:type="page"/>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附件2-2</w:t>
      </w:r>
    </w:p>
    <w:p>
      <w:pPr>
        <w:pStyle w:val="21"/>
        <w:spacing w:before="76" w:after="76" w:line="375"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供应商的资格声明</w:t>
      </w:r>
    </w:p>
    <w:p>
      <w:pPr>
        <w:pStyle w:val="21"/>
        <w:spacing w:before="76" w:after="76"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     (采购人或采购代理机构)       </w:t>
      </w:r>
    </w:p>
    <w:p>
      <w:pPr>
        <w:pStyle w:val="21"/>
        <w:spacing w:before="76" w:after="76" w:line="375" w:lineRule="atLeast"/>
        <w:jc w:val="both"/>
        <w:rPr>
          <w:rFonts w:hint="eastAsia" w:ascii="宋体" w:hAnsi="宋体" w:eastAsia="宋体" w:cs="宋体"/>
          <w:color w:val="auto"/>
          <w:szCs w:val="24"/>
          <w:highlight w:val="none"/>
        </w:rPr>
      </w:pPr>
      <w:r>
        <w:rPr>
          <w:rStyle w:val="28"/>
          <w:rFonts w:hint="eastAsia" w:ascii="宋体" w:hAnsi="宋体" w:eastAsia="宋体" w:cs="宋体"/>
          <w:color w:val="auto"/>
          <w:highlight w:val="none"/>
        </w:rPr>
        <w:t>     1、</w:t>
      </w:r>
      <w:r>
        <w:rPr>
          <w:rFonts w:hint="eastAsia" w:ascii="宋体" w:hAnsi="宋体" w:eastAsia="宋体" w:cs="宋体"/>
          <w:color w:val="auto"/>
          <w:szCs w:val="24"/>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5"/>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7"/>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Style w:val="28"/>
                <w:rFonts w:hint="eastAsia" w:ascii="宋体" w:hAnsi="宋体" w:eastAsia="宋体" w:cs="宋体"/>
                <w:color w:val="auto"/>
                <w:highlight w:val="none"/>
              </w:rPr>
              <w:t>《中华人民共和国政府采购法》第二十二条对供应商的要求</w:t>
            </w:r>
          </w:p>
        </w:tc>
        <w:tc>
          <w:tcPr>
            <w:tcW w:w="28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Style w:val="28"/>
                <w:rFonts w:hint="eastAsia" w:ascii="宋体" w:hAnsi="宋体" w:eastAsia="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（1）具有独立承担民事责任的能力</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（2）具有良好的商业信誉和健全的财务会计制度</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（3）具有履行合同所必需的设备和专业技术能力</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（4）有依法缴纳税收和社会保障资金的良好记录</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（5）参加政府采购活动前三年内，在经营活动中没有重大违法记录</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（6）法律、行政法规规定的其他条件。</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Style w:val="28"/>
                <w:rFonts w:hint="eastAsia" w:ascii="宋体" w:hAnsi="宋体" w:eastAsia="宋体" w:cs="宋体"/>
                <w:color w:val="auto"/>
                <w:highlight w:val="none"/>
              </w:rPr>
              <w:t>竞争性磋商文件对合格供应商的一般规定</w:t>
            </w:r>
          </w:p>
        </w:tc>
        <w:tc>
          <w:tcPr>
            <w:tcW w:w="28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Style w:val="28"/>
                <w:rFonts w:hint="eastAsia" w:ascii="宋体" w:hAnsi="宋体" w:eastAsia="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供应商应当遵守中国的有关法律、法规和规章的规定，参加政府采购活动时已经自觉检查并参照政府采购相关法律规定，主动回避相应利害关系。</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7" w:type="dxa"/>
            <w:tcMar>
              <w:left w:w="105" w:type="dxa"/>
              <w:right w:w="105" w:type="dxa"/>
            </w:tcMar>
          </w:tcPr>
          <w:p>
            <w:pPr>
              <w:pStyle w:val="21"/>
              <w:spacing w:line="37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列入失信被执行人、重大税收违法案件当事人名单、政府采购严重违法失信行为记录名单的供应商，不得参加政府采购活动。</w:t>
            </w:r>
          </w:p>
        </w:tc>
        <w:tc>
          <w:tcPr>
            <w:tcW w:w="2887"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bl>
    <w:p>
      <w:pPr>
        <w:pStyle w:val="21"/>
        <w:spacing w:before="76" w:after="76" w:line="400" w:lineRule="exact"/>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2、我方对上述声明的真实性、合法性、准确性、有效性负责，并愿意根据竞争性磋商文件和磋商过程中贵方要求提供全部现有资料、数据、文件等予以证实。</w:t>
      </w:r>
    </w:p>
    <w:p>
      <w:pPr>
        <w:pStyle w:val="21"/>
        <w:spacing w:before="76" w:after="76"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备注：对于接受联合体形式的磋商且供应商是联合体的，则联合体各成员都应当提交本资格证明文件。</w:t>
      </w: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附件2-3             </w:t>
      </w:r>
    </w:p>
    <w:p>
      <w:pPr>
        <w:pStyle w:val="21"/>
        <w:spacing w:before="76" w:after="76" w:line="435"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单位负责人授权书</w:t>
      </w:r>
    </w:p>
    <w:p>
      <w:pPr>
        <w:pStyle w:val="21"/>
        <w:spacing w:before="76" w:after="76" w:line="40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致：</w:t>
      </w:r>
      <w:r>
        <w:rPr>
          <w:rFonts w:hint="eastAsia" w:ascii="宋体" w:hAnsi="宋体" w:eastAsia="宋体" w:cs="宋体"/>
          <w:color w:val="auto"/>
          <w:szCs w:val="24"/>
          <w:highlight w:val="none"/>
          <w:u w:val="single"/>
        </w:rPr>
        <w:t>     (采购人或采购代理机构)       </w:t>
      </w:r>
    </w:p>
    <w:p>
      <w:pPr>
        <w:pStyle w:val="21"/>
        <w:spacing w:before="76" w:after="76" w:line="360" w:lineRule="atLeas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我方的单位负责人</w:t>
      </w:r>
      <w:r>
        <w:rPr>
          <w:rFonts w:hint="eastAsia" w:ascii="宋体" w:hAnsi="宋体" w:eastAsia="宋体" w:cs="宋体"/>
          <w:color w:val="auto"/>
          <w:szCs w:val="24"/>
          <w:highlight w:val="none"/>
          <w:u w:val="single"/>
        </w:rPr>
        <w:t>（填写“单位负责人全名”）</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（填写“供应商代表全名”）</w:t>
      </w:r>
      <w:r>
        <w:rPr>
          <w:rFonts w:hint="eastAsia" w:ascii="宋体" w:hAnsi="宋体" w:eastAsia="宋体" w:cs="宋体"/>
          <w:color w:val="auto"/>
          <w:szCs w:val="24"/>
          <w:highlight w:val="none"/>
        </w:rPr>
        <w:t>为我方的供应商代表，代表我方参加</w:t>
      </w:r>
      <w:r>
        <w:rPr>
          <w:rFonts w:hint="eastAsia" w:ascii="宋体" w:hAnsi="宋体" w:eastAsia="宋体" w:cs="宋体"/>
          <w:color w:val="auto"/>
          <w:szCs w:val="24"/>
          <w:highlight w:val="none"/>
          <w:u w:val="single"/>
        </w:rPr>
        <w:t>  （填写“项目名称”）   </w:t>
      </w:r>
      <w:r>
        <w:rPr>
          <w:rFonts w:hint="eastAsia" w:ascii="宋体" w:hAnsi="宋体" w:eastAsia="宋体" w:cs="宋体"/>
          <w:color w:val="auto"/>
          <w:szCs w:val="24"/>
          <w:highlight w:val="none"/>
        </w:rPr>
        <w:t>项目（项目编号：</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21"/>
        <w:spacing w:before="76" w:after="76"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供应商代表无转委权。特此授权。</w:t>
      </w:r>
    </w:p>
    <w:p>
      <w:pPr>
        <w:pStyle w:val="21"/>
        <w:spacing w:before="76" w:after="76" w:line="360"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（以下无正文）</w:t>
      </w:r>
    </w:p>
    <w:p>
      <w:pPr>
        <w:pStyle w:val="21"/>
        <w:spacing w:before="76" w:after="76"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单位负责人：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身份证号：</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手机：</w:t>
      </w:r>
      <w:r>
        <w:rPr>
          <w:rFonts w:hint="eastAsia" w:ascii="宋体" w:hAnsi="宋体" w:eastAsia="宋体" w:cs="宋体"/>
          <w:color w:val="auto"/>
          <w:szCs w:val="24"/>
          <w:highlight w:val="none"/>
          <w:u w:val="single"/>
        </w:rPr>
        <w:t>          </w:t>
      </w:r>
    </w:p>
    <w:p>
      <w:pPr>
        <w:pStyle w:val="21"/>
        <w:spacing w:before="76" w:after="76"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供应商代表：</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身份证号：</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手机：</w:t>
      </w:r>
      <w:r>
        <w:rPr>
          <w:rFonts w:hint="eastAsia" w:ascii="宋体" w:hAnsi="宋体" w:eastAsia="宋体" w:cs="宋体"/>
          <w:color w:val="auto"/>
          <w:szCs w:val="24"/>
          <w:highlight w:val="none"/>
          <w:u w:val="single"/>
        </w:rPr>
        <w:t>         </w:t>
      </w:r>
    </w:p>
    <w:p>
      <w:pPr>
        <w:pStyle w:val="21"/>
        <w:spacing w:before="76" w:after="76"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授权方</w:t>
      </w:r>
    </w:p>
    <w:p>
      <w:pPr>
        <w:pStyle w:val="21"/>
        <w:spacing w:before="76" w:after="76" w:line="360" w:lineRule="atLeas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w:t>
      </w:r>
      <w:r>
        <w:rPr>
          <w:rFonts w:hint="eastAsia" w:ascii="宋体" w:hAnsi="宋体" w:eastAsia="宋体" w:cs="宋体"/>
          <w:color w:val="auto"/>
          <w:szCs w:val="24"/>
          <w:highlight w:val="none"/>
          <w:u w:val="single"/>
        </w:rPr>
        <w:t>（全称并加盖单位公章）</w:t>
      </w:r>
    </w:p>
    <w:p>
      <w:pPr>
        <w:pStyle w:val="21"/>
        <w:spacing w:before="76" w:after="76" w:line="360" w:lineRule="atLeas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单位负责人签字或盖章：</w:t>
      </w:r>
      <w:r>
        <w:rPr>
          <w:rFonts w:hint="eastAsia" w:ascii="宋体" w:hAnsi="宋体" w:eastAsia="宋体" w:cs="宋体"/>
          <w:color w:val="auto"/>
          <w:szCs w:val="24"/>
          <w:highlight w:val="none"/>
          <w:u w:val="single"/>
        </w:rPr>
        <w:t>                   </w:t>
      </w:r>
    </w:p>
    <w:p>
      <w:pPr>
        <w:pStyle w:val="21"/>
        <w:spacing w:before="76" w:after="76" w:line="36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接受授权方</w:t>
      </w:r>
    </w:p>
    <w:p>
      <w:pPr>
        <w:pStyle w:val="21"/>
        <w:spacing w:before="76" w:after="76" w:line="360" w:lineRule="atLeas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供应商代表签字：</w:t>
      </w:r>
      <w:r>
        <w:rPr>
          <w:rFonts w:hint="eastAsia" w:ascii="宋体" w:hAnsi="宋体" w:eastAsia="宋体" w:cs="宋体"/>
          <w:color w:val="auto"/>
          <w:szCs w:val="24"/>
          <w:highlight w:val="none"/>
          <w:u w:val="single"/>
        </w:rPr>
        <w:t>                   </w:t>
      </w:r>
    </w:p>
    <w:p>
      <w:pPr>
        <w:pStyle w:val="21"/>
        <w:spacing w:before="76" w:after="76" w:line="36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签署日期：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405" w:lineRule="atLeast"/>
        <w:rPr>
          <w:rFonts w:hint="eastAsia" w:ascii="宋体" w:hAnsi="宋体" w:eastAsia="宋体" w:cs="宋体"/>
          <w:color w:val="auto"/>
          <w:highlight w:val="none"/>
        </w:rPr>
      </w:pPr>
      <w:r>
        <w:rPr>
          <w:rFonts w:hint="eastAsia" w:ascii="宋体" w:hAnsi="宋体" w:eastAsia="宋体" w:cs="宋体"/>
          <w:color w:val="auto"/>
          <w:szCs w:val="24"/>
          <w:highlight w:val="none"/>
        </w:rPr>
        <w:t>附：单位负责人、供应商代表的身份证正反面复印件</w:t>
      </w:r>
    </w:p>
    <w:tbl>
      <w:tblPr>
        <w:tblStyle w:val="25"/>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8565" w:type="dxa"/>
            <w:tcMar>
              <w:left w:w="105" w:type="dxa"/>
              <w:right w:w="105" w:type="dxa"/>
            </w:tcMar>
            <w:vAlign w:val="center"/>
          </w:tcPr>
          <w:p>
            <w:pPr>
              <w:pStyle w:val="21"/>
              <w:spacing w:line="405" w:lineRule="atLeast"/>
              <w:jc w:val="center"/>
              <w:rPr>
                <w:rFonts w:hint="eastAsia" w:ascii="宋体" w:hAnsi="宋体" w:eastAsia="宋体" w:cs="宋体"/>
                <w:color w:val="auto"/>
                <w:highlight w:val="none"/>
              </w:rPr>
            </w:pPr>
            <w:r>
              <w:rPr>
                <w:rStyle w:val="28"/>
                <w:rFonts w:hint="eastAsia" w:ascii="宋体" w:hAnsi="宋体" w:eastAsia="宋体" w:cs="宋体"/>
                <w:color w:val="auto"/>
                <w:highlight w:val="none"/>
              </w:rPr>
              <w:t>要求：真实、有效、清晰</w:t>
            </w:r>
          </w:p>
        </w:tc>
      </w:tr>
    </w:tbl>
    <w:p>
      <w:pPr>
        <w:pStyle w:val="21"/>
        <w:spacing w:before="76" w:after="76" w:line="285" w:lineRule="atLeast"/>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21"/>
        <w:spacing w:line="285"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28"/>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w:t>
      </w:r>
    </w:p>
    <w:p>
      <w:pPr>
        <w:pStyle w:val="21"/>
        <w:spacing w:line="285"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2、银行、保险、石油石化、电力、电信等行业：以法人身份参加磋商的，“单位负责人”指</w:t>
      </w:r>
      <w:r>
        <w:rPr>
          <w:rStyle w:val="28"/>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，即与实际提交的“营业执照等证明文件”载明的一致；以非法人身份参加磋商的，“单位负责人”指</w:t>
      </w:r>
      <w:r>
        <w:rPr>
          <w:rStyle w:val="28"/>
          <w:rFonts w:hint="eastAsia" w:ascii="宋体" w:hAnsi="宋体" w:eastAsia="宋体" w:cs="宋体"/>
          <w:color w:val="auto"/>
          <w:sz w:val="21"/>
          <w:szCs w:val="21"/>
          <w:highlight w:val="none"/>
        </w:rPr>
        <w:t>代表单位行使职权的主要负责人</w:t>
      </w:r>
      <w:r>
        <w:rPr>
          <w:rFonts w:hint="eastAsia" w:ascii="宋体" w:hAnsi="宋体" w:eastAsia="宋体" w:cs="宋体"/>
          <w:color w:val="auto"/>
          <w:sz w:val="21"/>
          <w:szCs w:val="21"/>
          <w:highlight w:val="none"/>
        </w:rPr>
        <w:t>，即与实际提交的“营业执照等证明文件”载明的一致。</w:t>
      </w:r>
    </w:p>
    <w:p>
      <w:pPr>
        <w:pStyle w:val="21"/>
        <w:spacing w:line="285"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3、负责响应文件签字的供应商代表如果不是上述规定的单位负责人，则供应商应当在响应文件中提供本授权书，响应文件正本中的本授权书应为原件。供应商为自然人的，可不填写本授权书，但应当提供其身份证正反面复印件。</w:t>
      </w:r>
    </w:p>
    <w:p>
      <w:pPr>
        <w:pStyle w:val="21"/>
        <w:spacing w:before="76" w:after="76" w:line="285" w:lineRule="atLeas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4、对于接受联合体形式的磋商且供应商是联合体的，则只需要联合体的牵头方提交本授权书，在响应文件正本中的本授权书应为原件。</w:t>
      </w:r>
      <w:r>
        <w:rPr>
          <w:rFonts w:hint="eastAsia" w:ascii="宋体" w:hAnsi="宋体" w:eastAsia="宋体" w:cs="宋体"/>
          <w:color w:val="auto"/>
          <w:sz w:val="21"/>
          <w:szCs w:val="21"/>
          <w:highlight w:val="none"/>
        </w:rPr>
        <w:br w:type="page"/>
      </w:r>
    </w:p>
    <w:p>
      <w:pPr>
        <w:pStyle w:val="83"/>
        <w:keepNext w:val="0"/>
        <w:keepLines w:val="0"/>
        <w:pageBreakBefore w:val="0"/>
        <w:widowControl/>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-4 证明材料</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注：根据采购文件须知前附表1第1项号的“特定资格条件”要求，允许供应商采用资格承诺制的，可提供符合要求的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-4-1资格承诺函，视为满足采购文件的资格要求，供应商根据响应文件格式</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-4-2提供其中一种证明材料，若重复提供导致的不利后果，由供应商自行负责。</w:t>
      </w:r>
    </w:p>
    <w:p>
      <w:pPr>
        <w:pStyle w:val="83"/>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-4-1 福建省政府采购供应商资格承诺函</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pPr>
        <w:pStyle w:val="83"/>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outlineLvl w:val="9"/>
        <w:rPr>
          <w:color w:val="auto"/>
        </w:rPr>
      </w:pPr>
      <w:r>
        <w:rPr>
          <w:rFonts w:hint="eastAsia" w:ascii="宋体" w:hAnsi="宋体" w:eastAsia="宋体" w:cs="宋体"/>
          <w:color w:val="auto"/>
          <w:sz w:val="24"/>
          <w:szCs w:val="24"/>
        </w:rPr>
        <w:t>2.资格承诺的供应商应在投标(响应)文件中按此模板提供承诺函，否则，视为未按照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的资格及资信文件，按资格审查不通过处理。</w:t>
      </w: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b/>
          <w:color w:val="auto"/>
          <w:sz w:val="24"/>
          <w:szCs w:val="24"/>
        </w:rPr>
      </w:pP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-4-2 资格证明材料</w:t>
      </w: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（）供应商为法人（包括企业、事业单位和社会团体）的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（）供应商为非法人（包括其他组织、自然人）的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3、对于接受联合体形式的谈判且供应商是联合体的，则联合体各成员都应当提交本资格证明文件。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（全称并加盖公章）</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83"/>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24"/>
          <w:szCs w:val="24"/>
        </w:rPr>
      </w:pPr>
    </w:p>
    <w:p>
      <w:pPr>
        <w:pStyle w:val="83"/>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（）供应商提供财务报告的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（）供应商提供资信证明的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（）供应商提供谈判担保函的</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现附上由财政部门认可的政府采购专业担保机构：</w:t>
      </w:r>
      <w:r>
        <w:rPr>
          <w:rFonts w:hint="eastAsia" w:ascii="宋体" w:hAnsi="宋体" w:eastAsia="宋体" w:cs="宋体"/>
          <w:color w:val="auto"/>
          <w:sz w:val="24"/>
          <w:szCs w:val="24"/>
          <w:u w:val="single"/>
        </w:rPr>
        <w:t>（填写“担保机构全称”）</w:t>
      </w:r>
      <w:r>
        <w:rPr>
          <w:rFonts w:hint="eastAsia" w:ascii="宋体" w:hAnsi="宋体" w:eastAsia="宋体" w:cs="宋体"/>
          <w:color w:val="auto"/>
          <w:sz w:val="24"/>
          <w:szCs w:val="24"/>
        </w:rPr>
        <w:t>出具的谈判担保函复印件，上述证明材料真实有效，否则我方负全部责任。</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2.1成立年限满1年及以上的供应商，提供经审计的上一年度的年度财务报告。</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pPr>
        <w:pStyle w:val="83"/>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※无法按照本格式注意事项第2.1、2.2条规定提供财务报告复印件的供应商，应按照本格式注意事项的要求选择提供资信证明复印件或谈判担保函复印件。</w:t>
      </w:r>
    </w:p>
    <w:p>
      <w:pPr>
        <w:pStyle w:val="83"/>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供应商提供的相应证明材料复印件均应符合：内容完整、清晰、整洁，并由供应商加盖其单位公章。</w:t>
      </w:r>
    </w:p>
    <w:p>
      <w:pPr>
        <w:pStyle w:val="83"/>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、对于接受联合体形式的谈判且供应商是联合体的，则联合体各成员都应当提交本资格证明文件。</w:t>
      </w:r>
    </w:p>
    <w:p>
      <w:pPr>
        <w:pStyle w:val="83"/>
        <w:keepNext w:val="0"/>
        <w:keepLines w:val="0"/>
        <w:pageBreakBefore w:val="0"/>
        <w:widowControl/>
        <w:kinsoku/>
        <w:wordWrap/>
        <w:overflowPunct/>
        <w:topLinePunct w:val="0"/>
        <w:autoSpaceDE/>
        <w:autoSpaceDN/>
        <w:bidi w:val="0"/>
        <w:adjustRightInd/>
        <w:snapToGrid/>
        <w:spacing w:line="360" w:lineRule="auto"/>
        <w:ind w:left="668" w:leftChars="235" w:hanging="175" w:hangingChars="7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（全称并加盖公章）</w:t>
      </w:r>
    </w:p>
    <w:p>
      <w:pPr>
        <w:pStyle w:val="8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1、依法缴纳税收的供应商</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（）法人（包括企业、事业单位和社会团体）的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现附上自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日期间我方缴纳（包括但不限于税务机关出具的专用收据、税收缴纳证明或税收代缴银行的缴款收讫凭证）等税收凭据复印件，上述证明材料真实有效，否则我方负全部责任。</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（）非法人（包括其他组织、自然人）的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日期间我方缴纳（包括但不限于税务机关出具的专用收据、税收缴纳证明或税收代缴银行的缴款收讫凭证）等税收凭据复印件，上述证明材料真实有效，否则我方负全部责任。</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2、依法减免税收的供应商</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（）现附上我方依法免税证明材料复印件，上述证明材料真实有效，否则我方负全部责任。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2、供应商提供的税收凭据复印件应符合下列规定：</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2.3若为依法免税范围的供应商，提供依法免税证明材料的，视同满足本项资格条件要求。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（全称并加盖公章）</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1、依法缴纳社会保障资金的供应商</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（）法人（包括企业、事业单位和社会团体）的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（）非法人（包括其他组织、自然人）的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自年月日至年月日我方缴纳的社会保险凭据（限：税务机关/社会保障资金管理机关的专用收据或社会保险缴纳清单，或社会保险的银行缴款收讫凭证）复印件，上述证明材料真实有效，否则我方负全部责任。</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2、依法不需要缴纳或暂缓缴纳社会保障资金的供应商</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（）现附上我方依法不需要缴纳社会保障资金证明材料复印件，上述证明材料真实有效，否则我方负全部责任。</w:t>
      </w:r>
      <w:r>
        <w:rPr>
          <w:rFonts w:hint="eastAsia" w:ascii="宋体" w:hAnsi="宋体" w:eastAsia="宋体" w:cs="宋体"/>
          <w:color w:val="auto"/>
          <w:sz w:val="24"/>
          <w:szCs w:val="24"/>
        </w:rPr>
        <w:br w:type="textWrapping"/>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2、供应商提供的社会保险凭据复印件应符合下列规定：</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（全称并加盖公章）</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r>
        <w:rPr>
          <w:rFonts w:hint="eastAsia" w:ascii="宋体" w:hAnsi="宋体" w:eastAsia="宋体" w:cs="宋体"/>
          <w:b/>
          <w:color w:val="auto"/>
          <w:sz w:val="24"/>
          <w:szCs w:val="24"/>
        </w:rPr>
        <w:t>具备履行合同所必需设备和专业技术能力证明材料</w:t>
      </w: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声明函</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spacing w:line="360" w:lineRule="auto"/>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3.对于接受联合体形式的谈判且供应商是联合体的，则联合体各成员都应当提交本资格证明文件。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（全称并加盖公章）</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r>
        <w:rPr>
          <w:rFonts w:hint="eastAsia" w:ascii="宋体" w:hAnsi="宋体" w:eastAsia="宋体" w:cs="宋体"/>
          <w:b/>
          <w:color w:val="auto"/>
          <w:sz w:val="24"/>
          <w:szCs w:val="24"/>
        </w:rPr>
        <w:t>参加采购活动前三年内在经营活动中没有重大违法记录书面声明</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（全称并加盖公章）</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b/>
          <w:color w:val="auto"/>
          <w:sz w:val="24"/>
          <w:szCs w:val="24"/>
        </w:rPr>
      </w:pPr>
    </w:p>
    <w:p>
      <w:pPr>
        <w:pStyle w:val="83"/>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-5 信用记录查询结果</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1、由谈判小组通过网站查询并打印供应商的信用记录。</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83"/>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21"/>
        <w:spacing w:line="300" w:lineRule="exact"/>
        <w:rPr>
          <w:rStyle w:val="28"/>
          <w:rFonts w:hint="eastAsia" w:ascii="宋体" w:hAnsi="宋体" w:eastAsia="宋体" w:cs="宋体"/>
          <w:color w:val="auto"/>
          <w:highlight w:val="none"/>
        </w:rPr>
      </w:pPr>
      <w:r>
        <w:rPr>
          <w:color w:val="auto"/>
        </w:rPr>
        <w:br w:type="textWrapping"/>
      </w:r>
      <w:r>
        <w:rPr>
          <w:color w:val="auto"/>
        </w:rPr>
        <w:br w:type="page"/>
      </w:r>
      <w:r>
        <w:rPr>
          <w:rFonts w:hint="eastAsia" w:ascii="宋体" w:hAnsi="宋体" w:eastAsia="宋体" w:cs="宋体"/>
          <w:color w:val="auto"/>
          <w:szCs w:val="24"/>
          <w:highlight w:val="none"/>
        </w:rPr>
        <w:t>附件2-</w:t>
      </w: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rPr>
        <w:t>      </w:t>
      </w:r>
      <w:r>
        <w:rPr>
          <w:rStyle w:val="28"/>
          <w:rFonts w:hint="eastAsia" w:ascii="宋体" w:hAnsi="宋体" w:eastAsia="宋体" w:cs="宋体"/>
          <w:color w:val="auto"/>
          <w:highlight w:val="none"/>
        </w:rPr>
        <w:t>  </w:t>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18" w:lineRule="atLeast"/>
        <w:jc w:val="center"/>
        <w:rPr>
          <w:rStyle w:val="28"/>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其它资格证明文件</w:t>
      </w:r>
    </w:p>
    <w:p>
      <w:pPr>
        <w:pStyle w:val="21"/>
        <w:spacing w:before="76" w:after="76" w:line="18" w:lineRule="atLeast"/>
        <w:jc w:val="center"/>
        <w:rPr>
          <w:rFonts w:hint="eastAsia" w:ascii="宋体" w:hAnsi="宋体" w:eastAsia="宋体" w:cs="宋体"/>
          <w:color w:val="auto"/>
          <w:szCs w:val="24"/>
          <w:highlight w:val="none"/>
        </w:rPr>
      </w:pPr>
      <w:r>
        <w:rPr>
          <w:rStyle w:val="28"/>
          <w:rFonts w:hint="eastAsia" w:ascii="宋体" w:hAnsi="宋体" w:eastAsia="宋体" w:cs="宋体"/>
          <w:color w:val="auto"/>
          <w:highlight w:val="none"/>
        </w:rPr>
        <w:t>（若有）</w:t>
      </w:r>
    </w:p>
    <w:p>
      <w:pPr>
        <w:pStyle w:val="21"/>
        <w:spacing w:before="76" w:after="76"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或采购代理机构可以根据项目的特点和需要，在竞争性磋商文件“供应商的资格”中特定资格条件，对其它资格证明文件进行具体规定，供应商应按照竞争性磋商文件要求，在此项下提供相关证明材料，并加盖供应商单位公章。</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2、若竞争性磋商文件规定接受联合体形式且供应商为联合体的，涉及联合体成员的其它资格证明文件在此处提供相关证明材料，并加盖供应商单位公章。</w:t>
      </w: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widowControl/>
        <w:jc w:val="left"/>
        <w:rPr>
          <w:rFonts w:hint="eastAsia" w:ascii="宋体" w:hAnsi="宋体" w:eastAsia="宋体" w:cs="宋体"/>
          <w:color w:val="auto"/>
          <w:kern w:val="0"/>
          <w:sz w:val="24"/>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        </w:t>
      </w:r>
    </w:p>
    <w:p>
      <w:pPr>
        <w:tabs>
          <w:tab w:val="left" w:pos="5355"/>
        </w:tabs>
        <w:spacing w:line="500" w:lineRule="exac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代理</w:t>
      </w:r>
      <w:r>
        <w:rPr>
          <w:rFonts w:hint="eastAsia" w:ascii="宋体" w:hAnsi="宋体" w:eastAsia="宋体" w:cs="宋体"/>
          <w:b/>
          <w:color w:val="auto"/>
          <w:sz w:val="32"/>
          <w:szCs w:val="32"/>
          <w:highlight w:val="none"/>
        </w:rPr>
        <w:t>服务费缴交承诺书</w:t>
      </w:r>
    </w:p>
    <w:p>
      <w:pPr>
        <w:tabs>
          <w:tab w:val="left" w:pos="5355"/>
        </w:tabs>
        <w:spacing w:line="300" w:lineRule="exact"/>
        <w:rPr>
          <w:rFonts w:hint="eastAsia" w:ascii="宋体" w:hAnsi="宋体" w:eastAsia="宋体" w:cs="宋体"/>
          <w:color w:val="auto"/>
          <w:sz w:val="24"/>
          <w:highlight w:val="none"/>
        </w:rPr>
      </w:pPr>
    </w:p>
    <w:p>
      <w:pPr>
        <w:tabs>
          <w:tab w:val="left" w:pos="5355"/>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泉州市嘉隆招标代理有限公司：</w:t>
      </w:r>
    </w:p>
    <w:p>
      <w:pPr>
        <w:tabs>
          <w:tab w:val="left" w:pos="5355"/>
        </w:tabs>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司在贵公司组织的项目竞争性磋商采购中报价（项目编号：），如获成交，我们将按竞争性磋商文件的规定，以电汇、现金或经贵公司认可的其他付款方式，向贵公司缴交代理服务费。否则，你司可另推成交候选供应商。</w:t>
      </w:r>
    </w:p>
    <w:p>
      <w:pPr>
        <w:tabs>
          <w:tab w:val="left" w:pos="5355"/>
        </w:tabs>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我方如违反上述承诺，所提交的上述项目的磋商保证金将不予退还我方，我方对此无异议。</w:t>
      </w:r>
    </w:p>
    <w:p>
      <w:pPr>
        <w:tabs>
          <w:tab w:val="left" w:pos="5355"/>
        </w:tabs>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Style w:val="28"/>
          <w:rFonts w:hint="eastAsia" w:ascii="宋体" w:hAnsi="宋体" w:eastAsia="宋体" w:cs="宋体"/>
          <w:color w:val="auto"/>
          <w:sz w:val="28"/>
          <w:szCs w:val="28"/>
          <w:highlight w:val="none"/>
        </w:rPr>
      </w:pPr>
    </w:p>
    <w:p>
      <w:pPr>
        <w:pStyle w:val="21"/>
        <w:spacing w:before="75" w:after="75"/>
        <w:jc w:val="center"/>
        <w:rPr>
          <w:rFonts w:hint="eastAsia" w:ascii="宋体" w:hAnsi="宋体" w:eastAsia="宋体" w:cs="宋体"/>
          <w:color w:val="auto"/>
          <w:highlight w:val="none"/>
        </w:rPr>
      </w:pPr>
      <w:r>
        <w:rPr>
          <w:rStyle w:val="28"/>
          <w:rFonts w:hint="eastAsia" w:ascii="宋体" w:hAnsi="宋体" w:eastAsia="宋体" w:cs="宋体"/>
          <w:color w:val="auto"/>
          <w:sz w:val="28"/>
          <w:szCs w:val="28"/>
          <w:highlight w:val="none"/>
        </w:rPr>
        <w:t>封面格式</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highlight w:val="none"/>
        </w:rPr>
      </w:pPr>
      <w:r>
        <w:rPr>
          <w:rStyle w:val="28"/>
          <w:rFonts w:hint="eastAsia" w:ascii="宋体" w:hAnsi="宋体" w:eastAsia="宋体" w:cs="宋体"/>
          <w:color w:val="auto"/>
          <w:sz w:val="84"/>
          <w:szCs w:val="84"/>
          <w:highlight w:val="none"/>
        </w:rPr>
        <w:t>竞争性磋商</w:t>
      </w:r>
    </w:p>
    <w:p>
      <w:pPr>
        <w:pStyle w:val="21"/>
        <w:spacing w:before="75" w:after="75"/>
        <w:jc w:val="center"/>
        <w:rPr>
          <w:rFonts w:hint="eastAsia" w:ascii="宋体" w:hAnsi="宋体" w:eastAsia="宋体" w:cs="宋体"/>
          <w:color w:val="auto"/>
          <w:sz w:val="84"/>
          <w:szCs w:val="84"/>
          <w:highlight w:val="none"/>
        </w:rPr>
      </w:pPr>
      <w:r>
        <w:rPr>
          <w:rStyle w:val="28"/>
          <w:rFonts w:hint="eastAsia" w:ascii="宋体" w:hAnsi="宋体" w:eastAsia="宋体" w:cs="宋体"/>
          <w:color w:val="auto"/>
          <w:sz w:val="84"/>
          <w:szCs w:val="84"/>
          <w:highlight w:val="none"/>
        </w:rPr>
        <w:t>响应文件</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（报价部分）</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u w:val="single"/>
        </w:rPr>
        <w:t>（填写正本或副本）</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项目名称：</w:t>
      </w:r>
      <w:r>
        <w:rPr>
          <w:rStyle w:val="28"/>
          <w:rFonts w:hint="eastAsia" w:ascii="宋体" w:hAnsi="宋体" w:eastAsia="宋体" w:cs="宋体"/>
          <w:color w:val="auto"/>
          <w:sz w:val="28"/>
          <w:szCs w:val="28"/>
          <w:highlight w:val="none"/>
          <w:u w:val="single"/>
        </w:rPr>
        <w:t>（由供应商填写）</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项目编号：</w:t>
      </w:r>
      <w:r>
        <w:rPr>
          <w:rStyle w:val="28"/>
          <w:rFonts w:hint="eastAsia" w:ascii="宋体" w:hAnsi="宋体" w:eastAsia="宋体" w:cs="宋体"/>
          <w:color w:val="auto"/>
          <w:sz w:val="28"/>
          <w:szCs w:val="28"/>
          <w:highlight w:val="none"/>
          <w:u w:val="single"/>
        </w:rPr>
        <w:t>（由供应商填写）</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合同包：</w:t>
      </w:r>
      <w:r>
        <w:rPr>
          <w:rStyle w:val="28"/>
          <w:rFonts w:hint="eastAsia" w:ascii="宋体" w:hAnsi="宋体" w:eastAsia="宋体" w:cs="宋体"/>
          <w:color w:val="auto"/>
          <w:sz w:val="28"/>
          <w:szCs w:val="28"/>
          <w:highlight w:val="none"/>
          <w:u w:val="single"/>
        </w:rPr>
        <w:t>（由供应商填写）</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供应商：</w:t>
      </w:r>
      <w:r>
        <w:rPr>
          <w:rStyle w:val="28"/>
          <w:rFonts w:hint="eastAsia" w:ascii="宋体" w:hAnsi="宋体" w:eastAsia="宋体" w:cs="宋体"/>
          <w:color w:val="auto"/>
          <w:sz w:val="32"/>
          <w:szCs w:val="32"/>
          <w:highlight w:val="none"/>
          <w:u w:val="single"/>
        </w:rPr>
        <w:t>（填写“全称”）</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u w:val="single"/>
        </w:rPr>
        <w:t>（由供应商填写）</w:t>
      </w:r>
      <w:r>
        <w:rPr>
          <w:rStyle w:val="28"/>
          <w:rFonts w:hint="eastAsia" w:ascii="宋体" w:hAnsi="宋体" w:eastAsia="宋体" w:cs="宋体"/>
          <w:color w:val="auto"/>
          <w:sz w:val="32"/>
          <w:szCs w:val="32"/>
          <w:highlight w:val="none"/>
        </w:rPr>
        <w:t>年</w:t>
      </w:r>
      <w:r>
        <w:rPr>
          <w:rStyle w:val="28"/>
          <w:rFonts w:hint="eastAsia" w:ascii="宋体" w:hAnsi="宋体" w:eastAsia="宋体" w:cs="宋体"/>
          <w:color w:val="auto"/>
          <w:sz w:val="32"/>
          <w:szCs w:val="32"/>
          <w:highlight w:val="none"/>
          <w:u w:val="single"/>
        </w:rPr>
        <w:t>（由供应商填写）</w:t>
      </w:r>
      <w:r>
        <w:rPr>
          <w:rStyle w:val="28"/>
          <w:rFonts w:hint="eastAsia" w:ascii="宋体" w:hAnsi="宋体" w:eastAsia="宋体" w:cs="宋体"/>
          <w:color w:val="auto"/>
          <w:sz w:val="32"/>
          <w:szCs w:val="32"/>
          <w:highlight w:val="none"/>
        </w:rPr>
        <w:t>月</w:t>
      </w:r>
    </w:p>
    <w:p>
      <w:pPr>
        <w:pStyle w:val="21"/>
        <w:spacing w:line="600" w:lineRule="exact"/>
        <w:jc w:val="center"/>
        <w:rPr>
          <w:rStyle w:val="28"/>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索 引</w:t>
      </w:r>
    </w:p>
    <w:p>
      <w:pPr>
        <w:pStyle w:val="21"/>
        <w:spacing w:line="600" w:lineRule="exact"/>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一、报价一览表</w:t>
      </w:r>
    </w:p>
    <w:p>
      <w:pPr>
        <w:pStyle w:val="21"/>
        <w:spacing w:line="600" w:lineRule="exact"/>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二、详细报价书</w:t>
      </w:r>
    </w:p>
    <w:p>
      <w:pPr>
        <w:pStyle w:val="21"/>
        <w:spacing w:line="600" w:lineRule="exact"/>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rPr>
        <w:t>三、供应商提交符合政府采购政策的证明材料</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附件1</w:t>
      </w:r>
    </w:p>
    <w:p>
      <w:pPr>
        <w:pStyle w:val="21"/>
        <w:spacing w:before="76" w:after="76" w:line="18"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报价一览表</w:t>
      </w:r>
    </w:p>
    <w:p>
      <w:pPr>
        <w:pStyle w:val="21"/>
        <w:spacing w:before="76" w:after="76" w:line="37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375"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（全称加盖单位公章）</w:t>
      </w:r>
    </w:p>
    <w:p>
      <w:pPr>
        <w:pStyle w:val="21"/>
        <w:spacing w:before="76" w:after="76" w:line="37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 货币单位：元人民币</w:t>
      </w:r>
    </w:p>
    <w:tbl>
      <w:tblPr>
        <w:tblStyle w:val="2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5"/>
        <w:gridCol w:w="3752"/>
        <w:gridCol w:w="1801"/>
        <w:gridCol w:w="180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3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w:t>
            </w:r>
          </w:p>
        </w:tc>
        <w:tc>
          <w:tcPr>
            <w:tcW w:w="3752"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首次报价</w:t>
            </w:r>
          </w:p>
        </w:tc>
        <w:tc>
          <w:tcPr>
            <w:tcW w:w="1801" w:type="dxa"/>
            <w:shd w:val="clear" w:color="auto" w:fill="auto"/>
            <w:tcMar>
              <w:left w:w="105" w:type="dxa"/>
              <w:right w:w="105" w:type="dxa"/>
            </w:tcMar>
            <w:vAlign w:val="center"/>
          </w:tcPr>
          <w:p>
            <w:pPr>
              <w:pStyle w:val="21"/>
              <w:spacing w:line="465"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Cs w:val="24"/>
                <w:highlight w:val="none"/>
              </w:rPr>
              <w:t>交货期/工期/项目完成时间/服务时间</w:t>
            </w:r>
          </w:p>
        </w:tc>
        <w:tc>
          <w:tcPr>
            <w:tcW w:w="1801" w:type="dxa"/>
            <w:shd w:val="clear" w:color="auto" w:fill="auto"/>
            <w:tcMar>
              <w:left w:w="105" w:type="dxa"/>
              <w:right w:w="105" w:type="dxa"/>
            </w:tcMar>
            <w:vAlign w:val="center"/>
          </w:tcPr>
          <w:p>
            <w:pPr>
              <w:pStyle w:val="21"/>
              <w:spacing w:line="465"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Cs w:val="24"/>
                <w:highlight w:val="none"/>
              </w:rPr>
              <w:t>磋商保证金</w:t>
            </w:r>
          </w:p>
        </w:tc>
        <w:tc>
          <w:tcPr>
            <w:tcW w:w="100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3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3752"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0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3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3752"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0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3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3752"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0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3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3752"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0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35" w:type="dxa"/>
            <w:tcMar>
              <w:left w:w="105" w:type="dxa"/>
              <w:right w:w="105" w:type="dxa"/>
            </w:tcMar>
            <w:vAlign w:val="center"/>
          </w:tcPr>
          <w:p>
            <w:pPr>
              <w:pStyle w:val="21"/>
              <w:spacing w:line="46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3752"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80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0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bl>
    <w:p>
      <w:pPr>
        <w:pStyle w:val="21"/>
        <w:spacing w:before="76" w:after="76" w:line="37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备注：详细报价书另纸详列，格式自拟。报价应包含质保期外运维费用，承诺额外附加服务。</w:t>
      </w:r>
    </w:p>
    <w:p>
      <w:pPr>
        <w:pStyle w:val="21"/>
        <w:spacing w:before="76" w:after="76" w:line="375" w:lineRule="atLeast"/>
        <w:jc w:val="right"/>
        <w:rPr>
          <w:rFonts w:hint="eastAsia" w:ascii="宋体" w:hAnsi="宋体" w:eastAsia="宋体" w:cs="宋体"/>
          <w:color w:val="auto"/>
          <w:szCs w:val="24"/>
          <w:highlight w:val="none"/>
        </w:rPr>
      </w:pPr>
    </w:p>
    <w:p>
      <w:pPr>
        <w:pStyle w:val="21"/>
        <w:spacing w:before="76" w:after="76" w:line="375"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供应商代表：</w:t>
      </w:r>
      <w:r>
        <w:rPr>
          <w:rFonts w:hint="eastAsia" w:ascii="宋体" w:hAnsi="宋体" w:eastAsia="宋体" w:cs="宋体"/>
          <w:color w:val="auto"/>
          <w:szCs w:val="24"/>
          <w:highlight w:val="none"/>
          <w:u w:val="single"/>
        </w:rPr>
        <w:t>      （签字）</w:t>
      </w:r>
      <w:r>
        <w:rPr>
          <w:rFonts w:hint="eastAsia" w:ascii="宋体" w:hAnsi="宋体" w:eastAsia="宋体" w:cs="宋体"/>
          <w:color w:val="auto"/>
          <w:szCs w:val="24"/>
          <w:highlight w:val="none"/>
        </w:rPr>
        <w:t>   </w:t>
      </w:r>
    </w:p>
    <w:p>
      <w:pPr>
        <w:pStyle w:val="21"/>
        <w:spacing w:before="76" w:after="76" w:line="37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rPr>
        <w:br w:type="page"/>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                </w:t>
      </w:r>
    </w:p>
    <w:p>
      <w:pPr>
        <w:pStyle w:val="21"/>
        <w:spacing w:before="76" w:after="76" w:line="18"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详细报价书</w:t>
      </w:r>
    </w:p>
    <w:p>
      <w:pPr>
        <w:widowControl/>
        <w:spacing w:before="75" w:after="75" w:line="495" w:lineRule="atLeast"/>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说明：</w:t>
      </w:r>
    </w:p>
    <w:p>
      <w:pPr>
        <w:widowControl/>
        <w:spacing w:before="75" w:after="75" w:line="46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pStyle w:val="21"/>
        <w:spacing w:before="76" w:after="76" w:line="49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37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附件3    </w:t>
      </w:r>
    </w:p>
    <w:p>
      <w:pPr>
        <w:pStyle w:val="21"/>
        <w:spacing w:line="400" w:lineRule="exac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供应商提交符合政府采购政策的证明材料</w:t>
      </w:r>
    </w:p>
    <w:p>
      <w:pPr>
        <w:pStyle w:val="21"/>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附件3-1        </w:t>
      </w:r>
    </w:p>
    <w:p>
      <w:pPr>
        <w:pStyle w:val="21"/>
        <w:spacing w:line="400" w:lineRule="exact"/>
        <w:jc w:val="center"/>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中小企业声明函（若有）</w:t>
      </w:r>
    </w:p>
    <w:p>
      <w:pPr>
        <w:pStyle w:val="21"/>
        <w:widowControl/>
        <w:spacing w:before="75" w:after="75" w:line="360" w:lineRule="auto"/>
        <w:ind w:firstLine="28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中小企业声明函（货物）</w:t>
      </w:r>
    </w:p>
    <w:p>
      <w:pPr>
        <w:pStyle w:val="21"/>
        <w:widowControl/>
        <w:spacing w:before="75" w:after="75" w:line="360" w:lineRule="auto"/>
        <w:ind w:left="0" w:leftChars="0" w:firstLine="640" w:firstLine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21"/>
        <w:widowControl/>
        <w:spacing w:before="75" w:after="75" w:line="360" w:lineRule="auto"/>
        <w:ind w:left="0" w:leftChars="0" w:firstLine="640" w:firstLine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1.  （标的名称） ，属于（采购文件中明确的所属行业）行业；制造商为（企业名称），从业人员  人，营业收入为  万元，资产总额为  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，属于（中型企业、小型企业、微型企业）；</w:t>
      </w:r>
    </w:p>
    <w:p>
      <w:pPr>
        <w:pStyle w:val="21"/>
        <w:widowControl/>
        <w:spacing w:before="75" w:after="75" w:line="360" w:lineRule="auto"/>
        <w:ind w:left="0" w:leftChars="0" w:firstLine="640" w:firstLine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2.  （标的名称） ， 属 于 （采购文件中明确的所属行业 ）行业；制造商为（企业名称），从业人员  人，营业收入为  万元，资产总额为  万元，属于（中型企业、小型企业、微型企业）；</w:t>
      </w:r>
    </w:p>
    <w:p>
      <w:pPr>
        <w:pStyle w:val="21"/>
        <w:widowControl/>
        <w:spacing w:before="75" w:after="75" w:line="360" w:lineRule="auto"/>
        <w:ind w:firstLine="28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w:t>
      </w:r>
    </w:p>
    <w:p>
      <w:pPr>
        <w:pStyle w:val="21"/>
        <w:widowControl/>
        <w:spacing w:before="75" w:after="75" w:line="360" w:lineRule="auto"/>
        <w:ind w:firstLine="28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w:t>
      </w:r>
    </w:p>
    <w:p>
      <w:pPr>
        <w:pStyle w:val="39"/>
        <w:rPr>
          <w:rFonts w:hint="eastAsia" w:ascii="宋体" w:hAnsi="宋体" w:eastAsia="宋体" w:cs="宋体"/>
          <w:color w:val="auto"/>
          <w:highlight w:val="none"/>
          <w:lang w:eastAsia="zh-CN"/>
        </w:rPr>
      </w:pPr>
    </w:p>
    <w:p>
      <w:pPr>
        <w:pStyle w:val="21"/>
        <w:widowControl/>
        <w:spacing w:before="75" w:after="75"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以上企业，不属于大企业的分支机构，不存在控股股东为大企业的情形，也不存在与大企业的负责人为同一人的情形。</w:t>
      </w:r>
    </w:p>
    <w:p>
      <w:pPr>
        <w:pStyle w:val="39"/>
        <w:ind w:left="0" w:leftChars="0" w:firstLine="638" w:firstLineChars="266"/>
        <w:rPr>
          <w:rFonts w:hint="eastAsia" w:ascii="宋体" w:hAnsi="宋体" w:eastAsia="宋体" w:cs="宋体"/>
          <w:color w:val="auto"/>
          <w:highlight w:val="none"/>
          <w:lang w:eastAsia="zh-CN"/>
        </w:rPr>
      </w:pPr>
    </w:p>
    <w:p>
      <w:pPr>
        <w:pStyle w:val="21"/>
        <w:widowControl/>
        <w:spacing w:before="75" w:after="75"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本企业对上述声明内容的真实性负责。如有虚假，将依法承担相应责任。</w:t>
      </w:r>
    </w:p>
    <w:p>
      <w:pPr>
        <w:pStyle w:val="39"/>
        <w:ind w:left="0" w:leftChars="0" w:firstLine="638" w:firstLineChars="266"/>
        <w:rPr>
          <w:rFonts w:hint="eastAsia" w:ascii="宋体" w:hAnsi="宋体" w:eastAsia="宋体" w:cs="宋体"/>
          <w:color w:val="auto"/>
          <w:highlight w:val="none"/>
          <w:lang w:eastAsia="zh-CN"/>
        </w:rPr>
      </w:pPr>
    </w:p>
    <w:p>
      <w:pPr>
        <w:pStyle w:val="21"/>
        <w:widowControl/>
        <w:spacing w:before="75" w:after="75"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企业名称（盖章）：        </w:t>
      </w:r>
    </w:p>
    <w:p>
      <w:pPr>
        <w:pStyle w:val="21"/>
        <w:widowControl/>
        <w:spacing w:before="75" w:after="75"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日期：</w:t>
      </w:r>
    </w:p>
    <w:p>
      <w:pPr>
        <w:pStyle w:val="39"/>
        <w:ind w:left="0" w:leftChars="0" w:firstLine="638" w:firstLineChars="266"/>
        <w:rPr>
          <w:rFonts w:hint="eastAsia" w:ascii="宋体" w:hAnsi="宋体" w:eastAsia="宋体" w:cs="宋体"/>
          <w:color w:val="auto"/>
          <w:highlight w:val="none"/>
          <w:lang w:eastAsia="zh-CN"/>
        </w:rPr>
      </w:pPr>
    </w:p>
    <w:p>
      <w:pPr>
        <w:pStyle w:val="21"/>
        <w:widowControl/>
        <w:spacing w:before="75" w:after="75"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1从业人员、营业收入、资产总额填报上一年度数据，无上一年度数据的新成立企业可不填报。</w:t>
      </w:r>
    </w:p>
    <w:p>
      <w:pPr>
        <w:pStyle w:val="21"/>
        <w:widowControl/>
        <w:spacing w:before="75" w:after="75" w:line="360" w:lineRule="auto"/>
        <w:ind w:left="0" w:leftChars="0" w:firstLine="638" w:firstLineChars="266"/>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中小企业声明函（工程、服务）</w:t>
      </w:r>
    </w:p>
    <w:p>
      <w:pPr>
        <w:pStyle w:val="21"/>
        <w:widowControl/>
        <w:spacing w:before="75" w:after="75" w:line="360" w:lineRule="auto"/>
        <w:ind w:left="0" w:leftChars="0" w:firstLine="638" w:firstLineChars="266"/>
        <w:jc w:val="both"/>
        <w:rPr>
          <w:rFonts w:hint="eastAsia" w:ascii="宋体" w:hAnsi="宋体" w:eastAsia="宋体" w:cs="宋体"/>
          <w:color w:val="auto"/>
          <w:szCs w:val="24"/>
          <w:highlight w:val="none"/>
          <w:lang w:eastAsia="zh-CN"/>
        </w:rPr>
      </w:pPr>
    </w:p>
    <w:p>
      <w:pPr>
        <w:pStyle w:val="21"/>
        <w:widowControl/>
        <w:spacing w:before="75" w:after="75" w:line="360" w:lineRule="auto"/>
        <w:ind w:left="0" w:leftChars="0" w:firstLine="638" w:firstLineChars="266"/>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本公司（联合体）郑重声明，根据《政府采购促进中小企业发展管理办法》（财库﹝2020﹞46 号）的规定，本公司（联合体）参加</w:t>
      </w:r>
      <w:r>
        <w:rPr>
          <w:rFonts w:hint="eastAsia" w:ascii="宋体" w:hAnsi="宋体" w:eastAsia="宋体" w:cs="宋体"/>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1"/>
        <w:widowControl/>
        <w:spacing w:before="75" w:after="75" w:line="360" w:lineRule="auto"/>
        <w:ind w:left="0" w:leftChars="0" w:firstLine="638" w:firstLineChars="266"/>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1. （标的名称），属于（采购文件中明确的所属行业）；承建（承接）企业为（企业名称），从业人员  人，营业收入为  万元，资产总额为  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，属于（中型企业、小型企业、微型企业）；</w:t>
      </w:r>
    </w:p>
    <w:p>
      <w:pPr>
        <w:pStyle w:val="21"/>
        <w:spacing w:before="76" w:after="76"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2. （标的名称），属于（采购文件中明确的所属行业）；承建（承接）企业为（企业名称），从业人员  人，营业收入为  万元，资产总额为  万元，属于（中型企业、小型企业、微型企业）；</w:t>
      </w:r>
    </w:p>
    <w:p>
      <w:pPr>
        <w:pStyle w:val="39"/>
        <w:ind w:left="0" w:leftChars="0" w:firstLine="638" w:firstLineChars="266"/>
        <w:rPr>
          <w:rFonts w:hint="eastAsia" w:ascii="宋体" w:hAnsi="宋体" w:eastAsia="宋体" w:cs="宋体"/>
          <w:color w:val="auto"/>
          <w:highlight w:val="none"/>
          <w:lang w:eastAsia="zh-CN"/>
        </w:rPr>
      </w:pPr>
    </w:p>
    <w:p>
      <w:pPr>
        <w:pStyle w:val="21"/>
        <w:spacing w:before="76" w:after="76"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w:t>
      </w:r>
    </w:p>
    <w:p>
      <w:pPr>
        <w:pStyle w:val="39"/>
        <w:ind w:left="0" w:leftChars="0" w:firstLine="638" w:firstLineChars="266"/>
        <w:rPr>
          <w:rFonts w:hint="eastAsia" w:ascii="宋体" w:hAnsi="宋体" w:eastAsia="宋体" w:cs="宋体"/>
          <w:color w:val="auto"/>
          <w:highlight w:val="none"/>
          <w:lang w:eastAsia="zh-CN"/>
        </w:rPr>
      </w:pPr>
    </w:p>
    <w:p>
      <w:pPr>
        <w:pStyle w:val="21"/>
        <w:spacing w:before="76" w:after="76"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以上企业，不属于大企业的分支机构，不存在控股股东为大企业的情形，也不存在与大企业的负责人为同一人的情形。</w:t>
      </w:r>
    </w:p>
    <w:p>
      <w:pPr>
        <w:pStyle w:val="39"/>
        <w:ind w:left="0" w:leftChars="0" w:firstLine="638" w:firstLineChars="266"/>
        <w:rPr>
          <w:rFonts w:hint="eastAsia" w:ascii="宋体" w:hAnsi="宋体" w:eastAsia="宋体" w:cs="宋体"/>
          <w:color w:val="auto"/>
          <w:highlight w:val="none"/>
          <w:lang w:eastAsia="zh-CN"/>
        </w:rPr>
      </w:pPr>
    </w:p>
    <w:p>
      <w:pPr>
        <w:pStyle w:val="21"/>
        <w:spacing w:before="76" w:after="76"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本企业对上述声明内容的真实性负责。如有虚假，将依法承担相应责任。</w:t>
      </w:r>
    </w:p>
    <w:p>
      <w:pPr>
        <w:pStyle w:val="39"/>
        <w:ind w:left="0" w:leftChars="0" w:firstLine="638" w:firstLineChars="266"/>
        <w:rPr>
          <w:rFonts w:hint="eastAsia" w:ascii="宋体" w:hAnsi="宋体" w:eastAsia="宋体" w:cs="宋体"/>
          <w:color w:val="auto"/>
          <w:highlight w:val="none"/>
          <w:lang w:eastAsia="zh-CN"/>
        </w:rPr>
      </w:pPr>
    </w:p>
    <w:p>
      <w:pPr>
        <w:pStyle w:val="21"/>
        <w:spacing w:before="76" w:after="76" w:line="360" w:lineRule="auto"/>
        <w:ind w:left="0" w:leftChars="0" w:firstLine="638" w:firstLineChars="266"/>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    </w:t>
      </w:r>
    </w:p>
    <w:p>
      <w:pPr>
        <w:pStyle w:val="21"/>
        <w:spacing w:before="76" w:after="76" w:line="360" w:lineRule="auto"/>
        <w:ind w:left="0" w:leftChars="0" w:firstLine="638" w:firstLineChars="266"/>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日期：</w:t>
      </w:r>
    </w:p>
    <w:p>
      <w:pPr>
        <w:pStyle w:val="39"/>
        <w:ind w:left="0" w:leftChars="0" w:firstLine="638" w:firstLineChars="266"/>
        <w:rPr>
          <w:rFonts w:hint="eastAsia" w:ascii="宋体" w:hAnsi="宋体" w:eastAsia="宋体" w:cs="宋体"/>
          <w:color w:val="auto"/>
          <w:highlight w:val="none"/>
          <w:lang w:eastAsia="zh-CN"/>
        </w:rPr>
      </w:pPr>
    </w:p>
    <w:p>
      <w:pPr>
        <w:pStyle w:val="21"/>
        <w:spacing w:before="76" w:after="76" w:line="360" w:lineRule="auto"/>
        <w:ind w:left="0" w:leftChars="0" w:firstLine="638" w:firstLineChars="26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1从业人员、营业收入、资产总额填报上一年度数据，无上一年度数据的新成立企业可不填报。</w:t>
      </w:r>
    </w:p>
    <w:p>
      <w:pPr>
        <w:pStyle w:val="39"/>
        <w:rPr>
          <w:rFonts w:hint="eastAsia" w:ascii="宋体" w:hAnsi="宋体" w:eastAsia="宋体" w:cs="宋体"/>
          <w:color w:val="auto"/>
          <w:highlight w:val="none"/>
          <w:lang w:eastAsia="zh-CN"/>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附件3-2</w:t>
      </w:r>
    </w:p>
    <w:p>
      <w:pPr>
        <w:pStyle w:val="21"/>
        <w:spacing w:before="76" w:after="76" w:line="18" w:lineRule="atLeast"/>
        <w:jc w:val="center"/>
        <w:rPr>
          <w:rFonts w:hint="eastAsia" w:ascii="宋体" w:hAnsi="宋体" w:eastAsia="宋体" w:cs="宋体"/>
          <w:color w:val="auto"/>
          <w:sz w:val="22"/>
          <w:szCs w:val="22"/>
          <w:highlight w:val="none"/>
        </w:rPr>
      </w:pPr>
      <w:r>
        <w:rPr>
          <w:rStyle w:val="28"/>
          <w:rFonts w:hint="eastAsia" w:ascii="宋体" w:hAnsi="宋体" w:eastAsia="宋体" w:cs="宋体"/>
          <w:color w:val="auto"/>
          <w:sz w:val="28"/>
          <w:szCs w:val="28"/>
          <w:highlight w:val="none"/>
        </w:rPr>
        <w:t>残疾人福利性单位声明函（若有）</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szCs w:val="24"/>
          <w:highlight w:val="none"/>
          <w:u w:val="single"/>
        </w:rPr>
        <w:t>（填写“项目名称”）</w:t>
      </w:r>
      <w:r>
        <w:rPr>
          <w:rFonts w:hint="eastAsia" w:ascii="宋体" w:hAnsi="宋体" w:eastAsia="宋体" w:cs="宋体"/>
          <w:color w:val="auto"/>
          <w:szCs w:val="24"/>
          <w:highlight w:val="none"/>
        </w:rPr>
        <w:t>项目采购活动：</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）提供本供应商制造的</w:t>
      </w:r>
      <w:r>
        <w:rPr>
          <w:rFonts w:hint="eastAsia" w:ascii="宋体" w:hAnsi="宋体" w:eastAsia="宋体" w:cs="宋体"/>
          <w:color w:val="auto"/>
          <w:szCs w:val="24"/>
          <w:highlight w:val="none"/>
          <w:u w:val="single"/>
        </w:rPr>
        <w:t>（填写“所投合同包、品目号”）</w:t>
      </w:r>
      <w:r>
        <w:rPr>
          <w:rFonts w:hint="eastAsia" w:ascii="宋体" w:hAnsi="宋体" w:eastAsia="宋体" w:cs="宋体"/>
          <w:color w:val="auto"/>
          <w:szCs w:val="24"/>
          <w:highlight w:val="none"/>
        </w:rPr>
        <w:t>货物，</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）由本供应商承担的</w:t>
      </w:r>
      <w:r>
        <w:rPr>
          <w:rFonts w:hint="eastAsia" w:ascii="宋体" w:hAnsi="宋体" w:eastAsia="宋体" w:cs="宋体"/>
          <w:color w:val="auto"/>
          <w:szCs w:val="24"/>
          <w:highlight w:val="none"/>
          <w:u w:val="single"/>
        </w:rPr>
        <w:t>（填写“所投合同包、品目号”）</w:t>
      </w:r>
      <w:r>
        <w:rPr>
          <w:rFonts w:hint="eastAsia" w:ascii="宋体" w:hAnsi="宋体" w:eastAsia="宋体" w:cs="宋体"/>
          <w:color w:val="auto"/>
          <w:szCs w:val="24"/>
          <w:highlight w:val="none"/>
        </w:rPr>
        <w:t>工程，</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）由本供应商提供的</w:t>
      </w:r>
      <w:r>
        <w:rPr>
          <w:rFonts w:hint="eastAsia" w:ascii="宋体" w:hAnsi="宋体" w:eastAsia="宋体" w:cs="宋体"/>
          <w:color w:val="auto"/>
          <w:szCs w:val="24"/>
          <w:highlight w:val="none"/>
          <w:u w:val="single"/>
        </w:rPr>
        <w:t>（填写“所投合同包、品目号”）</w:t>
      </w:r>
      <w:r>
        <w:rPr>
          <w:rFonts w:hint="eastAsia" w:ascii="宋体" w:hAnsi="宋体" w:eastAsia="宋体" w:cs="宋体"/>
          <w:color w:val="auto"/>
          <w:szCs w:val="24"/>
          <w:highlight w:val="none"/>
        </w:rPr>
        <w:t>服务；或</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）提供其他残疾人福利性单位制造的</w:t>
      </w:r>
      <w:r>
        <w:rPr>
          <w:rFonts w:hint="eastAsia" w:ascii="宋体" w:hAnsi="宋体" w:eastAsia="宋体" w:cs="宋体"/>
          <w:color w:val="auto"/>
          <w:szCs w:val="24"/>
          <w:highlight w:val="none"/>
          <w:u w:val="single"/>
        </w:rPr>
        <w:t>（填写“所投合同包、品目号”）</w:t>
      </w:r>
      <w:r>
        <w:rPr>
          <w:rFonts w:hint="eastAsia" w:ascii="宋体" w:hAnsi="宋体" w:eastAsia="宋体" w:cs="宋体"/>
          <w:color w:val="auto"/>
          <w:szCs w:val="24"/>
          <w:highlight w:val="none"/>
        </w:rPr>
        <w:t>货物（不包括使用非残疾人福利性单位注册商标的货物）。</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本供应商对上述声明的真实性负责。如有虚假，将依法承担相应责任。</w:t>
      </w:r>
    </w:p>
    <w:p>
      <w:pPr>
        <w:pStyle w:val="21"/>
        <w:spacing w:before="76" w:after="76" w:line="435" w:lineRule="atLeast"/>
        <w:ind w:firstLine="42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35"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400" w:lineRule="exact"/>
        <w:rPr>
          <w:rFonts w:hint="eastAsia" w:ascii="宋体" w:hAnsi="宋体" w:eastAsia="宋体" w:cs="宋体"/>
          <w:color w:val="auto"/>
          <w:szCs w:val="24"/>
          <w:highlight w:val="none"/>
        </w:rPr>
      </w:pPr>
    </w:p>
    <w:p>
      <w:pPr>
        <w:pStyle w:val="21"/>
        <w:spacing w:before="76" w:after="76"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（2）请供应商按照实际情况编制填写本声明函，并在相应的（）中打“√”。</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（3）响应文件正本中的本声明函（若有）应为原件。</w:t>
      </w:r>
    </w:p>
    <w:p>
      <w:pPr>
        <w:pStyle w:val="21"/>
        <w:spacing w:before="76" w:after="76"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（4）若《残疾人福利性单位声明函》内容不真实，视为提供虚假材料。</w:t>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附件3-3</w:t>
      </w:r>
    </w:p>
    <w:p>
      <w:pPr>
        <w:pStyle w:val="21"/>
        <w:spacing w:before="76" w:after="76" w:line="18" w:lineRule="atLeast"/>
        <w:jc w:val="center"/>
        <w:rPr>
          <w:rStyle w:val="28"/>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节能产品（非强制类）、环境标志产品价格扣除证明材料（若有）</w:t>
      </w:r>
    </w:p>
    <w:tbl>
      <w:tblPr>
        <w:tblStyle w:val="25"/>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0"/>
        <w:gridCol w:w="990"/>
        <w:gridCol w:w="1545"/>
        <w:gridCol w:w="1470"/>
        <w:gridCol w:w="795"/>
        <w:gridCol w:w="1575"/>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030"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8270" w:type="dxa"/>
            <w:gridSpan w:val="6"/>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1030"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w:t>
            </w:r>
          </w:p>
        </w:tc>
        <w:tc>
          <w:tcPr>
            <w:tcW w:w="990"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品目号</w:t>
            </w:r>
          </w:p>
        </w:tc>
        <w:tc>
          <w:tcPr>
            <w:tcW w:w="1545"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1470"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最后报价单价</w:t>
            </w:r>
          </w:p>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（现场）</w:t>
            </w:r>
          </w:p>
        </w:tc>
        <w:tc>
          <w:tcPr>
            <w:tcW w:w="795"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w:t>
            </w:r>
          </w:p>
        </w:tc>
        <w:tc>
          <w:tcPr>
            <w:tcW w:w="1575"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最后报价总价</w:t>
            </w:r>
          </w:p>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（现场）</w:t>
            </w:r>
          </w:p>
        </w:tc>
        <w:tc>
          <w:tcPr>
            <w:tcW w:w="1895"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030" w:type="dxa"/>
            <w:vMerge w:val="restart"/>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990"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54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1470"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79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157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189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030" w:type="dxa"/>
            <w:vMerge w:val="continue"/>
            <w:tcMar>
              <w:left w:w="105" w:type="dxa"/>
              <w:right w:w="105" w:type="dxa"/>
            </w:tcMar>
          </w:tcPr>
          <w:p>
            <w:pPr>
              <w:rPr>
                <w:rFonts w:hint="eastAsia" w:ascii="宋体" w:hAnsi="宋体" w:eastAsia="宋体" w:cs="宋体"/>
                <w:color w:val="auto"/>
                <w:sz w:val="24"/>
                <w:szCs w:val="24"/>
                <w:highlight w:val="none"/>
              </w:rPr>
            </w:pPr>
          </w:p>
        </w:tc>
        <w:tc>
          <w:tcPr>
            <w:tcW w:w="990"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54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1470"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79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157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c>
          <w:tcPr>
            <w:tcW w:w="1895" w:type="dxa"/>
            <w:tcMar>
              <w:left w:w="105" w:type="dxa"/>
              <w:right w:w="105" w:type="dxa"/>
            </w:tcMar>
          </w:tcPr>
          <w:p>
            <w:pPr>
              <w:spacing w:line="18" w:lineRule="atLeast"/>
              <w:jc w:val="left"/>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1030" w:type="dxa"/>
            <w:tcMar>
              <w:left w:w="105" w:type="dxa"/>
              <w:right w:w="105" w:type="dxa"/>
            </w:tcMar>
          </w:tcPr>
          <w:p>
            <w:pPr>
              <w:pStyle w:val="21"/>
              <w:spacing w:line="18"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8270" w:type="dxa"/>
            <w:gridSpan w:val="6"/>
            <w:tcMar>
              <w:left w:w="105" w:type="dxa"/>
              <w:right w:w="105" w:type="dxa"/>
            </w:tcMar>
          </w:tcPr>
          <w:p>
            <w:pPr>
              <w:pStyle w:val="21"/>
              <w:spacing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a.本合同包内属于节能、环境标志产品的合计最后报价总金额：      ；</w:t>
            </w:r>
          </w:p>
          <w:p>
            <w:pPr>
              <w:pStyle w:val="21"/>
              <w:spacing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b.本合同包最后报价总价：            ；</w:t>
            </w:r>
          </w:p>
          <w:p>
            <w:pPr>
              <w:pStyle w:val="21"/>
              <w:spacing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c.本合同包内属于节能、环境标志产品的合计最后报价总金额占本合同包最后报价总价的比例（以%列示）：           。</w:t>
            </w:r>
          </w:p>
        </w:tc>
      </w:tr>
    </w:tbl>
    <w:p>
      <w:pPr>
        <w:pStyle w:val="21"/>
        <w:spacing w:before="76" w:after="76" w:line="18" w:lineRule="atLeas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3.具体统计、计算：</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3.1若同一合同包内的单个或多个货物取得或同时取得节能、环境标志产品等两项或多项认证的，均按照单个货物对应一项认证的原则统计、计算1次。</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3.2计算结果若除不尽，可四舍五入保留到小数点后两位。</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3.3供应商应按照竞争性磋商文件上表要求认真统计、计算，否则磋商小组可不予认定。</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3.4若无节能、环境标志产品，不填写本表，否则，视为提供虚假材料。</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3.5属于政府强制采购的节能产品不享受价格扣除。</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表以合同包为单位，不同合同包请分别填写；同一合同包请按照顺序分别填写，以方便磋商小组审阅。供应商在提交最后报价时，如果没有同时向磋商小组提交上表内容并附相应证明资料，视同为供应商的产品不属于节能、环境标志产品，不享受价格扣除的优惠政策。</w:t>
      </w:r>
    </w:p>
    <w:p>
      <w:pPr>
        <w:pStyle w:val="21"/>
        <w:spacing w:before="76" w:after="76"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5、响应文件正本中的本表（若有）应为原件。</w:t>
      </w: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5" w:after="75"/>
        <w:jc w:val="center"/>
        <w:rPr>
          <w:rFonts w:hint="eastAsia" w:ascii="宋体" w:hAnsi="宋体" w:eastAsia="宋体" w:cs="宋体"/>
          <w:color w:val="auto"/>
          <w:highlight w:val="none"/>
        </w:rPr>
      </w:pPr>
      <w:r>
        <w:rPr>
          <w:rStyle w:val="28"/>
          <w:rFonts w:hint="eastAsia" w:ascii="宋体" w:hAnsi="宋体" w:eastAsia="宋体" w:cs="宋体"/>
          <w:color w:val="auto"/>
          <w:sz w:val="28"/>
          <w:szCs w:val="28"/>
          <w:highlight w:val="none"/>
        </w:rPr>
        <w:t>封面格式</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highlight w:val="none"/>
        </w:rPr>
      </w:pPr>
      <w:r>
        <w:rPr>
          <w:rStyle w:val="28"/>
          <w:rFonts w:hint="eastAsia" w:ascii="宋体" w:hAnsi="宋体" w:eastAsia="宋体" w:cs="宋体"/>
          <w:color w:val="auto"/>
          <w:sz w:val="84"/>
          <w:szCs w:val="84"/>
          <w:highlight w:val="none"/>
        </w:rPr>
        <w:t>竞争性磋商</w:t>
      </w:r>
    </w:p>
    <w:p>
      <w:pPr>
        <w:pStyle w:val="21"/>
        <w:spacing w:before="75" w:after="75"/>
        <w:jc w:val="center"/>
        <w:rPr>
          <w:rFonts w:hint="eastAsia" w:ascii="宋体" w:hAnsi="宋体" w:eastAsia="宋体" w:cs="宋体"/>
          <w:color w:val="auto"/>
          <w:sz w:val="84"/>
          <w:szCs w:val="84"/>
          <w:highlight w:val="none"/>
        </w:rPr>
      </w:pPr>
      <w:r>
        <w:rPr>
          <w:rStyle w:val="28"/>
          <w:rFonts w:hint="eastAsia" w:ascii="宋体" w:hAnsi="宋体" w:eastAsia="宋体" w:cs="宋体"/>
          <w:color w:val="auto"/>
          <w:sz w:val="84"/>
          <w:szCs w:val="84"/>
          <w:highlight w:val="none"/>
        </w:rPr>
        <w:t>响应文件</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（技术商务部分）</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u w:val="single"/>
        </w:rPr>
        <w:t>（填写正本或副本）</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项目名称：</w:t>
      </w:r>
      <w:r>
        <w:rPr>
          <w:rStyle w:val="28"/>
          <w:rFonts w:hint="eastAsia" w:ascii="宋体" w:hAnsi="宋体" w:eastAsia="宋体" w:cs="宋体"/>
          <w:color w:val="auto"/>
          <w:sz w:val="28"/>
          <w:szCs w:val="28"/>
          <w:highlight w:val="none"/>
          <w:u w:val="single"/>
        </w:rPr>
        <w:t>（由供应商填写）</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项目编号：</w:t>
      </w:r>
      <w:r>
        <w:rPr>
          <w:rStyle w:val="28"/>
          <w:rFonts w:hint="eastAsia" w:ascii="宋体" w:hAnsi="宋体" w:eastAsia="宋体" w:cs="宋体"/>
          <w:color w:val="auto"/>
          <w:sz w:val="28"/>
          <w:szCs w:val="28"/>
          <w:highlight w:val="none"/>
          <w:u w:val="single"/>
        </w:rPr>
        <w:t>（由供应商填写）</w:t>
      </w:r>
    </w:p>
    <w:p>
      <w:pPr>
        <w:pStyle w:val="21"/>
        <w:spacing w:before="75" w:after="75"/>
        <w:ind w:firstLine="1920"/>
        <w:rPr>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合同包：</w:t>
      </w:r>
      <w:r>
        <w:rPr>
          <w:rStyle w:val="28"/>
          <w:rFonts w:hint="eastAsia" w:ascii="宋体" w:hAnsi="宋体" w:eastAsia="宋体" w:cs="宋体"/>
          <w:color w:val="auto"/>
          <w:sz w:val="28"/>
          <w:szCs w:val="28"/>
          <w:highlight w:val="none"/>
          <w:u w:val="single"/>
        </w:rPr>
        <w:t>（由供应商填写）</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供应商：</w:t>
      </w:r>
      <w:r>
        <w:rPr>
          <w:rStyle w:val="28"/>
          <w:rFonts w:hint="eastAsia" w:ascii="宋体" w:hAnsi="宋体" w:eastAsia="宋体" w:cs="宋体"/>
          <w:color w:val="auto"/>
          <w:sz w:val="32"/>
          <w:szCs w:val="32"/>
          <w:highlight w:val="none"/>
          <w:u w:val="single"/>
        </w:rPr>
        <w:t>（填写“全称”）</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u w:val="single"/>
        </w:rPr>
        <w:t>（由供应商填写）</w:t>
      </w:r>
      <w:r>
        <w:rPr>
          <w:rStyle w:val="28"/>
          <w:rFonts w:hint="eastAsia" w:ascii="宋体" w:hAnsi="宋体" w:eastAsia="宋体" w:cs="宋体"/>
          <w:color w:val="auto"/>
          <w:sz w:val="32"/>
          <w:szCs w:val="32"/>
          <w:highlight w:val="none"/>
        </w:rPr>
        <w:t>年</w:t>
      </w:r>
      <w:r>
        <w:rPr>
          <w:rStyle w:val="28"/>
          <w:rFonts w:hint="eastAsia" w:ascii="宋体" w:hAnsi="宋体" w:eastAsia="宋体" w:cs="宋体"/>
          <w:color w:val="auto"/>
          <w:sz w:val="32"/>
          <w:szCs w:val="32"/>
          <w:highlight w:val="none"/>
          <w:u w:val="single"/>
        </w:rPr>
        <w:t>（由供应商填写）</w:t>
      </w:r>
      <w:r>
        <w:rPr>
          <w:rStyle w:val="28"/>
          <w:rFonts w:hint="eastAsia" w:ascii="宋体" w:hAnsi="宋体" w:eastAsia="宋体" w:cs="宋体"/>
          <w:color w:val="auto"/>
          <w:sz w:val="32"/>
          <w:szCs w:val="32"/>
          <w:highlight w:val="none"/>
        </w:rPr>
        <w:t>月</w:t>
      </w:r>
    </w:p>
    <w:p>
      <w:pPr>
        <w:pStyle w:val="21"/>
        <w:spacing w:line="700" w:lineRule="exac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索 引</w:t>
      </w:r>
    </w:p>
    <w:p>
      <w:pPr>
        <w:pStyle w:val="21"/>
        <w:spacing w:line="700" w:lineRule="exact"/>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pPr>
        <w:pStyle w:val="21"/>
        <w:spacing w:line="700" w:lineRule="exact"/>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pPr>
        <w:pStyle w:val="21"/>
        <w:spacing w:line="700" w:lineRule="exact"/>
        <w:rPr>
          <w:rFonts w:hint="eastAsia" w:ascii="宋体" w:hAnsi="宋体" w:eastAsia="宋体" w:cs="宋体"/>
          <w:color w:val="auto"/>
          <w:highlight w:val="none"/>
        </w:rPr>
      </w:pPr>
      <w:r>
        <w:rPr>
          <w:rFonts w:hint="eastAsia" w:ascii="宋体" w:hAnsi="宋体" w:eastAsia="宋体" w:cs="宋体"/>
          <w:color w:val="auto"/>
          <w:highlight w:val="none"/>
        </w:rPr>
        <w:t>三、商务条件和其它事项响应表</w:t>
      </w:r>
    </w:p>
    <w:p>
      <w:pPr>
        <w:pStyle w:val="21"/>
        <w:spacing w:line="700" w:lineRule="exact"/>
        <w:rPr>
          <w:rFonts w:hint="eastAsia" w:ascii="宋体" w:hAnsi="宋体" w:eastAsia="宋体" w:cs="宋体"/>
          <w:color w:val="auto"/>
          <w:highlight w:val="none"/>
        </w:rPr>
      </w:pPr>
      <w:r>
        <w:rPr>
          <w:rFonts w:hint="eastAsia" w:ascii="宋体" w:hAnsi="宋体" w:eastAsia="宋体" w:cs="宋体"/>
          <w:color w:val="auto"/>
          <w:highlight w:val="none"/>
        </w:rPr>
        <w:t>四、相关技术、商务、服务响应承诺及资料</w:t>
      </w:r>
    </w:p>
    <w:p>
      <w:pPr>
        <w:pStyle w:val="21"/>
        <w:spacing w:line="600" w:lineRule="exact"/>
        <w:rPr>
          <w:rStyle w:val="28"/>
          <w:rFonts w:hint="eastAsia" w:ascii="宋体" w:hAnsi="宋体" w:eastAsia="宋体" w:cs="宋体"/>
          <w:b w:val="0"/>
          <w:bCs/>
          <w:color w:val="auto"/>
          <w:highlight w:val="none"/>
        </w:rPr>
      </w:pPr>
      <w:r>
        <w:rPr>
          <w:rStyle w:val="28"/>
          <w:rFonts w:hint="eastAsia" w:ascii="宋体" w:hAnsi="宋体" w:eastAsia="宋体" w:cs="宋体"/>
          <w:b w:val="0"/>
          <w:bCs/>
          <w:color w:val="auto"/>
          <w:highlight w:val="none"/>
          <w:lang w:val="en-US" w:eastAsia="zh-CN"/>
        </w:rPr>
        <w:t>五</w:t>
      </w:r>
      <w:r>
        <w:rPr>
          <w:rStyle w:val="28"/>
          <w:rFonts w:hint="eastAsia" w:ascii="宋体" w:hAnsi="宋体" w:eastAsia="宋体" w:cs="宋体"/>
          <w:b w:val="0"/>
          <w:bCs/>
          <w:color w:val="auto"/>
          <w:highlight w:val="none"/>
        </w:rPr>
        <w:t>、要求作为响应文件组成部分的其他内容（若有）</w:t>
      </w:r>
    </w:p>
    <w:p>
      <w:pPr>
        <w:pStyle w:val="21"/>
        <w:spacing w:line="700" w:lineRule="exact"/>
        <w:rPr>
          <w:rFonts w:hint="eastAsia" w:ascii="宋体" w:hAnsi="宋体" w:eastAsia="宋体" w:cs="宋体"/>
          <w:color w:val="auto"/>
          <w:highlight w:val="none"/>
        </w:rPr>
      </w:pPr>
    </w:p>
    <w:p>
      <w:pPr>
        <w:pStyle w:val="21"/>
        <w:spacing w:line="70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21"/>
        <w:spacing w:line="70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21"/>
        <w:spacing w:line="7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21"/>
        <w:spacing w:line="7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技术商务部分中不得出现报价部分的全部或部分的磋商报价信息（或组成资料），否则</w:t>
      </w:r>
      <w:r>
        <w:rPr>
          <w:rStyle w:val="28"/>
          <w:rFonts w:hint="eastAsia" w:ascii="宋体" w:hAnsi="宋体" w:eastAsia="宋体" w:cs="宋体"/>
          <w:color w:val="auto"/>
          <w:highlight w:val="none"/>
        </w:rPr>
        <w:t>符合性审查不合格</w:t>
      </w:r>
      <w:r>
        <w:rPr>
          <w:rFonts w:hint="eastAsia" w:ascii="宋体" w:hAnsi="宋体" w:eastAsia="宋体" w:cs="宋体"/>
          <w:color w:val="auto"/>
          <w:highlight w:val="none"/>
        </w:rPr>
        <w:t>。</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Style w:val="28"/>
          <w:rFonts w:hint="eastAsia" w:ascii="宋体" w:hAnsi="宋体" w:eastAsia="宋体" w:cs="宋体"/>
          <w:color w:val="auto"/>
          <w:highlight w:val="none"/>
        </w:rPr>
      </w:pPr>
      <w:r>
        <w:rPr>
          <w:rFonts w:hint="eastAsia" w:ascii="宋体" w:hAnsi="宋体" w:eastAsia="宋体" w:cs="宋体"/>
          <w:color w:val="auto"/>
          <w:szCs w:val="24"/>
          <w:highlight w:val="none"/>
        </w:rPr>
        <w:t>附件1  </w:t>
      </w:r>
      <w:r>
        <w:rPr>
          <w:rStyle w:val="28"/>
          <w:rFonts w:hint="eastAsia" w:ascii="宋体" w:hAnsi="宋体" w:eastAsia="宋体" w:cs="宋体"/>
          <w:color w:val="auto"/>
          <w:highlight w:val="none"/>
        </w:rPr>
        <w:t>  </w:t>
      </w:r>
    </w:p>
    <w:p>
      <w:pPr>
        <w:pStyle w:val="21"/>
        <w:spacing w:before="75" w:after="75"/>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一、标的说明一览表</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21"/>
        <w:spacing w:before="75" w:after="75"/>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25"/>
        <w:tblW w:w="908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52"/>
        <w:gridCol w:w="932"/>
        <w:gridCol w:w="1795"/>
        <w:gridCol w:w="929"/>
        <w:gridCol w:w="1222"/>
        <w:gridCol w:w="1222"/>
        <w:gridCol w:w="19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3" w:hRule="atLeast"/>
          <w:tblCellSpacing w:w="15" w:type="dxa"/>
        </w:trPr>
        <w:tc>
          <w:tcPr>
            <w:tcW w:w="100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合同包</w:t>
            </w:r>
          </w:p>
        </w:tc>
        <w:tc>
          <w:tcPr>
            <w:tcW w:w="90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76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磋商标的</w:t>
            </w:r>
          </w:p>
        </w:tc>
        <w:tc>
          <w:tcPr>
            <w:tcW w:w="89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1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188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2" w:hRule="atLeast"/>
          <w:tblCellSpacing w:w="15" w:type="dxa"/>
        </w:trPr>
        <w:tc>
          <w:tcPr>
            <w:tcW w:w="1007"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02"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65"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899"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883"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2" w:hRule="atLeast"/>
          <w:tblCellSpacing w:w="15" w:type="dxa"/>
        </w:trPr>
        <w:tc>
          <w:tcPr>
            <w:tcW w:w="1007"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eastAsia="宋体" w:cs="宋体"/>
                <w:color w:val="auto"/>
                <w:sz w:val="24"/>
                <w:highlight w:val="none"/>
              </w:rPr>
            </w:pPr>
          </w:p>
        </w:tc>
        <w:tc>
          <w:tcPr>
            <w:tcW w:w="902"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765"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899"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883"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1" w:hRule="atLeast"/>
          <w:tblCellSpacing w:w="15" w:type="dxa"/>
        </w:trPr>
        <w:tc>
          <w:tcPr>
            <w:tcW w:w="100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21"/>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02" w:type="dxa"/>
            <w:tcBorders>
              <w:top w:val="nil"/>
              <w:left w:val="nil"/>
              <w:bottom w:val="single" w:color="auto" w:sz="6" w:space="0"/>
              <w:right w:val="single" w:color="auto" w:sz="6" w:space="0"/>
            </w:tcBorders>
            <w:tcMar>
              <w:top w:w="0" w:type="dxa"/>
              <w:left w:w="105" w:type="dxa"/>
              <w:bottom w:w="0" w:type="dxa"/>
              <w:right w:w="105" w:type="dxa"/>
            </w:tcMar>
            <w:vAlign w:val="center"/>
          </w:tcPr>
          <w:p>
            <w:pPr>
              <w:jc w:val="left"/>
              <w:rPr>
                <w:rFonts w:hint="eastAsia" w:ascii="宋体" w:hAnsi="宋体" w:eastAsia="宋体" w:cs="宋体"/>
                <w:color w:val="auto"/>
                <w:sz w:val="24"/>
                <w:highlight w:val="none"/>
              </w:rPr>
            </w:pPr>
          </w:p>
        </w:tc>
        <w:tc>
          <w:tcPr>
            <w:tcW w:w="1765"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899"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c>
          <w:tcPr>
            <w:tcW w:w="1883" w:type="dxa"/>
            <w:tcBorders>
              <w:top w:val="nil"/>
              <w:left w:val="nil"/>
              <w:bottom w:val="single" w:color="auto" w:sz="6" w:space="0"/>
              <w:right w:val="single" w:color="auto" w:sz="6" w:space="0"/>
            </w:tcBorders>
            <w:tcMar>
              <w:top w:w="0" w:type="dxa"/>
              <w:left w:w="105" w:type="dxa"/>
              <w:bottom w:w="0" w:type="dxa"/>
              <w:right w:w="105" w:type="dxa"/>
            </w:tcMar>
          </w:tcPr>
          <w:p>
            <w:pPr>
              <w:jc w:val="left"/>
              <w:rPr>
                <w:rFonts w:hint="eastAsia" w:ascii="宋体" w:hAnsi="宋体" w:eastAsia="宋体" w:cs="宋体"/>
                <w:color w:val="auto"/>
                <w:sz w:val="24"/>
                <w:highlight w:val="none"/>
              </w:rPr>
            </w:pPr>
          </w:p>
        </w:tc>
      </w:tr>
    </w:tbl>
    <w:p>
      <w:pPr>
        <w:pStyle w:val="21"/>
        <w:spacing w:before="75" w:after="75"/>
        <w:rPr>
          <w:rFonts w:hint="eastAsia" w:ascii="宋体" w:hAnsi="宋体" w:eastAsia="宋体" w:cs="宋体"/>
          <w:color w:val="auto"/>
          <w:highlight w:val="none"/>
        </w:rPr>
      </w:pPr>
    </w:p>
    <w:p>
      <w:pPr>
        <w:pStyle w:val="21"/>
        <w:spacing w:before="75" w:after="75"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1.1“合同包”、“品目号”、“磋商标的”及“数量”应与竞争性磋商文件《采购标的一览表》中的有关内容（“合同包”、“品目号”、“采购标的”及“数量”）保持一致。</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1.2“投标标的”为货物的：</w:t>
      </w:r>
      <w:r>
        <w:rPr>
          <w:rStyle w:val="28"/>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项下应填写货物制造厂商赋予的品牌（属于节能、环保清单产品的货物，填写的品牌名称应与清单载明的品牌名称保持一致）及具体型号。</w:t>
      </w:r>
      <w:r>
        <w:rPr>
          <w:rStyle w:val="28"/>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应填写货物的原产地。</w:t>
      </w:r>
      <w:r>
        <w:rPr>
          <w:rStyle w:val="28"/>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1.3“磋商标的”为服务的：</w:t>
      </w:r>
      <w:r>
        <w:rPr>
          <w:rStyle w:val="28"/>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项下应填写服务提供者提供的服务标准及品牌（若有）。</w:t>
      </w:r>
      <w:r>
        <w:rPr>
          <w:rStyle w:val="28"/>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应填写服务提供者的所在地。</w:t>
      </w:r>
      <w:r>
        <w:rPr>
          <w:rStyle w:val="28"/>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项下应填写关于服务标准所涵盖的具体项目或内容的说明等。</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2、供应商需要说明的内容若需特殊表达，应先在本表中进行相应说明，再另页应答，否则</w:t>
      </w:r>
      <w:r>
        <w:rPr>
          <w:rStyle w:val="28"/>
          <w:rFonts w:hint="eastAsia" w:ascii="宋体" w:hAnsi="宋体" w:eastAsia="宋体" w:cs="宋体"/>
          <w:color w:val="auto"/>
          <w:sz w:val="21"/>
          <w:szCs w:val="21"/>
          <w:highlight w:val="none"/>
        </w:rPr>
        <w:t>磋商无效</w:t>
      </w:r>
      <w:r>
        <w:rPr>
          <w:rFonts w:hint="eastAsia" w:ascii="宋体" w:hAnsi="宋体" w:eastAsia="宋体" w:cs="宋体"/>
          <w:color w:val="auto"/>
          <w:sz w:val="21"/>
          <w:szCs w:val="21"/>
          <w:highlight w:val="none"/>
        </w:rPr>
        <w:t>。</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3、响应文件中涉及</w:t>
      </w:r>
      <w:r>
        <w:rPr>
          <w:rStyle w:val="28"/>
          <w:rFonts w:hint="eastAsia" w:ascii="宋体" w:hAnsi="宋体" w:eastAsia="宋体" w:cs="宋体"/>
          <w:color w:val="auto"/>
          <w:sz w:val="21"/>
          <w:szCs w:val="21"/>
          <w:highlight w:val="none"/>
        </w:rPr>
        <w:t>“磋商标的”、“数量”、“规格”、“来源地”</w:t>
      </w:r>
      <w:r>
        <w:rPr>
          <w:rFonts w:hint="eastAsia" w:ascii="宋体" w:hAnsi="宋体" w:eastAsia="宋体" w:cs="宋体"/>
          <w:color w:val="auto"/>
          <w:sz w:val="21"/>
          <w:szCs w:val="21"/>
          <w:highlight w:val="none"/>
        </w:rPr>
        <w:t>的内容若不一致，</w:t>
      </w:r>
      <w:r>
        <w:rPr>
          <w:rStyle w:val="28"/>
          <w:rFonts w:hint="eastAsia" w:ascii="宋体" w:hAnsi="宋体" w:eastAsia="宋体" w:cs="宋体"/>
          <w:color w:val="auto"/>
          <w:sz w:val="21"/>
          <w:szCs w:val="21"/>
          <w:highlight w:val="none"/>
        </w:rPr>
        <w:t>应以本表为准</w:t>
      </w:r>
      <w:r>
        <w:rPr>
          <w:rFonts w:hint="eastAsia" w:ascii="宋体" w:hAnsi="宋体" w:eastAsia="宋体" w:cs="宋体"/>
          <w:color w:val="auto"/>
          <w:sz w:val="21"/>
          <w:szCs w:val="21"/>
          <w:highlight w:val="none"/>
        </w:rPr>
        <w:t>。</w:t>
      </w:r>
    </w:p>
    <w:p>
      <w:pPr>
        <w:pStyle w:val="21"/>
        <w:spacing w:before="75" w:after="75"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4、响应文件正本中的本表应为原件。</w:t>
      </w:r>
    </w:p>
    <w:p>
      <w:pPr>
        <w:pStyle w:val="21"/>
        <w:spacing w:before="76" w:after="76" w:line="495" w:lineRule="atLeast"/>
        <w:rPr>
          <w:rFonts w:hint="eastAsia" w:ascii="宋体" w:hAnsi="宋体" w:eastAsia="宋体" w:cs="宋体"/>
          <w:color w:val="auto"/>
          <w:szCs w:val="24"/>
          <w:highlight w:val="none"/>
        </w:rPr>
      </w:pPr>
    </w:p>
    <w:p>
      <w:pPr>
        <w:pStyle w:val="21"/>
        <w:spacing w:before="76" w:after="76" w:line="495" w:lineRule="atLeast"/>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Style w:val="28"/>
          <w:rFonts w:hint="eastAsia" w:ascii="宋体" w:hAnsi="宋体" w:eastAsia="宋体" w:cs="宋体"/>
          <w:color w:val="auto"/>
          <w:highlight w:val="none"/>
        </w:rPr>
      </w:pPr>
      <w:r>
        <w:rPr>
          <w:rFonts w:hint="eastAsia" w:ascii="宋体" w:hAnsi="宋体" w:eastAsia="宋体" w:cs="宋体"/>
          <w:color w:val="auto"/>
          <w:szCs w:val="24"/>
          <w:highlight w:val="none"/>
        </w:rPr>
        <w:t> </w:t>
      </w:r>
      <w:r>
        <w:rPr>
          <w:rStyle w:val="28"/>
          <w:rFonts w:hint="eastAsia" w:ascii="宋体" w:hAnsi="宋体" w:eastAsia="宋体" w:cs="宋体"/>
          <w:color w:val="auto"/>
          <w:highlight w:val="none"/>
        </w:rPr>
        <w:t>    </w:t>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附件2</w:t>
      </w:r>
    </w:p>
    <w:p>
      <w:pPr>
        <w:pStyle w:val="21"/>
        <w:spacing w:before="76" w:after="76" w:line="18"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技术和服务要求响应表</w:t>
      </w:r>
    </w:p>
    <w:p>
      <w:pPr>
        <w:pStyle w:val="21"/>
        <w:spacing w:before="76" w:after="76" w:line="375" w:lineRule="atLeast"/>
        <w:rPr>
          <w:rFonts w:hint="eastAsia" w:ascii="宋体" w:hAnsi="宋体" w:eastAsia="宋体" w:cs="宋体"/>
          <w:color w:val="auto"/>
          <w:highlight w:val="none"/>
        </w:rPr>
      </w:pPr>
      <w:r>
        <w:rPr>
          <w:color w:val="auto"/>
          <w:highlight w:val="none"/>
        </w:rPr>
        <w:t>供应商名称：</w:t>
      </w:r>
      <w:r>
        <w:rPr>
          <w:rFonts w:hint="eastAsia"/>
          <w:color w:val="auto"/>
          <w:highlight w:val="none"/>
          <w:u w:val="single"/>
          <w:lang w:val="en-US" w:eastAsia="zh-CN"/>
        </w:rPr>
        <w:t xml:space="preserve">         </w:t>
      </w:r>
      <w:r>
        <w:rPr>
          <w:color w:val="auto"/>
          <w:highlight w:val="none"/>
          <w:u w:val="single"/>
        </w:rPr>
        <w:t>（全称加盖单位公章</w:t>
      </w:r>
      <w:r>
        <w:rPr>
          <w:color w:val="auto"/>
          <w:highlight w:val="none"/>
          <w:u w:val="none"/>
        </w:rPr>
        <w:t>）</w:t>
      </w:r>
      <w:r>
        <w:rPr>
          <w:rFonts w:hint="eastAsia"/>
          <w:color w:val="auto"/>
          <w:highlight w:val="none"/>
          <w:u w:val="none"/>
          <w:lang w:val="en-US" w:eastAsia="zh-CN"/>
        </w:rPr>
        <w:t xml:space="preserve">       </w:t>
      </w: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u w:val="single"/>
        </w:rPr>
        <w:t xml:space="preserve">             </w:t>
      </w:r>
    </w:p>
    <w:tbl>
      <w:tblPr>
        <w:tblStyle w:val="2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1519"/>
        <w:gridCol w:w="2774"/>
        <w:gridCol w:w="240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938"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w:t>
            </w:r>
          </w:p>
        </w:tc>
        <w:tc>
          <w:tcPr>
            <w:tcW w:w="1519"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章节条目号</w:t>
            </w:r>
          </w:p>
        </w:tc>
        <w:tc>
          <w:tcPr>
            <w:tcW w:w="2774"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竞争性磋商文件规定的技术和服务要求</w:t>
            </w:r>
          </w:p>
        </w:tc>
        <w:tc>
          <w:tcPr>
            <w:tcW w:w="2404"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响应文件响应承诺</w:t>
            </w:r>
          </w:p>
        </w:tc>
        <w:tc>
          <w:tcPr>
            <w:tcW w:w="1405"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3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519"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77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04"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05"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bl>
    <w:p>
      <w:pPr>
        <w:pStyle w:val="21"/>
        <w:spacing w:before="76" w:after="76" w:line="375"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pStyle w:val="21"/>
        <w:spacing w:before="76" w:after="76" w:line="375"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1"/>
        <w:spacing w:before="76" w:after="76" w:line="375" w:lineRule="atLeas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竞争性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Style w:val="28"/>
          <w:rFonts w:hint="eastAsia" w:ascii="宋体" w:hAnsi="宋体" w:eastAsia="宋体" w:cs="宋体"/>
          <w:color w:val="auto"/>
          <w:highlight w:val="none"/>
        </w:rPr>
      </w:pPr>
      <w:r>
        <w:rPr>
          <w:rFonts w:hint="eastAsia" w:ascii="宋体" w:hAnsi="宋体" w:eastAsia="宋体" w:cs="宋体"/>
          <w:color w:val="auto"/>
          <w:szCs w:val="24"/>
          <w:highlight w:val="none"/>
        </w:rPr>
        <w:t>附件3      </w:t>
      </w:r>
      <w:r>
        <w:rPr>
          <w:rStyle w:val="28"/>
          <w:rFonts w:hint="eastAsia" w:ascii="宋体" w:hAnsi="宋体" w:eastAsia="宋体" w:cs="宋体"/>
          <w:color w:val="auto"/>
          <w:highlight w:val="none"/>
        </w:rPr>
        <w:t> </w:t>
      </w:r>
    </w:p>
    <w:p>
      <w:pPr>
        <w:pStyle w:val="21"/>
        <w:spacing w:before="76" w:after="76" w:line="18"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商务条件和其它事项响应表</w:t>
      </w:r>
    </w:p>
    <w:p>
      <w:pPr>
        <w:pStyle w:val="21"/>
        <w:spacing w:before="76" w:after="76" w:line="375" w:lineRule="atLeast"/>
        <w:rPr>
          <w:rFonts w:hint="eastAsia" w:ascii="宋体" w:hAnsi="宋体" w:eastAsia="宋体" w:cs="宋体"/>
          <w:color w:val="auto"/>
          <w:highlight w:val="none"/>
          <w:u w:val="single"/>
        </w:rPr>
      </w:pPr>
      <w:r>
        <w:rPr>
          <w:color w:val="auto"/>
          <w:highlight w:val="none"/>
        </w:rPr>
        <w:t>供应商名称：</w:t>
      </w:r>
      <w:r>
        <w:rPr>
          <w:rFonts w:hint="eastAsia"/>
          <w:color w:val="auto"/>
          <w:highlight w:val="none"/>
          <w:u w:val="single"/>
          <w:lang w:val="en-US" w:eastAsia="zh-CN"/>
        </w:rPr>
        <w:t xml:space="preserve">         </w:t>
      </w:r>
      <w:r>
        <w:rPr>
          <w:color w:val="auto"/>
          <w:highlight w:val="none"/>
          <w:u w:val="single"/>
        </w:rPr>
        <w:t>（全称加盖单位公章</w:t>
      </w:r>
      <w:r>
        <w:rPr>
          <w:color w:val="auto"/>
          <w:highlight w:val="none"/>
          <w:u w:val="none"/>
        </w:rPr>
        <w:t>）</w:t>
      </w:r>
      <w:r>
        <w:rPr>
          <w:rFonts w:hint="eastAsia"/>
          <w:color w:val="auto"/>
          <w:highlight w:val="none"/>
          <w:u w:val="none"/>
          <w:lang w:val="en-US" w:eastAsia="zh-CN"/>
        </w:rPr>
        <w:t xml:space="preserve">       </w:t>
      </w: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u w:val="single"/>
        </w:rPr>
        <w:t xml:space="preserve">             </w:t>
      </w: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0"/>
        <w:gridCol w:w="1458"/>
        <w:gridCol w:w="2808"/>
        <w:gridCol w:w="245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1030"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w:t>
            </w:r>
          </w:p>
        </w:tc>
        <w:tc>
          <w:tcPr>
            <w:tcW w:w="1458"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章节条目号</w:t>
            </w:r>
          </w:p>
        </w:tc>
        <w:tc>
          <w:tcPr>
            <w:tcW w:w="2808"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竞争性磋商文件规定的商务条件要求</w:t>
            </w:r>
          </w:p>
        </w:tc>
        <w:tc>
          <w:tcPr>
            <w:tcW w:w="2453"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响应文件响应承诺</w:t>
            </w:r>
          </w:p>
        </w:tc>
        <w:tc>
          <w:tcPr>
            <w:tcW w:w="1351" w:type="dxa"/>
            <w:tcMar>
              <w:left w:w="105" w:type="dxa"/>
              <w:right w:w="105" w:type="dxa"/>
            </w:tcMar>
            <w:vAlign w:val="center"/>
          </w:tcPr>
          <w:p>
            <w:pPr>
              <w:pStyle w:val="21"/>
              <w:spacing w:line="375"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030"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45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808"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2453"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c>
          <w:tcPr>
            <w:tcW w:w="1351" w:type="dxa"/>
            <w:tcMar>
              <w:left w:w="105" w:type="dxa"/>
              <w:right w:w="105" w:type="dxa"/>
            </w:tcMar>
            <w:vAlign w:val="center"/>
          </w:tcPr>
          <w:p>
            <w:pPr>
              <w:spacing w:line="18" w:lineRule="atLeast"/>
              <w:jc w:val="center"/>
              <w:textAlignment w:val="top"/>
              <w:rPr>
                <w:rFonts w:hint="eastAsia" w:ascii="宋体" w:hAnsi="宋体" w:eastAsia="宋体" w:cs="宋体"/>
                <w:color w:val="auto"/>
                <w:sz w:val="24"/>
                <w:szCs w:val="24"/>
                <w:highlight w:val="none"/>
              </w:rPr>
            </w:pPr>
          </w:p>
        </w:tc>
      </w:tr>
    </w:tbl>
    <w:p>
      <w:pPr>
        <w:pStyle w:val="21"/>
        <w:spacing w:before="76" w:after="76" w:line="375"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pStyle w:val="21"/>
        <w:spacing w:before="76" w:after="76" w:line="375"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1"/>
        <w:spacing w:before="76" w:after="76" w:line="375" w:lineRule="atLeast"/>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 w:val="21"/>
          <w:szCs w:val="21"/>
          <w:highlight w:val="none"/>
        </w:rPr>
        <w:t>（2）竞争性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b/>
          <w:bCs/>
          <w:color w:val="auto"/>
          <w:szCs w:val="24"/>
          <w:highlight w:val="none"/>
        </w:rPr>
        <w:t>。</w:t>
      </w:r>
    </w:p>
    <w:p>
      <w:pPr>
        <w:pStyle w:val="21"/>
        <w:spacing w:before="76" w:after="76" w:line="400" w:lineRule="exac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420" w:lineRule="atLeast"/>
        <w:rPr>
          <w:rFonts w:hint="eastAsia" w:ascii="宋体" w:hAnsi="宋体" w:eastAsia="宋体" w:cs="宋体"/>
          <w:color w:val="auto"/>
          <w:szCs w:val="24"/>
          <w:highlight w:val="none"/>
        </w:rPr>
      </w:pPr>
    </w:p>
    <w:p>
      <w:pPr>
        <w:pStyle w:val="21"/>
        <w:spacing w:before="76" w:after="76" w:line="42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附件4</w:t>
      </w:r>
    </w:p>
    <w:p>
      <w:pPr>
        <w:pStyle w:val="21"/>
        <w:spacing w:before="76" w:after="76" w:line="420"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相关技术、商务、服务响应承诺及资料</w:t>
      </w:r>
    </w:p>
    <w:p>
      <w:pPr>
        <w:pStyle w:val="21"/>
        <w:spacing w:before="76" w:after="76" w:line="420" w:lineRule="atLeast"/>
        <w:rPr>
          <w:rFonts w:hint="eastAsia" w:ascii="宋体" w:hAnsi="宋体" w:eastAsia="宋体" w:cs="宋体"/>
          <w:color w:val="auto"/>
          <w:highlight w:val="none"/>
        </w:rPr>
      </w:pPr>
      <w:r>
        <w:rPr>
          <w:rFonts w:hint="eastAsia" w:ascii="宋体" w:hAnsi="宋体" w:eastAsia="宋体" w:cs="宋体"/>
          <w:color w:val="auto"/>
          <w:szCs w:val="24"/>
          <w:highlight w:val="none"/>
        </w:rPr>
        <w:t> </w:t>
      </w:r>
    </w:p>
    <w:p>
      <w:pPr>
        <w:pStyle w:val="21"/>
        <w:spacing w:before="76" w:after="76" w:line="495" w:lineRule="atLeast"/>
        <w:rPr>
          <w:rStyle w:val="28"/>
          <w:rFonts w:hint="eastAsia" w:ascii="宋体" w:hAnsi="宋体" w:eastAsia="宋体" w:cs="宋体"/>
          <w:color w:val="auto"/>
          <w:highlight w:val="none"/>
        </w:rPr>
      </w:pPr>
      <w:r>
        <w:rPr>
          <w:rStyle w:val="28"/>
          <w:rFonts w:hint="eastAsia" w:ascii="宋体" w:hAnsi="宋体" w:eastAsia="宋体" w:cs="宋体"/>
          <w:color w:val="auto"/>
          <w:highlight w:val="none"/>
        </w:rPr>
        <w:t>说明：    </w:t>
      </w:r>
    </w:p>
    <w:p>
      <w:pPr>
        <w:pStyle w:val="21"/>
        <w:spacing w:before="76" w:after="76"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21"/>
        <w:spacing w:before="76" w:after="76"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2.如果没有特别要求的，供应商根据磋商文件的要求以及特点，提供相关技术、商务、服务响应承诺及资料，格式自拟。</w:t>
      </w:r>
    </w:p>
    <w:p>
      <w:pPr>
        <w:pStyle w:val="21"/>
        <w:spacing w:before="76" w:after="76" w:line="495" w:lineRule="atLeast"/>
        <w:rPr>
          <w:rFonts w:hint="eastAsia" w:ascii="宋体" w:hAnsi="宋体" w:eastAsia="宋体" w:cs="宋体"/>
          <w:color w:val="auto"/>
          <w:highlight w:val="none"/>
        </w:rPr>
      </w:pPr>
      <w:r>
        <w:rPr>
          <w:rStyle w:val="28"/>
          <w:rFonts w:hint="eastAsia" w:ascii="宋体" w:hAnsi="宋体" w:eastAsia="宋体" w:cs="宋体"/>
          <w:color w:val="auto"/>
          <w:highlight w:val="none"/>
        </w:rPr>
        <w:t> </w:t>
      </w:r>
    </w:p>
    <w:p>
      <w:pPr>
        <w:pStyle w:val="21"/>
        <w:spacing w:before="76" w:after="76" w:line="495" w:lineRule="atLeast"/>
        <w:rPr>
          <w:rFonts w:hint="eastAsia" w:ascii="宋体" w:hAnsi="宋体" w:eastAsia="宋体" w:cs="宋体"/>
          <w:color w:val="auto"/>
          <w:highlight w:val="none"/>
        </w:rPr>
      </w:pPr>
      <w:r>
        <w:rPr>
          <w:rStyle w:val="28"/>
          <w:rFonts w:hint="eastAsia" w:ascii="宋体" w:hAnsi="宋体" w:eastAsia="宋体" w:cs="宋体"/>
          <w:color w:val="auto"/>
          <w:highlight w:val="none"/>
        </w:rPr>
        <w:t> </w:t>
      </w:r>
    </w:p>
    <w:p>
      <w:pPr>
        <w:pStyle w:val="21"/>
        <w:spacing w:before="76" w:after="76" w:line="420" w:lineRule="atLeast"/>
        <w:ind w:firstLine="480"/>
        <w:rPr>
          <w:rFonts w:hint="eastAsia" w:ascii="宋体" w:hAnsi="宋体" w:eastAsia="宋体" w:cs="宋体"/>
          <w:color w:val="auto"/>
          <w:highlight w:val="none"/>
        </w:rPr>
      </w:pPr>
      <w:r>
        <w:rPr>
          <w:rFonts w:hint="eastAsia" w:ascii="宋体" w:hAnsi="宋体" w:eastAsia="宋体" w:cs="宋体"/>
          <w:color w:val="auto"/>
          <w:szCs w:val="24"/>
          <w:highlight w:val="none"/>
        </w:rPr>
        <w:t> </w:t>
      </w: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420" w:lineRule="atLeast"/>
        <w:ind w:firstLine="480"/>
        <w:rPr>
          <w:rFonts w:hint="eastAsia" w:ascii="宋体" w:hAnsi="宋体" w:eastAsia="宋体" w:cs="宋体"/>
          <w:color w:val="auto"/>
          <w:highlight w:val="none"/>
        </w:rPr>
      </w:pPr>
      <w:r>
        <w:rPr>
          <w:rFonts w:hint="eastAsia" w:ascii="宋体" w:hAnsi="宋体" w:eastAsia="宋体" w:cs="宋体"/>
          <w:color w:val="auto"/>
          <w:szCs w:val="24"/>
          <w:highlight w:val="none"/>
        </w:rPr>
        <w:t> </w:t>
      </w:r>
    </w:p>
    <w:p>
      <w:pPr>
        <w:pStyle w:val="21"/>
        <w:spacing w:before="76" w:after="76" w:line="18" w:lineRule="atLeast"/>
        <w:rPr>
          <w:rFonts w:hint="eastAsia" w:ascii="宋体" w:hAnsi="宋体" w:eastAsia="宋体" w:cs="宋体"/>
          <w:color w:val="auto"/>
          <w:szCs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1"/>
        <w:spacing w:before="76" w:after="76" w:line="18" w:lineRule="atLeas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附件</w:t>
      </w:r>
      <w:r>
        <w:rPr>
          <w:rFonts w:hint="eastAsia" w:ascii="宋体" w:hAnsi="宋体" w:eastAsia="宋体" w:cs="宋体"/>
          <w:color w:val="auto"/>
          <w:szCs w:val="24"/>
          <w:highlight w:val="none"/>
          <w:lang w:val="en-US" w:eastAsia="zh-CN"/>
        </w:rPr>
        <w:t>5</w:t>
      </w:r>
    </w:p>
    <w:p>
      <w:pPr>
        <w:pStyle w:val="21"/>
        <w:spacing w:before="76" w:after="76" w:line="18" w:lineRule="atLeast"/>
        <w:jc w:val="center"/>
        <w:rPr>
          <w:rFonts w:hint="eastAsia" w:ascii="宋体" w:hAnsi="宋体" w:eastAsia="宋体" w:cs="宋体"/>
          <w:color w:val="auto"/>
          <w:sz w:val="32"/>
          <w:szCs w:val="32"/>
          <w:highlight w:val="none"/>
        </w:rPr>
      </w:pPr>
      <w:r>
        <w:rPr>
          <w:rStyle w:val="28"/>
          <w:rFonts w:hint="eastAsia" w:ascii="宋体" w:hAnsi="宋体" w:eastAsia="宋体" w:cs="宋体"/>
          <w:color w:val="auto"/>
          <w:sz w:val="32"/>
          <w:szCs w:val="32"/>
          <w:highlight w:val="none"/>
        </w:rPr>
        <w:t>要求作为响应文件组成部分的其他内容（若有）</w:t>
      </w:r>
    </w:p>
    <w:p>
      <w:pPr>
        <w:pStyle w:val="21"/>
        <w:spacing w:before="76" w:after="76" w:line="18"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p>
    <w:p>
      <w:pPr>
        <w:pStyle w:val="21"/>
        <w:spacing w:before="76" w:after="76" w:line="435"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p>
      <w:pPr>
        <w:pStyle w:val="21"/>
        <w:spacing w:before="76" w:after="76" w:line="435" w:lineRule="atLeas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或采购代理机构可以根据项目的特点和需要，在竞争性磋商文件中对要求作为响应文件组成部分的其他内容进行具体规定或附表格式，供应商应按照竞争性磋商文件要求提供相关承诺及材料，并加盖供应商单位公章。</w:t>
      </w:r>
    </w:p>
    <w:p>
      <w:pPr>
        <w:pStyle w:val="21"/>
        <w:spacing w:before="76" w:after="76" w:line="435" w:lineRule="atLeas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2、供应商根据自身实际情况编写有关资料包括如供应商单位简介、竞争性磋商文件要求提供或供应商</w:t>
      </w:r>
      <w:r>
        <w:rPr>
          <w:rFonts w:hint="eastAsia" w:ascii="宋体" w:hAnsi="宋体" w:cs="宋体"/>
          <w:color w:val="auto"/>
          <w:szCs w:val="24"/>
          <w:highlight w:val="none"/>
          <w:lang w:val="en-US" w:eastAsia="zh-CN"/>
        </w:rPr>
        <w:t>自己</w:t>
      </w:r>
      <w:bookmarkStart w:id="74" w:name="_GoBack"/>
      <w:bookmarkEnd w:id="74"/>
      <w:r>
        <w:rPr>
          <w:rFonts w:hint="eastAsia" w:ascii="宋体" w:hAnsi="宋体" w:eastAsia="宋体" w:cs="宋体"/>
          <w:color w:val="auto"/>
          <w:szCs w:val="24"/>
          <w:highlight w:val="none"/>
        </w:rPr>
        <w:t>认为体现自身优势，需要补充说明的其它资料，格式自拟。</w:t>
      </w:r>
    </w:p>
    <w:p>
      <w:pPr>
        <w:pStyle w:val="21"/>
        <w:spacing w:before="76" w:after="76" w:line="435" w:lineRule="atLeast"/>
        <w:jc w:val="both"/>
        <w:rPr>
          <w:rFonts w:hint="eastAsia" w:ascii="宋体" w:hAnsi="宋体" w:eastAsia="宋体" w:cs="宋体"/>
          <w:color w:val="auto"/>
          <w:szCs w:val="24"/>
          <w:highlight w:val="none"/>
        </w:rPr>
      </w:pPr>
    </w:p>
    <w:p>
      <w:pPr>
        <w:pStyle w:val="21"/>
        <w:spacing w:before="76" w:after="76" w:line="435" w:lineRule="atLeast"/>
        <w:jc w:val="both"/>
        <w:rPr>
          <w:rFonts w:hint="eastAsia" w:ascii="宋体" w:hAnsi="宋体" w:eastAsia="宋体" w:cs="宋体"/>
          <w:color w:val="auto"/>
          <w:szCs w:val="24"/>
          <w:highlight w:val="none"/>
        </w:rPr>
      </w:pPr>
    </w:p>
    <w:p>
      <w:pPr>
        <w:pStyle w:val="21"/>
        <w:spacing w:before="76" w:after="76" w:line="435" w:lineRule="atLeast"/>
        <w:jc w:val="both"/>
        <w:rPr>
          <w:rFonts w:hint="eastAsia" w:ascii="宋体" w:hAnsi="宋体" w:eastAsia="宋体" w:cs="宋体"/>
          <w:color w:val="auto"/>
          <w:szCs w:val="24"/>
          <w:highlight w:val="none"/>
        </w:rPr>
      </w:pPr>
    </w:p>
    <w:p>
      <w:pPr>
        <w:pStyle w:val="21"/>
        <w:spacing w:before="76" w:after="76" w:line="400" w:lineRule="exact"/>
        <w:jc w:val="both"/>
        <w:rPr>
          <w:rFonts w:hint="eastAsia" w:ascii="宋体" w:hAnsi="宋体" w:eastAsia="宋体" w:cs="宋体"/>
          <w:color w:val="auto"/>
          <w:highlight w:val="none"/>
          <w:u w:val="single"/>
        </w:rPr>
      </w:pPr>
      <w:r>
        <w:rPr>
          <w:rFonts w:hint="eastAsia" w:ascii="宋体" w:hAnsi="宋体" w:eastAsia="宋体" w:cs="宋体"/>
          <w:color w:val="auto"/>
          <w:szCs w:val="24"/>
          <w:highlight w:val="none"/>
        </w:rPr>
        <w:t>供应商代表： </w:t>
      </w:r>
      <w:r>
        <w:rPr>
          <w:rFonts w:hint="eastAsia" w:ascii="宋体" w:hAnsi="宋体" w:eastAsia="宋体" w:cs="宋体"/>
          <w:color w:val="auto"/>
          <w:szCs w:val="24"/>
          <w:highlight w:val="none"/>
          <w:u w:val="single"/>
        </w:rPr>
        <w:t>                   （签字） </w:t>
      </w:r>
    </w:p>
    <w:p>
      <w:pPr>
        <w:pStyle w:val="21"/>
        <w:spacing w:before="76" w:after="76" w:line="400" w:lineRule="exact"/>
        <w:jc w:val="both"/>
        <w:rPr>
          <w:rFonts w:hint="eastAsia" w:ascii="宋体" w:hAnsi="宋体" w:eastAsia="宋体" w:cs="宋体"/>
          <w:color w:val="auto"/>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（全称并加盖公章）</w:t>
      </w:r>
    </w:p>
    <w:p>
      <w:pPr>
        <w:pStyle w:val="21"/>
        <w:spacing w:before="76" w:after="76" w:line="40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spacing w:before="76" w:after="76" w:line="18" w:lineRule="atLeast"/>
        <w:rPr>
          <w:rFonts w:hint="eastAsia" w:ascii="宋体" w:hAnsi="宋体" w:eastAsia="宋体" w:cs="宋体"/>
          <w:color w:val="auto"/>
          <w:szCs w:val="24"/>
          <w:highlight w:val="none"/>
        </w:rPr>
      </w:pPr>
    </w:p>
    <w:p>
      <w:pPr>
        <w:pStyle w:val="21"/>
        <w:widowControl/>
        <w:spacing w:line="500" w:lineRule="exact"/>
        <w:jc w:val="center"/>
        <w:rPr>
          <w:rStyle w:val="28"/>
          <w:rFonts w:hint="eastAsia" w:ascii="宋体" w:hAnsi="宋体" w:eastAsia="宋体" w:cs="宋体"/>
          <w:color w:val="auto"/>
          <w:sz w:val="32"/>
          <w:szCs w:val="32"/>
          <w:highlight w:val="none"/>
        </w:rPr>
      </w:pPr>
    </w:p>
    <w:sectPr>
      <w:headerReference r:id="rId3" w:type="default"/>
      <w:footerReference r:id="rId4" w:type="default"/>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l1uVLQAAAABQEAAA8AAAAAAAAA&#10;AQAgAAAAIgAAAGRycy9kb3ducmV2LnhtbFBLAQIUABQAAAAIAIdO4kDRr4hjpwEAADkDAAAOAAAA&#10;AAAAAAEAIAAAAB8BAABkcnMvZTJvRG9jLnhtbFBLBQYAAAAABgAGAFkBAAA4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3"/>
      <w:numFmt w:val="decimal"/>
      <w:lvlText w:val="%1."/>
      <w:lvlJc w:val="left"/>
      <w:pPr>
        <w:tabs>
          <w:tab w:val="left" w:pos="312"/>
        </w:tabs>
      </w:pPr>
      <w:rPr>
        <w:rFonts w:cs="Times New Roman"/>
      </w:rPr>
    </w:lvl>
  </w:abstractNum>
  <w:abstractNum w:abstractNumId="1">
    <w:nsid w:val="00000004"/>
    <w:multiLevelType w:val="singleLevel"/>
    <w:tmpl w:val="0000000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E6100"/>
    <w:rsid w:val="1B4E7454"/>
    <w:rsid w:val="1BBA37DE"/>
    <w:rsid w:val="1FF62C06"/>
    <w:rsid w:val="2D4D4D9B"/>
    <w:rsid w:val="3558097C"/>
    <w:rsid w:val="36F5492C"/>
    <w:rsid w:val="45EA71E2"/>
    <w:rsid w:val="4A306F39"/>
    <w:rsid w:val="53500D4D"/>
    <w:rsid w:val="55851FD8"/>
    <w:rsid w:val="68A87742"/>
    <w:rsid w:val="70791F7D"/>
    <w:rsid w:val="759E38B8"/>
    <w:rsid w:val="7DF33B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1"/>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2"/>
    <w:qFormat/>
    <w:uiPriority w:val="99"/>
    <w:pPr>
      <w:keepNext/>
      <w:keepLines/>
      <w:spacing w:line="413" w:lineRule="auto"/>
      <w:outlineLvl w:val="1"/>
    </w:pPr>
    <w:rPr>
      <w:rFonts w:ascii="Arial" w:hAnsi="Arial" w:eastAsia="黑体"/>
      <w:b/>
      <w:sz w:val="32"/>
    </w:rPr>
  </w:style>
  <w:style w:type="paragraph" w:styleId="4">
    <w:name w:val="heading 3"/>
    <w:basedOn w:val="1"/>
    <w:next w:val="1"/>
    <w:link w:val="43"/>
    <w:qFormat/>
    <w:uiPriority w:val="99"/>
    <w:pPr>
      <w:keepNext/>
      <w:keepLines/>
      <w:spacing w:line="413" w:lineRule="auto"/>
      <w:outlineLvl w:val="2"/>
    </w:pPr>
    <w:rPr>
      <w:b/>
      <w:sz w:val="32"/>
    </w:rPr>
  </w:style>
  <w:style w:type="paragraph" w:styleId="5">
    <w:name w:val="heading 4"/>
    <w:basedOn w:val="1"/>
    <w:next w:val="1"/>
    <w:link w:val="44"/>
    <w:qFormat/>
    <w:uiPriority w:val="99"/>
    <w:pPr>
      <w:keepNext/>
      <w:keepLines/>
      <w:spacing w:line="372" w:lineRule="auto"/>
      <w:outlineLvl w:val="3"/>
    </w:pPr>
    <w:rPr>
      <w:rFonts w:ascii="Arial" w:hAnsi="Arial" w:eastAsia="黑体"/>
      <w:b/>
      <w:sz w:val="28"/>
    </w:rPr>
  </w:style>
  <w:style w:type="paragraph" w:styleId="6">
    <w:name w:val="heading 5"/>
    <w:basedOn w:val="1"/>
    <w:next w:val="1"/>
    <w:link w:val="45"/>
    <w:qFormat/>
    <w:uiPriority w:val="99"/>
    <w:pPr>
      <w:keepNext/>
      <w:keepLines/>
      <w:spacing w:before="280" w:after="290" w:line="376" w:lineRule="auto"/>
      <w:outlineLvl w:val="4"/>
    </w:pPr>
    <w:rPr>
      <w:b/>
      <w:bCs/>
      <w:sz w:val="28"/>
      <w:szCs w:val="28"/>
    </w:rPr>
  </w:style>
  <w:style w:type="character" w:default="1" w:styleId="27">
    <w:name w:val="Default Paragraph Font"/>
    <w:qFormat/>
    <w:uiPriority w:val="99"/>
  </w:style>
  <w:style w:type="table" w:default="1" w:styleId="25">
    <w:name w:val="Normal Table"/>
    <w:qFormat/>
    <w:uiPriority w:val="99"/>
    <w:tblPr>
      <w:tblCellMar>
        <w:top w:w="0" w:type="dxa"/>
        <w:left w:w="108" w:type="dxa"/>
        <w:bottom w:w="0" w:type="dxa"/>
        <w:right w:w="108" w:type="dxa"/>
      </w:tblCellMar>
    </w:tblPr>
  </w:style>
  <w:style w:type="paragraph" w:styleId="7">
    <w:name w:val="annotation text"/>
    <w:basedOn w:val="1"/>
    <w:link w:val="47"/>
    <w:qFormat/>
    <w:uiPriority w:val="99"/>
    <w:pPr>
      <w:jc w:val="left"/>
    </w:pPr>
  </w:style>
  <w:style w:type="paragraph" w:styleId="8">
    <w:name w:val="Body Text"/>
    <w:basedOn w:val="1"/>
    <w:next w:val="9"/>
    <w:link w:val="46"/>
    <w:qFormat/>
    <w:uiPriority w:val="99"/>
    <w:pPr>
      <w:spacing w:after="120"/>
    </w:pPr>
  </w:style>
  <w:style w:type="paragraph" w:customStyle="1" w:styleId="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Body Text Indent"/>
    <w:basedOn w:val="1"/>
    <w:next w:val="1"/>
    <w:link w:val="48"/>
    <w:qFormat/>
    <w:uiPriority w:val="99"/>
    <w:pPr>
      <w:widowControl/>
      <w:spacing w:after="120"/>
      <w:ind w:left="420" w:leftChars="200"/>
      <w:jc w:val="left"/>
    </w:pPr>
    <w:rPr>
      <w:kern w:val="0"/>
      <w:sz w:val="20"/>
    </w:rPr>
  </w:style>
  <w:style w:type="paragraph" w:styleId="11">
    <w:name w:val="Block Text"/>
    <w:basedOn w:val="1"/>
    <w:qFormat/>
    <w:uiPriority w:val="0"/>
    <w:pPr>
      <w:ind w:left="1440" w:leftChars="700" w:right="700" w:rightChars="700"/>
    </w:pPr>
  </w:style>
  <w:style w:type="paragraph" w:styleId="12">
    <w:name w:val="toc 3"/>
    <w:basedOn w:val="1"/>
    <w:next w:val="1"/>
    <w:qFormat/>
    <w:uiPriority w:val="99"/>
    <w:pPr>
      <w:ind w:left="840" w:leftChars="400"/>
    </w:pPr>
  </w:style>
  <w:style w:type="paragraph" w:styleId="13">
    <w:name w:val="Plain Text"/>
    <w:basedOn w:val="1"/>
    <w:link w:val="49"/>
    <w:qFormat/>
    <w:uiPriority w:val="99"/>
    <w:rPr>
      <w:rFonts w:ascii="宋体" w:hAnsi="Courier New"/>
    </w:rPr>
  </w:style>
  <w:style w:type="paragraph" w:styleId="14">
    <w:name w:val="Body Text Indent 2"/>
    <w:basedOn w:val="1"/>
    <w:qFormat/>
    <w:uiPriority w:val="0"/>
    <w:pPr>
      <w:spacing w:line="360" w:lineRule="auto"/>
      <w:ind w:firstLine="210"/>
      <w:jc w:val="center"/>
    </w:pPr>
    <w:rPr>
      <w:rFonts w:ascii="宋体"/>
      <w:b/>
      <w:color w:val="000000"/>
      <w:sz w:val="84"/>
    </w:rPr>
  </w:style>
  <w:style w:type="paragraph" w:styleId="15">
    <w:name w:val="Balloon Text"/>
    <w:basedOn w:val="1"/>
    <w:link w:val="50"/>
    <w:qFormat/>
    <w:uiPriority w:val="99"/>
    <w:rPr>
      <w:sz w:val="18"/>
      <w:szCs w:val="18"/>
    </w:rPr>
  </w:style>
  <w:style w:type="paragraph" w:styleId="16">
    <w:name w:val="footer"/>
    <w:basedOn w:val="1"/>
    <w:link w:val="51"/>
    <w:qFormat/>
    <w:uiPriority w:val="99"/>
    <w:pPr>
      <w:tabs>
        <w:tab w:val="center" w:pos="4153"/>
        <w:tab w:val="right" w:pos="8306"/>
      </w:tabs>
      <w:snapToGrid w:val="0"/>
      <w:jc w:val="left"/>
    </w:pPr>
    <w:rPr>
      <w:sz w:val="18"/>
    </w:rPr>
  </w:style>
  <w:style w:type="paragraph" w:styleId="17">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style>
  <w:style w:type="paragraph" w:styleId="19">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20">
    <w:name w:val="toc 2"/>
    <w:basedOn w:val="1"/>
    <w:next w:val="1"/>
    <w:qFormat/>
    <w:uiPriority w:val="99"/>
    <w:pPr>
      <w:ind w:left="420" w:leftChars="200"/>
    </w:pPr>
  </w:style>
  <w:style w:type="paragraph" w:styleId="21">
    <w:name w:val="Normal (Web)"/>
    <w:basedOn w:val="1"/>
    <w:qFormat/>
    <w:uiPriority w:val="99"/>
    <w:pPr>
      <w:jc w:val="left"/>
    </w:pPr>
    <w:rPr>
      <w:kern w:val="0"/>
      <w:sz w:val="24"/>
    </w:rPr>
  </w:style>
  <w:style w:type="paragraph" w:styleId="22">
    <w:name w:val="annotation subject"/>
    <w:basedOn w:val="7"/>
    <w:next w:val="7"/>
    <w:link w:val="53"/>
    <w:qFormat/>
    <w:uiPriority w:val="99"/>
    <w:rPr>
      <w:b/>
      <w:bCs/>
    </w:rPr>
  </w:style>
  <w:style w:type="paragraph" w:styleId="23">
    <w:name w:val="Body Text First Indent"/>
    <w:basedOn w:val="8"/>
    <w:qFormat/>
    <w:uiPriority w:val="0"/>
    <w:pPr>
      <w:spacing w:line="360" w:lineRule="auto"/>
      <w:ind w:firstLine="420" w:firstLineChars="100"/>
    </w:pPr>
    <w:rPr>
      <w:rFonts w:ascii="微软雅黑" w:hAnsi="微软雅黑" w:eastAsia="微软雅黑" w:cs="微软雅黑"/>
      <w:szCs w:val="21"/>
    </w:rPr>
  </w:style>
  <w:style w:type="paragraph" w:styleId="24">
    <w:name w:val="Body Text First Indent 2"/>
    <w:basedOn w:val="10"/>
    <w:link w:val="54"/>
    <w:qFormat/>
    <w:uiPriority w:val="99"/>
    <w:pPr>
      <w:ind w:firstLine="420" w:firstLineChars="200"/>
    </w:pPr>
  </w:style>
  <w:style w:type="table" w:styleId="26">
    <w:name w:val="Table Grid"/>
    <w:basedOn w:val="2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sz w:val="24"/>
      <w:szCs w:val="24"/>
    </w:rPr>
  </w:style>
  <w:style w:type="character" w:styleId="29">
    <w:name w:val="page number"/>
    <w:basedOn w:val="27"/>
    <w:qFormat/>
    <w:uiPriority w:val="0"/>
  </w:style>
  <w:style w:type="character" w:styleId="30">
    <w:name w:val="FollowedHyperlink"/>
    <w:basedOn w:val="27"/>
    <w:qFormat/>
    <w:uiPriority w:val="99"/>
    <w:rPr>
      <w:rFonts w:cs="Times New Roman"/>
      <w:color w:val="551A8B"/>
      <w:u w:val="none"/>
    </w:rPr>
  </w:style>
  <w:style w:type="character" w:styleId="31">
    <w:name w:val="Emphasis"/>
    <w:basedOn w:val="27"/>
    <w:qFormat/>
    <w:uiPriority w:val="99"/>
    <w:rPr>
      <w:rFonts w:cs="Times New Roman"/>
      <w:color w:val="CC0000"/>
      <w:sz w:val="24"/>
      <w:szCs w:val="24"/>
    </w:rPr>
  </w:style>
  <w:style w:type="character" w:styleId="32">
    <w:name w:val="HTML Definition"/>
    <w:basedOn w:val="27"/>
    <w:qFormat/>
    <w:uiPriority w:val="99"/>
    <w:rPr>
      <w:rFonts w:cs="Times New Roman"/>
      <w:i/>
    </w:rPr>
  </w:style>
  <w:style w:type="character" w:styleId="33">
    <w:name w:val="Hyperlink"/>
    <w:basedOn w:val="27"/>
    <w:qFormat/>
    <w:uiPriority w:val="99"/>
    <w:rPr>
      <w:rFonts w:cs="Times New Roman"/>
      <w:color w:val="0000EE"/>
      <w:u w:val="none"/>
    </w:rPr>
  </w:style>
  <w:style w:type="character" w:styleId="34">
    <w:name w:val="HTML Code"/>
    <w:basedOn w:val="27"/>
    <w:qFormat/>
    <w:uiPriority w:val="99"/>
    <w:rPr>
      <w:rFonts w:ascii="monospace" w:hAnsi="monospace" w:eastAsia="Times New Roman" w:cs="monospace"/>
      <w:sz w:val="21"/>
      <w:szCs w:val="21"/>
    </w:rPr>
  </w:style>
  <w:style w:type="character" w:styleId="35">
    <w:name w:val="annotation reference"/>
    <w:basedOn w:val="27"/>
    <w:qFormat/>
    <w:uiPriority w:val="99"/>
    <w:rPr>
      <w:rFonts w:cs="Times New Roman"/>
      <w:sz w:val="21"/>
      <w:szCs w:val="21"/>
    </w:rPr>
  </w:style>
  <w:style w:type="character" w:styleId="36">
    <w:name w:val="HTML Cite"/>
    <w:basedOn w:val="27"/>
    <w:qFormat/>
    <w:uiPriority w:val="99"/>
    <w:rPr>
      <w:rFonts w:cs="Times New Roman"/>
      <w:sz w:val="24"/>
      <w:szCs w:val="24"/>
    </w:rPr>
  </w:style>
  <w:style w:type="character" w:styleId="37">
    <w:name w:val="HTML Keyboard"/>
    <w:basedOn w:val="27"/>
    <w:qFormat/>
    <w:uiPriority w:val="99"/>
    <w:rPr>
      <w:rFonts w:ascii="monospace" w:hAnsi="monospace" w:eastAsia="Times New Roman" w:cs="monospace"/>
      <w:sz w:val="21"/>
      <w:szCs w:val="21"/>
    </w:rPr>
  </w:style>
  <w:style w:type="character" w:styleId="38">
    <w:name w:val="HTML Sample"/>
    <w:basedOn w:val="27"/>
    <w:qFormat/>
    <w:uiPriority w:val="99"/>
    <w:rPr>
      <w:rFonts w:ascii="monospace" w:hAnsi="monospace" w:eastAsia="Times New Roman" w:cs="monospace"/>
      <w:sz w:val="21"/>
      <w:szCs w:val="21"/>
    </w:rPr>
  </w:style>
  <w:style w:type="paragraph" w:customStyle="1" w:styleId="39">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kern w:val="2"/>
      <w:sz w:val="24"/>
      <w:szCs w:val="20"/>
      <w:lang w:bidi="ar-SA"/>
    </w:rPr>
  </w:style>
  <w:style w:type="paragraph" w:customStyle="1" w:styleId="40">
    <w:name w:val="正文（缩进）"/>
    <w:basedOn w:val="1"/>
    <w:qFormat/>
    <w:uiPriority w:val="99"/>
    <w:pPr>
      <w:ind w:firstLine="480" w:firstLineChars="200"/>
    </w:pPr>
  </w:style>
  <w:style w:type="character" w:customStyle="1" w:styleId="41">
    <w:name w:val="Heading 1 Char_a74967de-fdb8-4203-ac31-59f56f2fd877"/>
    <w:basedOn w:val="27"/>
    <w:link w:val="2"/>
    <w:qFormat/>
    <w:uiPriority w:val="9"/>
    <w:rPr>
      <w:b/>
      <w:bCs/>
      <w:kern w:val="44"/>
      <w:sz w:val="44"/>
      <w:szCs w:val="44"/>
    </w:rPr>
  </w:style>
  <w:style w:type="character" w:customStyle="1" w:styleId="42">
    <w:name w:val="Heading 2 Char_05150cc3-1985-4ac7-af9a-9298f805602d"/>
    <w:basedOn w:val="27"/>
    <w:link w:val="3"/>
    <w:qFormat/>
    <w:uiPriority w:val="9"/>
    <w:rPr>
      <w:rFonts w:ascii="Cambria" w:hAnsi="Cambria" w:eastAsia="宋体" w:cs="宋体"/>
      <w:b/>
      <w:bCs/>
      <w:sz w:val="32"/>
      <w:szCs w:val="32"/>
    </w:rPr>
  </w:style>
  <w:style w:type="character" w:customStyle="1" w:styleId="43">
    <w:name w:val="Heading 3 Char_29bfaebf-13ec-405d-a2e8-d09da8eaa1cf"/>
    <w:basedOn w:val="27"/>
    <w:link w:val="4"/>
    <w:qFormat/>
    <w:uiPriority w:val="9"/>
    <w:rPr>
      <w:b/>
      <w:bCs/>
      <w:sz w:val="32"/>
      <w:szCs w:val="32"/>
    </w:rPr>
  </w:style>
  <w:style w:type="character" w:customStyle="1" w:styleId="44">
    <w:name w:val="Heading 4 Char_3c45eaa7-465b-441c-a6a9-e0d091d17349"/>
    <w:basedOn w:val="27"/>
    <w:link w:val="5"/>
    <w:qFormat/>
    <w:uiPriority w:val="9"/>
    <w:rPr>
      <w:rFonts w:ascii="Cambria" w:hAnsi="Cambria" w:eastAsia="宋体" w:cs="宋体"/>
      <w:b/>
      <w:bCs/>
      <w:sz w:val="28"/>
      <w:szCs w:val="28"/>
    </w:rPr>
  </w:style>
  <w:style w:type="character" w:customStyle="1" w:styleId="45">
    <w:name w:val="Heading 5 Char_4a75dde0-3c38-4a99-afdc-5779ccec08a1"/>
    <w:basedOn w:val="27"/>
    <w:link w:val="6"/>
    <w:qFormat/>
    <w:uiPriority w:val="9"/>
    <w:rPr>
      <w:b/>
      <w:bCs/>
      <w:sz w:val="28"/>
      <w:szCs w:val="28"/>
    </w:rPr>
  </w:style>
  <w:style w:type="character" w:customStyle="1" w:styleId="46">
    <w:name w:val="Body Text Char"/>
    <w:basedOn w:val="27"/>
    <w:link w:val="8"/>
    <w:qFormat/>
    <w:uiPriority w:val="99"/>
    <w:rPr>
      <w:szCs w:val="20"/>
    </w:rPr>
  </w:style>
  <w:style w:type="character" w:customStyle="1" w:styleId="47">
    <w:name w:val="Comment Text Char"/>
    <w:basedOn w:val="27"/>
    <w:link w:val="7"/>
    <w:qFormat/>
    <w:uiPriority w:val="99"/>
    <w:rPr>
      <w:rFonts w:cs="Times New Roman"/>
      <w:kern w:val="2"/>
      <w:sz w:val="21"/>
    </w:rPr>
  </w:style>
  <w:style w:type="character" w:customStyle="1" w:styleId="48">
    <w:name w:val="Body Text Indent Char"/>
    <w:basedOn w:val="27"/>
    <w:link w:val="10"/>
    <w:qFormat/>
    <w:uiPriority w:val="99"/>
    <w:rPr>
      <w:szCs w:val="20"/>
    </w:rPr>
  </w:style>
  <w:style w:type="character" w:customStyle="1" w:styleId="49">
    <w:name w:val="Plain Text Char"/>
    <w:basedOn w:val="27"/>
    <w:link w:val="13"/>
    <w:qFormat/>
    <w:uiPriority w:val="99"/>
    <w:rPr>
      <w:rFonts w:ascii="宋体" w:hAnsi="Courier New" w:cs="Courier New"/>
      <w:szCs w:val="21"/>
    </w:rPr>
  </w:style>
  <w:style w:type="character" w:customStyle="1" w:styleId="50">
    <w:name w:val="Balloon Text Char"/>
    <w:basedOn w:val="27"/>
    <w:link w:val="15"/>
    <w:qFormat/>
    <w:uiPriority w:val="99"/>
    <w:rPr>
      <w:rFonts w:cs="Times New Roman"/>
      <w:kern w:val="2"/>
      <w:sz w:val="18"/>
      <w:szCs w:val="18"/>
    </w:rPr>
  </w:style>
  <w:style w:type="character" w:customStyle="1" w:styleId="51">
    <w:name w:val="Footer Char_875543ba-9796-4b9f-a093-9bacc02a58b8"/>
    <w:basedOn w:val="27"/>
    <w:link w:val="16"/>
    <w:qFormat/>
    <w:uiPriority w:val="99"/>
    <w:rPr>
      <w:sz w:val="18"/>
      <w:szCs w:val="18"/>
    </w:rPr>
  </w:style>
  <w:style w:type="character" w:customStyle="1" w:styleId="52">
    <w:name w:val="Header Char_f7bf6348-1f09-4cc6-b29f-60255677ae7b"/>
    <w:basedOn w:val="27"/>
    <w:link w:val="17"/>
    <w:qFormat/>
    <w:uiPriority w:val="99"/>
    <w:rPr>
      <w:sz w:val="18"/>
      <w:szCs w:val="18"/>
    </w:rPr>
  </w:style>
  <w:style w:type="character" w:customStyle="1" w:styleId="53">
    <w:name w:val="Comment Subject Char"/>
    <w:basedOn w:val="47"/>
    <w:link w:val="22"/>
    <w:qFormat/>
    <w:uiPriority w:val="99"/>
    <w:rPr>
      <w:b/>
      <w:bCs/>
    </w:rPr>
  </w:style>
  <w:style w:type="character" w:customStyle="1" w:styleId="54">
    <w:name w:val="Body Text First Indent 2 Char"/>
    <w:basedOn w:val="48"/>
    <w:link w:val="24"/>
    <w:qFormat/>
    <w:uiPriority w:val="99"/>
  </w:style>
  <w:style w:type="paragraph" w:customStyle="1" w:styleId="55">
    <w:name w:val="pag_text1"/>
    <w:basedOn w:val="1"/>
    <w:qFormat/>
    <w:uiPriority w:val="99"/>
    <w:pPr>
      <w:spacing w:line="570" w:lineRule="atLeast"/>
      <w:ind w:left="150"/>
      <w:jc w:val="left"/>
    </w:pPr>
    <w:rPr>
      <w:color w:val="444444"/>
      <w:kern w:val="0"/>
      <w:sz w:val="22"/>
      <w:szCs w:val="22"/>
    </w:rPr>
  </w:style>
  <w:style w:type="paragraph" w:customStyle="1" w:styleId="56">
    <w:name w:val="inx_text24"/>
    <w:basedOn w:val="1"/>
    <w:qFormat/>
    <w:uiPriority w:val="99"/>
    <w:pPr>
      <w:spacing w:line="300" w:lineRule="atLeast"/>
      <w:jc w:val="center"/>
    </w:pPr>
    <w:rPr>
      <w:color w:val="444444"/>
      <w:kern w:val="0"/>
      <w:sz w:val="19"/>
      <w:szCs w:val="19"/>
    </w:rPr>
  </w:style>
  <w:style w:type="paragraph" w:customStyle="1" w:styleId="57">
    <w:name w:val="inx_text1"/>
    <w:basedOn w:val="1"/>
    <w:qFormat/>
    <w:uiPriority w:val="99"/>
    <w:pPr>
      <w:spacing w:before="45" w:line="375" w:lineRule="atLeast"/>
      <w:jc w:val="right"/>
    </w:pPr>
    <w:rPr>
      <w:color w:val="666666"/>
      <w:kern w:val="0"/>
      <w:szCs w:val="21"/>
    </w:rPr>
  </w:style>
  <w:style w:type="paragraph" w:customStyle="1" w:styleId="58">
    <w:name w:val="pag_text"/>
    <w:basedOn w:val="1"/>
    <w:qFormat/>
    <w:uiPriority w:val="99"/>
    <w:pPr>
      <w:spacing w:line="570" w:lineRule="atLeast"/>
      <w:ind w:left="90"/>
      <w:jc w:val="left"/>
    </w:pPr>
    <w:rPr>
      <w:color w:val="444444"/>
      <w:kern w:val="0"/>
      <w:sz w:val="22"/>
      <w:szCs w:val="22"/>
    </w:rPr>
  </w:style>
  <w:style w:type="paragraph" w:customStyle="1" w:styleId="59">
    <w:name w:val="pag_text21"/>
    <w:basedOn w:val="1"/>
    <w:qFormat/>
    <w:uiPriority w:val="99"/>
    <w:pPr>
      <w:spacing w:line="570" w:lineRule="atLeast"/>
      <w:ind w:left="150"/>
      <w:jc w:val="left"/>
    </w:pPr>
    <w:rPr>
      <w:color w:val="444444"/>
      <w:kern w:val="0"/>
      <w:sz w:val="22"/>
      <w:szCs w:val="22"/>
    </w:rPr>
  </w:style>
  <w:style w:type="paragraph" w:customStyle="1" w:styleId="60">
    <w:name w:val="inx_text"/>
    <w:basedOn w:val="1"/>
    <w:qFormat/>
    <w:uiPriority w:val="99"/>
    <w:pPr>
      <w:spacing w:line="450" w:lineRule="atLeast"/>
      <w:jc w:val="left"/>
    </w:pPr>
    <w:rPr>
      <w:color w:val="AAAAAA"/>
      <w:kern w:val="0"/>
      <w:szCs w:val="21"/>
    </w:rPr>
  </w:style>
  <w:style w:type="paragraph" w:customStyle="1" w:styleId="61">
    <w:name w:val="inx_text23"/>
    <w:basedOn w:val="1"/>
    <w:qFormat/>
    <w:uiPriority w:val="99"/>
    <w:pPr>
      <w:spacing w:before="135" w:line="345" w:lineRule="atLeast"/>
      <w:jc w:val="center"/>
    </w:pPr>
    <w:rPr>
      <w:color w:val="FFFFFF"/>
      <w:kern w:val="0"/>
      <w:sz w:val="24"/>
      <w:szCs w:val="24"/>
    </w:rPr>
  </w:style>
  <w:style w:type="paragraph" w:customStyle="1" w:styleId="62">
    <w:name w:val="_Style 22"/>
    <w:basedOn w:val="1"/>
    <w:next w:val="1"/>
    <w:qFormat/>
    <w:uiPriority w:val="99"/>
    <w:pPr>
      <w:pBdr>
        <w:bottom w:val="single" w:color="auto" w:sz="6" w:space="1"/>
      </w:pBdr>
      <w:jc w:val="center"/>
    </w:pPr>
    <w:rPr>
      <w:rFonts w:ascii="Arial"/>
      <w:vanish/>
      <w:sz w:val="16"/>
    </w:rPr>
  </w:style>
  <w:style w:type="paragraph" w:customStyle="1" w:styleId="63">
    <w:name w:val="_Style 23"/>
    <w:basedOn w:val="1"/>
    <w:next w:val="1"/>
    <w:qFormat/>
    <w:uiPriority w:val="99"/>
    <w:pPr>
      <w:pBdr>
        <w:top w:val="single" w:color="auto" w:sz="6" w:space="1"/>
      </w:pBdr>
      <w:jc w:val="center"/>
    </w:pPr>
    <w:rPr>
      <w:rFonts w:ascii="Arial"/>
      <w:vanish/>
      <w:sz w:val="16"/>
    </w:rPr>
  </w:style>
  <w:style w:type="character" w:customStyle="1" w:styleId="64">
    <w:name w:val="apple-converted-space"/>
    <w:basedOn w:val="27"/>
    <w:qFormat/>
    <w:uiPriority w:val="99"/>
    <w:rPr>
      <w:rFonts w:cs="Times New Roman"/>
    </w:rPr>
  </w:style>
  <w:style w:type="paragraph" w:customStyle="1" w:styleId="65">
    <w:name w:val="普通(网站)1"/>
    <w:basedOn w:val="1"/>
    <w:qFormat/>
    <w:uiPriority w:val="99"/>
    <w:pPr>
      <w:spacing w:beforeAutospacing="1" w:afterAutospacing="1"/>
      <w:jc w:val="left"/>
    </w:pPr>
    <w:rPr>
      <w:kern w:val="0"/>
      <w:sz w:val="24"/>
    </w:rPr>
  </w:style>
  <w:style w:type="paragraph" w:customStyle="1" w:styleId="66">
    <w:name w:val="列出段落1"/>
    <w:basedOn w:val="1"/>
    <w:qFormat/>
    <w:uiPriority w:val="99"/>
    <w:pPr>
      <w:widowControl/>
      <w:spacing w:before="100" w:beforeAutospacing="1" w:after="100" w:afterAutospacing="1"/>
      <w:jc w:val="left"/>
    </w:pPr>
    <w:rPr>
      <w:rFonts w:ascii="宋体" w:hAnsi="宋体" w:cs="宋体"/>
      <w:kern w:val="0"/>
      <w:sz w:val="24"/>
    </w:rPr>
  </w:style>
  <w:style w:type="paragraph" w:styleId="67">
    <w:name w:val="List Paragraph"/>
    <w:basedOn w:val="1"/>
    <w:qFormat/>
    <w:uiPriority w:val="99"/>
    <w:pPr>
      <w:ind w:firstLine="420" w:firstLineChars="200"/>
    </w:pPr>
  </w:style>
  <w:style w:type="paragraph" w:customStyle="1" w:styleId="68">
    <w:name w:val="普通(网站)11"/>
    <w:basedOn w:val="1"/>
    <w:qFormat/>
    <w:uiPriority w:val="99"/>
    <w:pPr>
      <w:spacing w:beforeAutospacing="1" w:afterAutospacing="1"/>
      <w:jc w:val="left"/>
    </w:pPr>
    <w:rPr>
      <w:kern w:val="0"/>
      <w:sz w:val="24"/>
    </w:rPr>
  </w:style>
  <w:style w:type="paragraph" w:customStyle="1" w:styleId="69">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0">
    <w:name w:val="Char1"/>
    <w:basedOn w:val="1"/>
    <w:qFormat/>
    <w:uiPriority w:val="99"/>
    <w:rPr>
      <w:rFonts w:ascii="Tahoma" w:hAnsi="Tahoma"/>
      <w:sz w:val="24"/>
    </w:rPr>
  </w:style>
  <w:style w:type="paragraph" w:customStyle="1" w:styleId="71">
    <w:name w:val="flName"/>
    <w:basedOn w:val="1"/>
    <w:qFormat/>
    <w:uiPriority w:val="99"/>
    <w:pPr>
      <w:adjustRightInd w:val="0"/>
      <w:spacing w:before="320" w:after="160" w:line="360" w:lineRule="atLeast"/>
      <w:jc w:val="center"/>
      <w:textAlignment w:val="baseline"/>
    </w:pPr>
    <w:rPr>
      <w:rFonts w:ascii="Arial" w:eastAsia="黑体"/>
      <w:sz w:val="32"/>
    </w:rPr>
  </w:style>
  <w:style w:type="character" w:customStyle="1" w:styleId="72">
    <w:name w:val="font21"/>
    <w:basedOn w:val="27"/>
    <w:qFormat/>
    <w:uiPriority w:val="99"/>
    <w:rPr>
      <w:rFonts w:ascii="宋体" w:hAnsi="宋体" w:eastAsia="宋体" w:cs="宋体"/>
      <w:color w:val="000000"/>
      <w:sz w:val="20"/>
      <w:szCs w:val="20"/>
      <w:u w:val="none"/>
    </w:rPr>
  </w:style>
  <w:style w:type="character" w:customStyle="1" w:styleId="73">
    <w:name w:val="font11"/>
    <w:basedOn w:val="27"/>
    <w:qFormat/>
    <w:uiPriority w:val="99"/>
    <w:rPr>
      <w:rFonts w:ascii="宋体" w:hAnsi="宋体" w:eastAsia="宋体" w:cs="宋体"/>
      <w:b/>
      <w:color w:val="000000"/>
      <w:sz w:val="36"/>
      <w:szCs w:val="36"/>
      <w:u w:val="none"/>
    </w:rPr>
  </w:style>
  <w:style w:type="character" w:customStyle="1" w:styleId="74">
    <w:name w:val="font41"/>
    <w:basedOn w:val="27"/>
    <w:qFormat/>
    <w:uiPriority w:val="99"/>
    <w:rPr>
      <w:rFonts w:ascii="Times New Roman" w:hAnsi="Times New Roman" w:cs="Times New Roman"/>
      <w:b/>
      <w:color w:val="000000"/>
      <w:sz w:val="36"/>
      <w:szCs w:val="36"/>
      <w:u w:val="none"/>
    </w:rPr>
  </w:style>
  <w:style w:type="character" w:customStyle="1" w:styleId="75">
    <w:name w:val="font01"/>
    <w:basedOn w:val="27"/>
    <w:qFormat/>
    <w:uiPriority w:val="99"/>
    <w:rPr>
      <w:rFonts w:ascii="Times New Roman" w:hAnsi="Times New Roman" w:cs="Times New Roman"/>
      <w:b/>
      <w:color w:val="000000"/>
      <w:sz w:val="24"/>
      <w:szCs w:val="24"/>
      <w:u w:val="none"/>
    </w:rPr>
  </w:style>
  <w:style w:type="character" w:customStyle="1" w:styleId="76">
    <w:name w:val="font141"/>
    <w:basedOn w:val="27"/>
    <w:qFormat/>
    <w:uiPriority w:val="99"/>
    <w:rPr>
      <w:rFonts w:ascii="Times New Roman" w:hAnsi="Times New Roman" w:cs="Times New Roman"/>
      <w:color w:val="000000"/>
      <w:sz w:val="24"/>
      <w:szCs w:val="24"/>
      <w:u w:val="none"/>
    </w:rPr>
  </w:style>
  <w:style w:type="character" w:customStyle="1" w:styleId="77">
    <w:name w:val="font31"/>
    <w:basedOn w:val="27"/>
    <w:qFormat/>
    <w:uiPriority w:val="99"/>
    <w:rPr>
      <w:rFonts w:ascii="宋体" w:hAnsi="宋体" w:eastAsia="宋体" w:cs="宋体"/>
      <w:color w:val="000000"/>
      <w:sz w:val="24"/>
      <w:szCs w:val="24"/>
      <w:u w:val="none"/>
    </w:rPr>
  </w:style>
  <w:style w:type="character" w:customStyle="1" w:styleId="78">
    <w:name w:val="font71"/>
    <w:basedOn w:val="27"/>
    <w:qFormat/>
    <w:uiPriority w:val="99"/>
    <w:rPr>
      <w:rFonts w:ascii="Times New Roman" w:hAnsi="Times New Roman" w:cs="Times New Roman"/>
      <w:color w:val="000000"/>
      <w:sz w:val="24"/>
      <w:szCs w:val="24"/>
      <w:u w:val="none"/>
    </w:rPr>
  </w:style>
  <w:style w:type="character" w:customStyle="1" w:styleId="79">
    <w:name w:val="font81"/>
    <w:basedOn w:val="27"/>
    <w:qFormat/>
    <w:uiPriority w:val="99"/>
    <w:rPr>
      <w:rFonts w:ascii="Times New Roman" w:hAnsi="Times New Roman" w:cs="Times New Roman"/>
      <w:b/>
      <w:color w:val="000000"/>
      <w:sz w:val="24"/>
      <w:szCs w:val="24"/>
      <w:u w:val="none"/>
    </w:rPr>
  </w:style>
  <w:style w:type="character" w:customStyle="1" w:styleId="80">
    <w:name w:val="font161"/>
    <w:basedOn w:val="27"/>
    <w:qFormat/>
    <w:uiPriority w:val="99"/>
    <w:rPr>
      <w:rFonts w:ascii="Times New Roman" w:hAnsi="Times New Roman" w:cs="Times New Roman"/>
      <w:color w:val="000000"/>
      <w:sz w:val="24"/>
      <w:szCs w:val="24"/>
      <w:u w:val="none"/>
    </w:rPr>
  </w:style>
  <w:style w:type="paragraph" w:customStyle="1" w:styleId="81">
    <w:name w:val="List Paragraph2"/>
    <w:basedOn w:val="1"/>
    <w:qFormat/>
    <w:uiPriority w:val="99"/>
    <w:pPr>
      <w:ind w:firstLine="420" w:firstLineChars="200"/>
    </w:pPr>
  </w:style>
  <w:style w:type="paragraph" w:customStyle="1" w:styleId="82">
    <w:name w:val="列出段落11"/>
    <w:basedOn w:val="1"/>
    <w:qFormat/>
    <w:uiPriority w:val="99"/>
    <w:pPr>
      <w:ind w:firstLine="420" w:firstLineChars="200"/>
    </w:pPr>
  </w:style>
  <w:style w:type="paragraph" w:customStyle="1" w:styleId="83">
    <w:name w:val="null3"/>
    <w:qFormat/>
    <w:uiPriority w:val="0"/>
    <w:rPr>
      <w:rFonts w:hint="eastAsia" w:ascii="Calibri" w:hAnsi="Calibri" w:eastAsia="宋体" w:cs="宋体"/>
      <w:lang w:val="en-US"/>
    </w:rPr>
  </w:style>
  <w:style w:type="paragraph" w:customStyle="1" w:styleId="84">
    <w:name w:val="正文缩进1"/>
    <w:basedOn w:val="1"/>
    <w:qFormat/>
    <w:uiPriority w:val="0"/>
    <w:pPr>
      <w:widowControl/>
      <w:ind w:firstLine="420"/>
      <w:jc w:val="left"/>
    </w:pPr>
    <w:rPr>
      <w:kern w:val="0"/>
    </w:rPr>
  </w:style>
  <w:style w:type="character" w:customStyle="1" w:styleId="85">
    <w:name w:val="副标题 Char"/>
    <w:basedOn w:val="27"/>
    <w:link w:val="19"/>
    <w:qFormat/>
    <w:uiPriority w:val="0"/>
    <w:rPr>
      <w:rFonts w:ascii="Cambria" w:hAnsi="Cambria"/>
      <w:b/>
      <w:bCs/>
      <w:kern w:val="28"/>
      <w:sz w:val="32"/>
      <w:szCs w:val="32"/>
    </w:rPr>
  </w:style>
  <w:style w:type="paragraph" w:customStyle="1" w:styleId="86">
    <w:name w:val="列出段落51"/>
    <w:basedOn w:val="1"/>
    <w:qFormat/>
    <w:uiPriority w:val="34"/>
    <w:pPr>
      <w:ind w:firstLine="420" w:firstLineChars="200"/>
    </w:pPr>
    <w:rPr>
      <w:rFonts w:ascii="Calibri" w:hAnsi="Calibri" w:eastAsia="宋体" w:cs="Times New Roman"/>
      <w:sz w:val="24"/>
      <w:szCs w:val="24"/>
    </w:rPr>
  </w:style>
  <w:style w:type="paragraph" w:customStyle="1" w:styleId="87">
    <w:name w:val="Table Text"/>
    <w:basedOn w:val="1"/>
    <w:qFormat/>
    <w:uiPriority w:val="0"/>
    <w:rPr>
      <w:rFonts w:ascii="宋体" w:hAnsi="宋体" w:eastAsia="宋体" w:cs="宋体"/>
      <w:sz w:val="15"/>
      <w:szCs w:val="15"/>
      <w:lang w:val="en-US" w:eastAsia="en-US" w:bidi="ar-SA"/>
    </w:rPr>
  </w:style>
  <w:style w:type="table" w:customStyle="1" w:styleId="88">
    <w:name w:val="Table Normal"/>
    <w:qFormat/>
    <w:uiPriority w:val="0"/>
    <w:tblPr>
      <w:tblCellMar>
        <w:top w:w="0" w:type="dxa"/>
        <w:left w:w="0" w:type="dxa"/>
        <w:bottom w:w="0" w:type="dxa"/>
        <w:right w:w="0" w:type="dxa"/>
      </w:tblCellMar>
    </w:tblPr>
  </w:style>
  <w:style w:type="paragraph" w:customStyle="1" w:styleId="89">
    <w:name w:val="Body text|1"/>
    <w:basedOn w:val="1"/>
    <w:qFormat/>
    <w:uiPriority w:val="0"/>
    <w:pPr>
      <w:spacing w:line="401" w:lineRule="auto"/>
      <w:ind w:firstLine="380"/>
    </w:pPr>
    <w:rPr>
      <w:rFonts w:ascii="宋体" w:hAnsi="宋体" w:eastAsia="宋体" w:cs="宋体"/>
      <w:color w:val="auto"/>
      <w:kern w:val="2"/>
      <w:sz w:val="19"/>
      <w:szCs w:val="19"/>
      <w:lang w:val="zh-TW" w:eastAsia="zh-TW" w:bidi="zh-TW"/>
    </w:rPr>
  </w:style>
  <w:style w:type="paragraph" w:customStyle="1" w:styleId="90">
    <w:name w:val="71e7dc79-1ff7-45e8-997d-0ebda3762b91"/>
    <w:basedOn w:val="3"/>
    <w:next w:val="91"/>
    <w:qFormat/>
    <w:uiPriority w:val="0"/>
    <w:pPr>
      <w:spacing w:before="0" w:after="0" w:line="288" w:lineRule="auto"/>
    </w:pPr>
    <w:rPr>
      <w:rFonts w:ascii="微软雅黑" w:hAnsi="微软雅黑" w:eastAsia="微软雅黑"/>
      <w:color w:val="000000"/>
      <w:sz w:val="28"/>
    </w:rPr>
  </w:style>
  <w:style w:type="paragraph" w:customStyle="1" w:styleId="91">
    <w:name w:val="acbfdd8b-e11b-4d36-88ff-6049b138f862"/>
    <w:basedOn w:val="8"/>
    <w:qFormat/>
    <w:uiPriority w:val="0"/>
    <w:pPr>
      <w:spacing w:after="0" w:line="288" w:lineRule="auto"/>
    </w:pPr>
    <w:rPr>
      <w:rFonts w:ascii="微软雅黑" w:hAnsi="微软雅黑" w:eastAsia="微软雅黑"/>
      <w:b/>
      <w:bCs/>
      <w:color w:val="000000"/>
      <w:sz w:val="22"/>
      <w:szCs w:val="28"/>
    </w:rPr>
  </w:style>
  <w:style w:type="paragraph" w:customStyle="1" w:styleId="92">
    <w:name w:val="b63ee27f-4cf3-414c-9275-d88e3f90795e"/>
    <w:basedOn w:val="4"/>
    <w:next w:val="91"/>
    <w:qFormat/>
    <w:uiPriority w:val="0"/>
    <w:pPr>
      <w:spacing w:before="0" w:after="0" w:line="288" w:lineRule="auto"/>
    </w:pPr>
    <w:rPr>
      <w:rFonts w:ascii="微软雅黑" w:hAnsi="微软雅黑" w:eastAsia="微软雅黑"/>
      <w:color w:val="000000"/>
      <w:sz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11111111</Company>
  <Pages>77</Pages>
  <Words>4576</Words>
  <Characters>4892</Characters>
  <Paragraphs>1680</Paragraphs>
  <TotalTime>9</TotalTime>
  <ScaleCrop>false</ScaleCrop>
  <LinksUpToDate>false</LinksUpToDate>
  <CharactersWithSpaces>4976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2018-02-12T02:42:00Z</dcterms:created>
  <dc:creator>Administrator</dc:creator>
  <cp:lastModifiedBy>Aaronso</cp:lastModifiedBy>
  <cp:lastPrinted>2025-06-03T01:56:00Z</cp:lastPrinted>
  <dcterms:modified xsi:type="dcterms:W3CDTF">2025-06-04T09:10:11Z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5EAECC876A43429092C0C5493CAF6FAA_13</vt:lpwstr>
  </property>
  <property fmtid="{D5CDD505-2E9C-101B-9397-08002B2CF9AE}" pid="4" name="KSOTemplateDocerSaveRecord">
    <vt:lpwstr>eyJoZGlkIjoiOGQ2ZmFmZGY3YmVlZTliZDNlNzJjYTVhODY1NmU5OTIiLCJ1c2VySWQiOiIxMDAxODI3Mzc0In0=</vt:lpwstr>
  </property>
</Properties>
</file>