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pPr>
        <w:pStyle w:val="48"/>
        <w:rPr>
          <w:color w:val="auto"/>
        </w:rPr>
      </w:pP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pStyle w:val="35"/>
        <w:rPr>
          <w:color w:val="auto"/>
        </w:rPr>
      </w:pPr>
    </w:p>
    <w:p>
      <w:pPr>
        <w:widowControl/>
        <w:shd w:val="clear" w:color="auto" w:fill="FFFFFF"/>
        <w:spacing w:before="75" w:after="75" w:line="360" w:lineRule="auto"/>
        <w:ind w:firstLine="840" w:firstLineChars="300"/>
        <w:jc w:val="left"/>
        <w:rPr>
          <w:rFonts w:hint="eastAsia" w:ascii="微软雅黑" w:hAnsi="微软雅黑" w:eastAsia="微软雅黑" w:cs="微软雅黑"/>
          <w:b/>
          <w:bCs/>
          <w:color w:val="auto"/>
          <w:kern w:val="0"/>
          <w:sz w:val="28"/>
          <w:szCs w:val="28"/>
          <w:lang w:eastAsia="zh-CN"/>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b/>
          <w:bCs/>
          <w:color w:val="auto"/>
          <w:kern w:val="0"/>
          <w:sz w:val="28"/>
          <w:szCs w:val="28"/>
        </w:rPr>
        <w:instrText xml:space="preserve">ADDIN CNKISM.UserStyle</w:instrText>
      </w:r>
      <w:r>
        <w:rPr>
          <w:rFonts w:ascii="微软雅黑" w:hAnsi="微软雅黑" w:eastAsia="微软雅黑" w:cs="微软雅黑"/>
          <w:b/>
          <w:bCs/>
          <w:color w:val="auto"/>
          <w:kern w:val="0"/>
          <w:sz w:val="28"/>
          <w:szCs w:val="28"/>
        </w:rPr>
        <w:fldChar w:fldCharType="separate"/>
      </w:r>
      <w:r>
        <w:rPr>
          <w:rFonts w:hint="eastAsia" w:ascii="微软雅黑" w:hAnsi="微软雅黑" w:eastAsia="微软雅黑" w:cs="微软雅黑"/>
          <w:b/>
          <w:bCs/>
          <w:color w:val="auto"/>
          <w:kern w:val="0"/>
          <w:sz w:val="28"/>
          <w:szCs w:val="28"/>
        </w:rPr>
        <w:fldChar w:fldCharType="end"/>
      </w:r>
      <w:r>
        <w:rPr>
          <w:rFonts w:hint="eastAsia" w:ascii="微软雅黑" w:hAnsi="微软雅黑" w:eastAsia="微软雅黑" w:cs="微软雅黑"/>
          <w:b/>
          <w:bCs/>
          <w:color w:val="auto"/>
          <w:kern w:val="0"/>
          <w:sz w:val="28"/>
          <w:szCs w:val="28"/>
          <w:lang w:eastAsia="zh-CN"/>
        </w:rPr>
        <w:t>泉州师范学院体育学院田径教学训练比赛设备</w:t>
      </w:r>
    </w:p>
    <w:p>
      <w:pPr>
        <w:widowControl/>
        <w:shd w:val="clear" w:color="auto" w:fill="FFFFFF"/>
        <w:spacing w:before="75" w:after="75" w:line="360" w:lineRule="auto"/>
        <w:ind w:firstLine="1961" w:firstLineChars="7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lang w:eastAsia="zh-CN"/>
        </w:rPr>
        <w:t>采购项目</w:t>
      </w:r>
      <w:r>
        <w:rPr>
          <w:rFonts w:hint="eastAsia" w:ascii="微软雅黑" w:hAnsi="微软雅黑" w:eastAsia="微软雅黑" w:cs="微软雅黑"/>
          <w:b/>
          <w:bCs/>
          <w:color w:val="auto"/>
          <w:kern w:val="0"/>
          <w:sz w:val="28"/>
          <w:szCs w:val="28"/>
        </w:rPr>
        <w:t xml:space="preserve"> </w:t>
      </w:r>
      <w:r>
        <w:rPr>
          <w:rFonts w:hint="eastAsia" w:ascii="微软雅黑" w:hAnsi="微软雅黑" w:eastAsia="微软雅黑" w:cs="微软雅黑"/>
          <w:b/>
          <w:bCs/>
          <w:color w:val="auto"/>
          <w:kern w:val="0"/>
          <w:sz w:val="28"/>
          <w:szCs w:val="28"/>
          <w:lang w:val="en-US" w:eastAsia="zh-CN"/>
        </w:rPr>
        <w:t>(二次)</w:t>
      </w:r>
      <w:r>
        <w:rPr>
          <w:rFonts w:hint="eastAsia" w:ascii="微软雅黑" w:hAnsi="微软雅黑" w:eastAsia="微软雅黑" w:cs="微软雅黑"/>
          <w:b/>
          <w:bCs/>
          <w:color w:val="auto"/>
          <w:kern w:val="0"/>
          <w:sz w:val="28"/>
          <w:szCs w:val="28"/>
        </w:rPr>
        <w:t xml:space="preserve">  </w:t>
      </w:r>
    </w:p>
    <w:p>
      <w:pPr>
        <w:widowControl/>
        <w:shd w:val="clear" w:color="auto" w:fill="FFFFFF"/>
        <w:spacing w:before="75" w:after="75" w:line="720" w:lineRule="auto"/>
        <w:ind w:firstLine="840" w:firstLineChars="300"/>
        <w:rPr>
          <w:rFonts w:hint="default" w:ascii="微软雅黑" w:hAnsi="微软雅黑" w:eastAsia="微软雅黑" w:cs="微软雅黑"/>
          <w:color w:val="auto"/>
          <w:kern w:val="0"/>
          <w:sz w:val="28"/>
          <w:szCs w:val="28"/>
          <w:lang w:val="en-US" w:eastAsia="zh-CN"/>
        </w:rPr>
      </w:pPr>
      <w:r>
        <w:rPr>
          <w:rFonts w:hint="eastAsia" w:ascii="微软雅黑" w:hAnsi="微软雅黑" w:eastAsia="微软雅黑" w:cs="微软雅黑"/>
          <w:b/>
          <w:bCs/>
          <w:color w:val="auto"/>
          <w:kern w:val="0"/>
          <w:sz w:val="28"/>
          <w:szCs w:val="28"/>
        </w:rPr>
        <w:t>项目编号：</w:t>
      </w:r>
      <w:r>
        <w:rPr>
          <w:rFonts w:hint="eastAsia" w:ascii="微软雅黑" w:hAnsi="微软雅黑" w:eastAsia="微软雅黑" w:cs="微软雅黑"/>
          <w:b/>
          <w:bCs/>
          <w:color w:val="auto"/>
          <w:kern w:val="0"/>
          <w:sz w:val="28"/>
          <w:szCs w:val="28"/>
          <w:lang w:eastAsia="zh-CN"/>
        </w:rPr>
        <w:t>DHZB2022117-1</w:t>
      </w:r>
    </w:p>
    <w:p>
      <w:pPr>
        <w:widowControl/>
        <w:shd w:val="clear" w:color="auto" w:fill="FFFFFF"/>
        <w:spacing w:before="75" w:after="75" w:line="72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48"/>
        <w:rPr>
          <w:rFonts w:ascii="微软雅黑" w:hAnsi="微软雅黑" w:eastAsia="微软雅黑" w:cs="微软雅黑"/>
          <w:b/>
          <w:bCs/>
          <w:color w:val="auto"/>
          <w:sz w:val="30"/>
        </w:rPr>
      </w:pPr>
    </w:p>
    <w:p>
      <w:pPr>
        <w:pStyle w:val="48"/>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Style w:val="39"/>
          <w:rFonts w:ascii="宋体" w:hAns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283" w:gutter="0"/>
          <w:pgBorders>
            <w:top w:val="none" w:sz="0" w:space="0"/>
            <w:left w:val="none" w:sz="0" w:space="0"/>
            <w:bottom w:val="none" w:sz="0" w:space="0"/>
            <w:right w:val="none" w:sz="0" w:space="0"/>
          </w:pgBorders>
          <w:cols w:space="720" w:num="1"/>
          <w:docGrid w:type="lines" w:linePitch="312" w:charSpace="0"/>
        </w:sectPr>
      </w:pPr>
      <w:r>
        <w:rPr>
          <w:rFonts w:hint="eastAsia" w:ascii="微软雅黑" w:hAnsi="微软雅黑" w:eastAsia="微软雅黑" w:cs="微软雅黑"/>
          <w:b/>
          <w:bCs/>
          <w:color w:val="auto"/>
          <w:kern w:val="0"/>
          <w:sz w:val="24"/>
        </w:rPr>
        <w:t>2022年</w:t>
      </w:r>
      <w:r>
        <w:rPr>
          <w:rFonts w:hint="eastAsia" w:ascii="微软雅黑" w:hAnsi="微软雅黑" w:eastAsia="微软雅黑" w:cs="微软雅黑"/>
          <w:b/>
          <w:bCs/>
          <w:color w:val="auto"/>
          <w:kern w:val="0"/>
          <w:sz w:val="24"/>
          <w:lang w:val="en-US" w:eastAsia="zh-CN"/>
        </w:rPr>
        <w:t>12</w:t>
      </w:r>
      <w:r>
        <w:rPr>
          <w:rFonts w:hint="eastAsia" w:ascii="微软雅黑" w:hAnsi="微软雅黑" w:eastAsia="微软雅黑" w:cs="微软雅黑"/>
          <w:b/>
          <w:bCs/>
          <w:color w:val="auto"/>
          <w:kern w:val="0"/>
          <w:sz w:val="24"/>
        </w:rPr>
        <w:t>月</w:t>
      </w:r>
    </w:p>
    <w:p>
      <w:pPr>
        <w:spacing w:line="360" w:lineRule="auto"/>
        <w:outlineLvl w:val="0"/>
        <w:rPr>
          <w:rFonts w:ascii="宋体" w:hAnsi="宋体"/>
          <w:b/>
          <w:bCs/>
          <w:color w:val="auto"/>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79"/>
        <w:rPr>
          <w:rFonts w:ascii="宋体" w:hAnsi="宋体" w:eastAsia="宋体"/>
          <w:color w:val="auto"/>
          <w:sz w:val="32"/>
          <w:szCs w:val="32"/>
        </w:rPr>
      </w:pPr>
      <w:bookmarkStart w:id="0" w:name="_Toc511891577"/>
      <w:r>
        <w:rPr>
          <w:rStyle w:val="39"/>
          <w:rFonts w:hint="eastAsia" w:ascii="宋体" w:hAnsi="宋体" w:eastAsia="宋体" w:cs="宋体"/>
          <w:color w:val="auto"/>
          <w:sz w:val="32"/>
          <w:szCs w:val="32"/>
        </w:rPr>
        <w:t>第一章</w:t>
      </w:r>
      <w:r>
        <w:rPr>
          <w:rStyle w:val="39"/>
          <w:rFonts w:ascii="宋体" w:hAnsi="宋体" w:eastAsia="宋体" w:cs="宋体"/>
          <w:color w:val="auto"/>
          <w:sz w:val="32"/>
          <w:szCs w:val="32"/>
        </w:rPr>
        <w:t>   </w:t>
      </w:r>
      <w:bookmarkEnd w:id="0"/>
      <w:bookmarkStart w:id="1" w:name="_Toc511891578"/>
      <w:r>
        <w:rPr>
          <w:rStyle w:val="39"/>
          <w:rFonts w:hint="eastAsia" w:ascii="宋体" w:hAnsi="宋体" w:eastAsia="宋体" w:cs="宋体"/>
          <w:color w:val="auto"/>
          <w:sz w:val="32"/>
          <w:szCs w:val="32"/>
        </w:rPr>
        <w:t>竞争性谈判采购公告</w:t>
      </w:r>
      <w:bookmarkEnd w:id="1"/>
    </w:p>
    <w:p>
      <w:pPr>
        <w:pStyle w:val="33"/>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泉州师范学院体育学院田径教学训练比赛设备采购项目（二次）</w:t>
      </w:r>
      <w:r>
        <w:rPr>
          <w:rFonts w:hint="eastAsia" w:ascii="宋体" w:hAnsi="宋体" w:cs="宋体"/>
          <w:color w:val="auto"/>
          <w:shd w:val="clear" w:color="auto" w:fill="FFFFFF"/>
        </w:rPr>
        <w:t xml:space="preserve"> （以下简称：“本项目”）的政府采购活动，现欢迎国内合格的供应商前来参加。</w:t>
      </w:r>
    </w:p>
    <w:p>
      <w:pPr>
        <w:pStyle w:val="33"/>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泉州师范学院体育学院田径教学训练比赛设备采购项目（二次）</w:t>
      </w:r>
      <w:r>
        <w:rPr>
          <w:rFonts w:hint="eastAsia" w:ascii="宋体" w:hAnsi="宋体" w:cs="宋体"/>
          <w:color w:val="auto"/>
          <w:shd w:val="clear" w:color="auto" w:fill="FFFFFF"/>
        </w:rPr>
        <w:t xml:space="preserve">   </w:t>
      </w:r>
    </w:p>
    <w:p>
      <w:pPr>
        <w:pStyle w:val="33"/>
        <w:widowControl/>
        <w:spacing w:before="76" w:after="76" w:line="360" w:lineRule="auto"/>
        <w:ind w:firstLine="480" w:firstLineChars="200"/>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w:t>
      </w:r>
      <w:r>
        <w:rPr>
          <w:rFonts w:hint="eastAsia" w:ascii="宋体" w:hAnsi="宋体" w:cs="宋体"/>
          <w:color w:val="auto"/>
          <w:shd w:val="clear" w:color="auto" w:fill="FFFFFF"/>
          <w:lang w:eastAsia="zh-CN"/>
        </w:rPr>
        <w:t>DHZB2022117-1</w:t>
      </w:r>
    </w:p>
    <w:p>
      <w:pPr>
        <w:pStyle w:val="33"/>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1"/>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7"/>
        <w:gridCol w:w="3960"/>
        <w:gridCol w:w="831"/>
        <w:gridCol w:w="774"/>
        <w:gridCol w:w="1282"/>
        <w:gridCol w:w="12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9" w:hRule="atLeast"/>
          <w:tblHeader/>
          <w:jc w:val="center"/>
        </w:trPr>
        <w:tc>
          <w:tcPr>
            <w:tcW w:w="91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2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2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917"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hint="eastAsia" w:ascii="宋体" w:hAnsi="宋体" w:eastAsia="宋体" w:cs="宋体"/>
                <w:color w:val="auto"/>
                <w:kern w:val="0"/>
                <w:sz w:val="24"/>
                <w:lang w:eastAsia="zh-CN"/>
              </w:rPr>
            </w:pPr>
            <w:r>
              <w:rPr>
                <w:rFonts w:hint="eastAsia" w:ascii="宋体" w:hAnsi="宋体" w:cs="宋体"/>
                <w:color w:val="auto"/>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kern w:val="0"/>
                <w:sz w:val="24"/>
              </w:rPr>
              <w:instrText xml:space="preserve">ADDIN CNKISM.UserStyle</w:instrText>
            </w:r>
            <w:r>
              <w:rPr>
                <w:rFonts w:ascii="宋体" w:hAnsi="宋体" w:cs="宋体"/>
                <w:color w:val="auto"/>
                <w:kern w:val="0"/>
                <w:sz w:val="24"/>
              </w:rPr>
              <w:fldChar w:fldCharType="separate"/>
            </w:r>
            <w:r>
              <w:rPr>
                <w:rFonts w:hint="eastAsia" w:ascii="宋体" w:hAnsi="宋体" w:cs="宋体"/>
                <w:color w:val="auto"/>
                <w:kern w:val="0"/>
                <w:sz w:val="24"/>
              </w:rPr>
              <w:fldChar w:fldCharType="end"/>
            </w:r>
            <w:r>
              <w:rPr>
                <w:rFonts w:hint="eastAsia" w:ascii="宋体" w:hAnsi="宋体" w:cs="宋体"/>
                <w:color w:val="auto"/>
                <w:kern w:val="0"/>
                <w:sz w:val="24"/>
                <w:lang w:eastAsia="zh-CN"/>
              </w:rPr>
              <w:t>泉州师范学院体育学院田径教学训练比赛设备采购项目（二次）</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1批</w:t>
            </w:r>
          </w:p>
        </w:tc>
        <w:tc>
          <w:tcPr>
            <w:tcW w:w="1282"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282250元</w:t>
            </w:r>
          </w:p>
        </w:tc>
        <w:tc>
          <w:tcPr>
            <w:tcW w:w="1281"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3"/>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r>
        <w:rPr>
          <w:rFonts w:hint="eastAsia" w:ascii="宋体" w:hAnsi="宋体" w:eastAsia="宋体" w:cs="宋体"/>
          <w:color w:val="auto"/>
        </w:rPr>
        <w:t>小型、微型企业，适用于合同包一</w:t>
      </w:r>
      <w:r>
        <w:rPr>
          <w:rFonts w:hint="eastAsia" w:ascii="宋体" w:hAnsi="宋体" w:cs="宋体"/>
          <w:color w:val="auto"/>
          <w:shd w:val="clear" w:color="auto" w:fill="FFFFFF"/>
          <w:lang w:eastAsia="zh-CN"/>
        </w:rPr>
        <w:t>；</w:t>
      </w:r>
      <w:r>
        <w:rPr>
          <w:rFonts w:hint="eastAsia" w:ascii="宋体" w:hAnsi="宋体" w:cs="宋体"/>
          <w:color w:val="auto"/>
        </w:rPr>
        <w:t>节能产品，适用于合同包一，按照最新一期节能清单执行。环境标志产品，适用于合同包一，按照最新一期环境标志清单执行。信息安全产品，适用于合同包一。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ascii="宋体" w:hAnsi="宋体" w:cs="宋体"/>
          <w:color w:val="auto"/>
          <w:sz w:val="24"/>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3"/>
        <w:widowControl/>
        <w:spacing w:before="75" w:after="75" w:line="360" w:lineRule="auto"/>
        <w:ind w:firstLine="480" w:firstLineChars="200"/>
        <w:rPr>
          <w:rFonts w:hint="eastAsia" w:ascii="宋体" w:hAnsi="宋体" w:eastAsia="宋体" w:cs="宋体"/>
          <w:color w:val="auto"/>
          <w:lang w:val="en-US" w:eastAsia="zh-CN"/>
        </w:rPr>
      </w:pPr>
      <w:r>
        <w:rPr>
          <w:rFonts w:hint="eastAsia" w:ascii="宋体" w:hAnsi="宋体" w:cs="宋体"/>
          <w:color w:val="auto"/>
          <w:shd w:val="clear" w:color="auto" w:fill="FFFFFF"/>
        </w:rPr>
        <w:t>5.2特定条件：</w:t>
      </w:r>
      <w:r>
        <w:rPr>
          <w:rFonts w:hint="eastAsia" w:ascii="宋体" w:hAnsi="宋体" w:cs="宋体"/>
          <w:b/>
          <w:bCs/>
          <w:color w:val="auto"/>
          <w:shd w:val="clear" w:color="auto" w:fill="FFFFFF"/>
        </w:rPr>
        <w:t xml:space="preserve"> </w:t>
      </w:r>
      <w:r>
        <w:rPr>
          <w:rFonts w:hint="eastAsia" w:ascii="宋体" w:hAnsi="宋体" w:cs="宋体"/>
          <w:b/>
          <w:bCs/>
          <w:color w:val="auto"/>
          <w:shd w:val="clear" w:color="auto" w:fill="FFFFFF"/>
          <w:lang w:eastAsia="zh-CN"/>
        </w:rPr>
        <w:t>无</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.3</w:t>
      </w:r>
      <w:r>
        <w:rPr>
          <w:rFonts w:hint="eastAsia" w:ascii="宋体" w:hAnsi="宋体" w:cs="宋体"/>
          <w:color w:val="auto"/>
          <w:shd w:val="clear" w:color="auto" w:fill="FFFFFF"/>
        </w:rPr>
        <w:t>是否接受联合体形式的响应谈判：不接受</w:t>
      </w:r>
    </w:p>
    <w:p>
      <w:pPr>
        <w:pStyle w:val="3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olor w:val="auto"/>
        </w:rPr>
      </w:pPr>
      <w:r>
        <w:rPr>
          <w:rStyle w:val="39"/>
          <w:rFonts w:hint="eastAsia" w:ascii="宋体" w:hAnsi="宋体" w:cs="宋体"/>
          <w:color w:val="auto"/>
        </w:rPr>
        <w:t>※</w:t>
      </w:r>
      <w:r>
        <w:rPr>
          <w:rStyle w:val="39"/>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w:t>
      </w:r>
      <w:r>
        <w:rPr>
          <w:rFonts w:hint="eastAsia" w:ascii="宋体" w:hAnsi="宋体" w:cs="宋体"/>
          <w:color w:val="auto"/>
          <w:kern w:val="0"/>
          <w:sz w:val="24"/>
        </w:rPr>
        <w:t>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9</w:t>
      </w:r>
      <w:r>
        <w:rPr>
          <w:rFonts w:hint="eastAsia" w:ascii="宋体" w:hAnsi="宋体" w:cs="宋体"/>
          <w:color w:val="auto"/>
          <w:kern w:val="0"/>
          <w:sz w:val="24"/>
        </w:rPr>
        <w:t>日至2022年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日17:30点。</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期限，则</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文件递交截止时间：2022年</w:t>
      </w:r>
      <w:r>
        <w:rPr>
          <w:rFonts w:hint="eastAsia" w:ascii="宋体" w:hAnsi="宋体" w:cs="宋体"/>
          <w:color w:val="auto"/>
          <w:kern w:val="1"/>
          <w:sz w:val="24"/>
          <w:lang w:val="en-US" w:eastAsia="zh-CN"/>
        </w:rPr>
        <w:t xml:space="preserve"> 12</w:t>
      </w:r>
      <w:r>
        <w:rPr>
          <w:rFonts w:hint="eastAsia" w:ascii="宋体" w:hAnsi="宋体" w:cs="宋体"/>
          <w:color w:val="auto"/>
          <w:kern w:val="1"/>
          <w:sz w:val="24"/>
        </w:rPr>
        <w:t>月</w:t>
      </w:r>
      <w:r>
        <w:rPr>
          <w:rFonts w:hint="eastAsia" w:ascii="宋体" w:hAnsi="宋体" w:cs="宋体"/>
          <w:color w:val="auto"/>
          <w:kern w:val="1"/>
          <w:sz w:val="24"/>
          <w:lang w:val="en-US" w:eastAsia="zh-CN"/>
        </w:rPr>
        <w:t>14</w:t>
      </w:r>
      <w:r>
        <w:rPr>
          <w:rFonts w:hint="eastAsia" w:ascii="宋体" w:hAnsi="宋体" w:cs="宋体"/>
          <w:color w:val="auto"/>
          <w:kern w:val="1"/>
          <w:sz w:val="24"/>
        </w:rPr>
        <w:t>日下午</w:t>
      </w:r>
      <w:r>
        <w:rPr>
          <w:rFonts w:hint="eastAsia" w:ascii="宋体" w:hAnsi="宋体" w:cs="宋体"/>
          <w:color w:val="auto"/>
          <w:kern w:val="1"/>
          <w:sz w:val="24"/>
          <w:lang w:val="en-US" w:eastAsia="zh-CN"/>
        </w:rPr>
        <w:t>16</w:t>
      </w:r>
      <w:r>
        <w:rPr>
          <w:rFonts w:hint="eastAsia" w:ascii="宋体" w:hAnsi="宋体" w:cs="宋体"/>
          <w:color w:val="auto"/>
          <w:kern w:val="1"/>
          <w:sz w:val="24"/>
        </w:rPr>
        <w:t>:</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hint="eastAsia" w:ascii="宋体" w:hAnsi="宋体" w:cs="宋体"/>
          <w:color w:val="auto"/>
          <w:kern w:val="0"/>
          <w:sz w:val="24"/>
        </w:rPr>
        <w:t>谈判</w:t>
      </w:r>
      <w:r>
        <w:rPr>
          <w:rFonts w:hint="eastAsia" w:ascii="宋体" w:hAnsi="宋体" w:cs="宋体"/>
          <w:color w:val="auto"/>
          <w:kern w:val="1"/>
          <w:sz w:val="24"/>
        </w:rPr>
        <w:t>时间：2022年</w:t>
      </w:r>
      <w:r>
        <w:rPr>
          <w:rFonts w:hint="eastAsia" w:ascii="宋体" w:hAnsi="宋体" w:cs="宋体"/>
          <w:color w:val="auto"/>
          <w:kern w:val="1"/>
          <w:sz w:val="24"/>
          <w:lang w:val="en-US" w:eastAsia="zh-CN"/>
        </w:rPr>
        <w:t xml:space="preserve"> 12</w:t>
      </w:r>
      <w:r>
        <w:rPr>
          <w:rFonts w:hint="eastAsia" w:ascii="宋体" w:hAnsi="宋体" w:cs="宋体"/>
          <w:color w:val="auto"/>
          <w:kern w:val="1"/>
          <w:sz w:val="24"/>
        </w:rPr>
        <w:t>月</w:t>
      </w:r>
      <w:r>
        <w:rPr>
          <w:rFonts w:hint="eastAsia" w:ascii="宋体" w:hAnsi="宋体" w:cs="宋体"/>
          <w:color w:val="auto"/>
          <w:kern w:val="1"/>
          <w:sz w:val="24"/>
          <w:lang w:val="en-US" w:eastAsia="zh-CN"/>
        </w:rPr>
        <w:t>14</w:t>
      </w:r>
      <w:r>
        <w:rPr>
          <w:rFonts w:hint="eastAsia" w:ascii="宋体" w:hAnsi="宋体" w:cs="宋体"/>
          <w:color w:val="auto"/>
          <w:kern w:val="1"/>
          <w:sz w:val="24"/>
        </w:rPr>
        <w:t>日下午</w:t>
      </w:r>
      <w:r>
        <w:rPr>
          <w:rFonts w:hint="eastAsia" w:ascii="宋体" w:hAnsi="宋体" w:cs="宋体"/>
          <w:color w:val="auto"/>
          <w:kern w:val="1"/>
          <w:sz w:val="24"/>
          <w:lang w:val="en-US" w:eastAsia="zh-CN"/>
        </w:rPr>
        <w:t>16</w:t>
      </w:r>
      <w:r>
        <w:rPr>
          <w:rFonts w:hint="eastAsia" w:ascii="宋体" w:hAnsi="宋体" w:cs="宋体"/>
          <w:color w:val="auto"/>
          <w:kern w:val="1"/>
          <w:sz w:val="24"/>
        </w:rPr>
        <w:t>:</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w:t>
      </w:r>
    </w:p>
    <w:p>
      <w:pPr>
        <w:pStyle w:val="101"/>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3"/>
        <w:widowControl/>
        <w:spacing w:before="60" w:after="60" w:line="360" w:lineRule="auto"/>
        <w:ind w:firstLine="384"/>
        <w:rPr>
          <w:rFonts w:hint="eastAsia"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3"/>
        <w:widowControl/>
        <w:spacing w:before="60" w:after="60" w:line="360" w:lineRule="auto"/>
        <w:ind w:firstLine="720" w:firstLineChars="300"/>
        <w:rPr>
          <w:rFonts w:hint="eastAsia" w:cs="宋体" w:asciiTheme="minorEastAsia" w:hAnsiTheme="minorEastAsia" w:eastAsiaTheme="minorEastAsia"/>
          <w:color w:val="auto"/>
        </w:rPr>
      </w:pPr>
      <w:r>
        <w:rPr>
          <w:rFonts w:hint="eastAsia" w:ascii="宋体" w:hAnsi="宋体" w:cs="宋体"/>
          <w:color w:val="auto"/>
        </w:rPr>
        <w:t>地  址：</w:t>
      </w:r>
      <w:r>
        <w:rPr>
          <w:rFonts w:hint="eastAsia" w:cs="宋体" w:asciiTheme="minorEastAsia" w:hAnsiTheme="minorEastAsia" w:eastAsiaTheme="minorEastAsia"/>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s="宋体" w:asciiTheme="minorEastAsia" w:hAnsiTheme="minorEastAsia" w:eastAsiaTheme="minorEastAsia"/>
          <w:color w:val="auto"/>
        </w:rPr>
        <w:instrText xml:space="preserve">ADDIN CNKISM.UserStyle</w:instrText>
      </w:r>
      <w:r>
        <w:rPr>
          <w:rFonts w:hint="eastAsia" w:cs="宋体" w:asciiTheme="minorEastAsia" w:hAnsiTheme="minorEastAsia" w:eastAsiaTheme="minorEastAsia"/>
          <w:color w:val="auto"/>
        </w:rPr>
        <w:fldChar w:fldCharType="end"/>
      </w:r>
      <w:r>
        <w:rPr>
          <w:rFonts w:hint="eastAsia" w:cs="宋体" w:asciiTheme="minorEastAsia" w:hAnsiTheme="minorEastAsia" w:eastAsiaTheme="minorEastAsia"/>
          <w:color w:val="auto"/>
        </w:rPr>
        <w:t>泉州市丰泽区东海大街398号</w:t>
      </w:r>
    </w:p>
    <w:p>
      <w:pPr>
        <w:pStyle w:val="33"/>
        <w:widowControl/>
        <w:spacing w:before="60" w:after="60" w:line="360" w:lineRule="auto"/>
        <w:ind w:firstLine="676" w:firstLineChars="282"/>
        <w:rPr>
          <w:rFonts w:hint="eastAsia" w:cs="宋体" w:asciiTheme="minorEastAsia" w:hAnsiTheme="minorEastAsia" w:eastAsiaTheme="minorEastAsia"/>
          <w:color w:val="auto"/>
        </w:rPr>
      </w:pPr>
      <w:r>
        <w:rPr>
          <w:rFonts w:hint="eastAsia" w:ascii="宋体" w:hAnsi="宋体" w:cs="宋体"/>
          <w:color w:val="auto"/>
        </w:rPr>
        <w:t>联 系 人：</w:t>
      </w:r>
      <w:r>
        <w:rPr>
          <w:rFonts w:hint="eastAsia" w:ascii="宋体" w:hAnsi="宋体" w:cs="宋体"/>
          <w:color w:val="auto"/>
          <w:lang w:eastAsia="zh-CN"/>
        </w:rPr>
        <w:t>杨</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0595-22919532</w:t>
      </w:r>
    </w:p>
    <w:p>
      <w:pPr>
        <w:pStyle w:val="33"/>
        <w:widowControl/>
        <w:spacing w:before="60" w:after="60" w:line="360" w:lineRule="auto"/>
        <w:ind w:firstLine="676" w:firstLineChars="282"/>
        <w:rPr>
          <w:rFonts w:hint="eastAsia" w:ascii="宋体" w:hAnsi="宋体" w:cs="宋体"/>
          <w:color w:val="auto"/>
        </w:rPr>
      </w:pPr>
      <w:r>
        <w:rPr>
          <w:rFonts w:hint="eastAsia" w:ascii="宋体" w:hAnsi="宋体" w:cs="宋体"/>
          <w:color w:val="auto"/>
        </w:rPr>
        <w:t>联 系 人：</w:t>
      </w:r>
      <w:r>
        <w:rPr>
          <w:rFonts w:hint="eastAsia" w:ascii="宋体" w:hAnsi="宋体" w:cs="宋体"/>
          <w:color w:val="auto"/>
          <w:lang w:val="en-US" w:eastAsia="zh-CN"/>
        </w:rPr>
        <w:t>陈</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18960363606</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联 系 人：小</w:t>
      </w:r>
      <w:r>
        <w:rPr>
          <w:rFonts w:hint="eastAsia" w:ascii="宋体" w:hAnsi="宋体" w:cs="宋体"/>
          <w:color w:val="auto"/>
          <w:lang w:eastAsia="zh-CN"/>
        </w:rPr>
        <w:t>陈</w:t>
      </w:r>
      <w:r>
        <w:rPr>
          <w:rFonts w:hint="eastAsia" w:ascii="宋体" w:hAnsi="宋体" w:cs="宋体"/>
          <w:color w:val="auto"/>
        </w:rPr>
        <w:t xml:space="preserve">      联系方法：0595-22667108</w:t>
      </w:r>
    </w:p>
    <w:p>
      <w:pPr>
        <w:pStyle w:val="79"/>
        <w:spacing w:line="360" w:lineRule="auto"/>
        <w:jc w:val="both"/>
        <w:rPr>
          <w:rStyle w:val="39"/>
          <w:rFonts w:ascii="宋体" w:hAnsi="宋体" w:eastAsia="宋体" w:cs="宋体"/>
          <w:color w:val="auto"/>
          <w:sz w:val="32"/>
          <w:szCs w:val="32"/>
        </w:rPr>
      </w:pPr>
      <w:bookmarkStart w:id="2" w:name="_Toc511891579"/>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rPr>
          <w:rStyle w:val="39"/>
          <w:rFonts w:ascii="宋体" w:hAnsi="宋体" w:eastAsia="宋体" w:cs="宋体"/>
          <w:color w:val="auto"/>
          <w:sz w:val="24"/>
          <w:szCs w:val="24"/>
        </w:rPr>
      </w:pPr>
      <w:r>
        <w:rPr>
          <w:rStyle w:val="39"/>
          <w:rFonts w:hint="eastAsia" w:ascii="宋体" w:hAnsi="宋体" w:eastAsia="宋体" w:cs="宋体"/>
          <w:color w:val="auto"/>
          <w:sz w:val="32"/>
          <w:szCs w:val="32"/>
        </w:rPr>
        <w:t>第二章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竞争性谈判须知</w:t>
      </w:r>
      <w:bookmarkEnd w:id="2"/>
    </w:p>
    <w:p>
      <w:pPr>
        <w:pStyle w:val="72"/>
        <w:rPr>
          <w:rFonts w:ascii="宋体" w:hAnsi="宋体" w:eastAsia="宋体"/>
          <w:color w:val="auto"/>
          <w:sz w:val="28"/>
          <w:szCs w:val="28"/>
        </w:rPr>
      </w:pPr>
      <w:bookmarkStart w:id="3" w:name="_Toc511891580"/>
      <w:r>
        <w:rPr>
          <w:rStyle w:val="39"/>
          <w:rFonts w:hint="eastAsia" w:ascii="宋体" w:hAnsi="宋体" w:eastAsia="宋体" w:cs="宋体"/>
          <w:color w:val="auto"/>
          <w:sz w:val="28"/>
          <w:szCs w:val="28"/>
        </w:rPr>
        <w:t>第</w:t>
      </w:r>
      <w:r>
        <w:rPr>
          <w:rStyle w:val="39"/>
          <w:rFonts w:ascii="宋体" w:hAnsi="宋体" w:eastAsia="宋体" w:cs="宋体"/>
          <w:color w:val="auto"/>
          <w:sz w:val="28"/>
          <w:szCs w:val="28"/>
        </w:rPr>
        <w:t>1</w:t>
      </w:r>
      <w:r>
        <w:rPr>
          <w:rStyle w:val="39"/>
          <w:rFonts w:hint="eastAsia" w:ascii="宋体" w:hAnsi="宋体" w:eastAsia="宋体" w:cs="宋体"/>
          <w:color w:val="auto"/>
          <w:sz w:val="28"/>
          <w:szCs w:val="28"/>
        </w:rPr>
        <w:t>节</w:t>
      </w:r>
      <w:r>
        <w:rPr>
          <w:rStyle w:val="39"/>
          <w:rFonts w:ascii="宋体" w:hAnsi="宋体" w:eastAsia="宋体" w:cs="宋体"/>
          <w:color w:val="auto"/>
          <w:sz w:val="28"/>
          <w:szCs w:val="28"/>
        </w:rPr>
        <w:t xml:space="preserve">  </w:t>
      </w:r>
      <w:r>
        <w:rPr>
          <w:rStyle w:val="39"/>
          <w:rFonts w:hint="eastAsia" w:ascii="宋体" w:hAnsi="宋体" w:eastAsia="宋体" w:cs="宋体"/>
          <w:color w:val="auto"/>
          <w:sz w:val="28"/>
          <w:szCs w:val="28"/>
        </w:rPr>
        <w:t>竞争性谈判须知前附表</w:t>
      </w:r>
      <w:bookmarkEnd w:id="3"/>
    </w:p>
    <w:p>
      <w:pPr>
        <w:pStyle w:val="33"/>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6"/>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7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3"/>
              <w:widowControl/>
              <w:spacing w:line="360" w:lineRule="auto"/>
              <w:rPr>
                <w:rFonts w:ascii="宋体" w:hAnsi="宋体"/>
                <w:color w:val="auto"/>
              </w:rPr>
            </w:pPr>
            <w:r>
              <w:rPr>
                <w:rFonts w:hint="eastAsia" w:ascii="宋体" w:hAnsi="宋体" w:cs="宋体"/>
                <w:color w:val="auto"/>
              </w:rPr>
              <w:t>资格证明文件资料要求：</w:t>
            </w:r>
          </w:p>
          <w:tbl>
            <w:tblPr>
              <w:tblStyle w:val="36"/>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5" w:hRule="atLeast"/>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bl>
          <w:p>
            <w:pPr>
              <w:pStyle w:val="33"/>
              <w:widowControl/>
              <w:spacing w:line="360" w:lineRule="auto"/>
              <w:rPr>
                <w:rFonts w:ascii="宋体" w:hAnsi="宋体"/>
                <w:color w:val="auto"/>
              </w:rPr>
            </w:pPr>
            <w:r>
              <w:rPr>
                <w:rFonts w:hint="eastAsia" w:ascii="宋体" w:hAnsi="宋体" w:cs="宋体"/>
                <w:color w:val="auto"/>
              </w:rPr>
              <w:t>特定资格条件：</w:t>
            </w:r>
            <w:r>
              <w:rPr>
                <w:rStyle w:val="39"/>
                <w:rFonts w:hint="eastAsia" w:ascii="宋体" w:hAnsi="宋体" w:cs="宋体"/>
                <w:color w:val="auto"/>
                <w:shd w:val="clear" w:color="auto" w:fill="FFFFFF"/>
                <w:lang w:eastAsia="zh-CN"/>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Fonts w:hint="eastAsia" w:ascii="宋体" w:hAnsi="宋体" w:cs="宋体"/>
                <w:b/>
                <w:color w:val="auto"/>
              </w:rPr>
              <w:t>纸质</w:t>
            </w:r>
            <w:r>
              <w:rPr>
                <w:rStyle w:val="39"/>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 xml:space="preserve">① </w:t>
            </w:r>
            <w:r>
              <w:rPr>
                <w:rFonts w:hint="eastAsia" w:ascii="宋体" w:hAnsi="宋体"/>
                <w:color w:val="auto"/>
                <w:kern w:val="0"/>
                <w:sz w:val="24"/>
                <w:lang w:eastAsia="zh-CN"/>
              </w:rPr>
              <w:t>竞争性谈判响应文件</w:t>
            </w:r>
            <w:r>
              <w:rPr>
                <w:rFonts w:hint="eastAsia" w:ascii="宋体" w:hAnsi="宋体"/>
                <w:color w:val="auto"/>
                <w:kern w:val="0"/>
                <w:sz w:val="24"/>
              </w:rPr>
              <w:t>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信息公告指定媒体（以下简称：“指定媒体”）：</w:t>
            </w:r>
          </w:p>
          <w:p>
            <w:pPr>
              <w:pStyle w:val="33"/>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3"/>
                <w:rFonts w:hint="eastAsia" w:ascii="宋体" w:hAnsi="宋体" w:cs="宋体"/>
                <w:color w:val="auto"/>
              </w:rPr>
              <w:t>http://www.ccgp.gov.cn</w:t>
            </w:r>
            <w:r>
              <w:rPr>
                <w:rStyle w:val="43"/>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48"/>
              <w:spacing w:line="360" w:lineRule="auto"/>
              <w:rPr>
                <w:rFonts w:hint="eastAsia" w:ascii="宋体" w:hAnsi="宋体"/>
                <w:bCs/>
                <w:color w:val="auto"/>
                <w:lang w:val="en-US" w:eastAsia="zh-CN"/>
              </w:rPr>
            </w:pPr>
            <w:r>
              <w:rPr>
                <w:rFonts w:hint="eastAsia" w:ascii="宋体" w:hAnsi="宋体"/>
                <w:bCs/>
                <w:color w:val="auto"/>
              </w:rPr>
              <w:t>是否收取履约保证金：是。履约保证金百分比：2%。说明：</w:t>
            </w:r>
            <w:r>
              <w:rPr>
                <w:rFonts w:hint="eastAsia" w:ascii="宋体" w:hAnsi="宋体"/>
                <w:bCs/>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Style w:val="39"/>
                <w:rFonts w:ascii="宋体" w:hAnsi="宋体" w:cs="宋体"/>
                <w:color w:val="auto"/>
              </w:rPr>
            </w:pPr>
            <w:r>
              <w:rPr>
                <w:rStyle w:val="39"/>
                <w:rFonts w:hint="eastAsia" w:ascii="宋体" w:hAnsi="宋体" w:cs="宋体"/>
                <w:color w:val="auto"/>
              </w:rPr>
              <w:t>招标代理服务费：</w:t>
            </w:r>
          </w:p>
          <w:p>
            <w:pPr>
              <w:pStyle w:val="33"/>
              <w:widowControl/>
              <w:numPr>
                <w:ilvl w:val="0"/>
                <w:numId w:val="2"/>
              </w:numPr>
              <w:spacing w:line="360" w:lineRule="auto"/>
              <w:rPr>
                <w:rStyle w:val="39"/>
                <w:rFonts w:ascii="宋体" w:hAnsi="宋体" w:cs="宋体"/>
                <w:b w:val="0"/>
                <w:color w:val="auto"/>
              </w:rPr>
            </w:pPr>
            <w:r>
              <w:rPr>
                <w:rStyle w:val="39"/>
                <w:rFonts w:hint="eastAsia" w:ascii="宋体" w:hAnsi="宋体" w:cs="宋体"/>
                <w:b w:val="0"/>
                <w:color w:val="auto"/>
              </w:rPr>
              <w:t>本项目的招标代理服务费由成交供应商支付。</w:t>
            </w:r>
          </w:p>
          <w:p>
            <w:pPr>
              <w:pStyle w:val="33"/>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3"/>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12.5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hint="eastAsia" w:ascii="宋体" w:hAnsi="宋体" w:eastAsia="宋体" w:cs="宋体"/>
                <w:bCs/>
                <w:color w:val="auto"/>
                <w:lang w:eastAsia="zh-CN"/>
              </w:rPr>
            </w:pPr>
            <w:r>
              <w:rPr>
                <w:rFonts w:hint="eastAsia" w:ascii="宋体" w:hAnsi="宋体" w:cs="宋体"/>
                <w:bCs/>
                <w:color w:val="auto"/>
                <w:lang w:eastAsia="zh-CN"/>
              </w:rPr>
              <w:t>因本项目第一次竞争性谈判不足三家已经流标，本次采购</w:t>
            </w:r>
            <w:r>
              <w:rPr>
                <w:rFonts w:hint="eastAsia" w:ascii="宋体" w:hAnsi="宋体" w:cs="宋体"/>
                <w:color w:val="auto"/>
              </w:rPr>
              <w:t>提交响应文件的供应商</w:t>
            </w:r>
            <w:r>
              <w:rPr>
                <w:rFonts w:hint="eastAsia" w:ascii="宋体" w:hAnsi="宋体" w:cs="宋体"/>
                <w:color w:val="auto"/>
                <w:lang w:eastAsia="zh-CN"/>
              </w:rPr>
              <w:t>满足二家或以上</w:t>
            </w:r>
            <w:r>
              <w:rPr>
                <w:rFonts w:hint="eastAsia" w:ascii="宋体" w:hAnsi="宋体" w:cs="宋体"/>
                <w:color w:val="auto"/>
              </w:rPr>
              <w:t>竞争性谈判活动</w:t>
            </w:r>
            <w:r>
              <w:rPr>
                <w:rFonts w:hint="eastAsia" w:ascii="宋体" w:hAnsi="宋体" w:cs="宋体"/>
                <w:color w:val="auto"/>
                <w:lang w:eastAsia="zh-CN"/>
              </w:rPr>
              <w:t>可</w:t>
            </w:r>
            <w:bookmarkStart w:id="22" w:name="_GoBack"/>
            <w:bookmarkEnd w:id="22"/>
            <w:r>
              <w:rPr>
                <w:rFonts w:hint="eastAsia" w:ascii="宋体" w:hAnsi="宋体" w:cs="宋体"/>
                <w:color w:val="auto"/>
                <w:lang w:eastAsia="zh-CN"/>
              </w:rPr>
              <w:t>继续进行。本谈判文件中表述与此矛盾的，以此为准。</w:t>
            </w:r>
          </w:p>
        </w:tc>
      </w:tr>
    </w:tbl>
    <w:p>
      <w:pPr>
        <w:pStyle w:val="33"/>
        <w:widowControl/>
        <w:spacing w:before="76" w:after="76" w:line="360" w:lineRule="auto"/>
        <w:rPr>
          <w:rStyle w:val="39"/>
          <w:rFonts w:ascii="宋体" w:hAnsi="宋体" w:cs="宋体"/>
          <w:color w:val="auto"/>
        </w:rPr>
      </w:pPr>
    </w:p>
    <w:p>
      <w:pPr>
        <w:pStyle w:val="33"/>
        <w:widowControl/>
        <w:spacing w:before="76" w:after="76" w:line="360" w:lineRule="auto"/>
        <w:rPr>
          <w:rStyle w:val="39"/>
          <w:rFonts w:ascii="宋体" w:hAnsi="宋体" w:cs="宋体"/>
          <w:color w:val="auto"/>
        </w:rPr>
      </w:pPr>
    </w:p>
    <w:p>
      <w:pPr>
        <w:widowControl/>
        <w:spacing w:line="360" w:lineRule="auto"/>
        <w:jc w:val="center"/>
        <w:rPr>
          <w:rFonts w:ascii="宋体" w:hAnsi="宋体"/>
          <w:color w:val="auto"/>
          <w:sz w:val="32"/>
          <w:szCs w:val="32"/>
        </w:rPr>
      </w:pPr>
      <w:r>
        <w:rPr>
          <w:rStyle w:val="39"/>
          <w:rFonts w:ascii="宋体" w:hAnsi="宋体" w:cs="宋体"/>
          <w:color w:val="auto"/>
        </w:rPr>
        <w:br w:type="page"/>
      </w:r>
      <w:bookmarkStart w:id="4" w:name="_Toc511891581"/>
      <w:r>
        <w:rPr>
          <w:rStyle w:val="39"/>
          <w:rFonts w:hint="eastAsia" w:ascii="宋体" w:hAnsi="宋体" w:cs="宋体"/>
          <w:color w:val="auto"/>
          <w:sz w:val="32"/>
          <w:szCs w:val="32"/>
        </w:rPr>
        <w:t>专项附件：评定成交的标准和方法</w:t>
      </w:r>
      <w:bookmarkEnd w:id="4"/>
    </w:p>
    <w:p>
      <w:pPr>
        <w:pStyle w:val="74"/>
        <w:numPr>
          <w:ilvl w:val="0"/>
          <w:numId w:val="3"/>
        </w:numPr>
        <w:spacing w:before="0" w:after="0" w:line="360" w:lineRule="auto"/>
        <w:ind w:firstLine="2530"/>
        <w:jc w:val="both"/>
        <w:rPr>
          <w:rStyle w:val="39"/>
          <w:rFonts w:ascii="宋体" w:hAnsi="宋体" w:eastAsia="宋体" w:cs="宋体"/>
          <w:color w:val="auto"/>
          <w:sz w:val="28"/>
          <w:szCs w:val="28"/>
        </w:rPr>
      </w:pPr>
      <w:bookmarkStart w:id="5" w:name="_Toc511891582"/>
      <w:r>
        <w:rPr>
          <w:rStyle w:val="39"/>
          <w:rFonts w:hint="eastAsia" w:ascii="宋体" w:hAnsi="宋体" w:eastAsia="宋体" w:cs="宋体"/>
          <w:color w:val="auto"/>
          <w:sz w:val="28"/>
          <w:szCs w:val="28"/>
        </w:rPr>
        <w:t xml:space="preserve"> 谈判小组</w:t>
      </w:r>
      <w:bookmarkEnd w:id="5"/>
    </w:p>
    <w:p>
      <w:pPr>
        <w:pStyle w:val="33"/>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3"/>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3"/>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3"/>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3"/>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3"/>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3"/>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3"/>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3"/>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3"/>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3"/>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3"/>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3"/>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3"/>
        <w:widowControl/>
        <w:spacing w:line="360" w:lineRule="auto"/>
        <w:ind w:firstLine="480"/>
        <w:rPr>
          <w:rStyle w:val="39"/>
          <w:rFonts w:ascii="宋体" w:hAnsi="宋体" w:cs="宋体"/>
          <w:color w:val="auto"/>
        </w:rPr>
      </w:pPr>
      <w:r>
        <w:rPr>
          <w:rStyle w:val="39"/>
          <w:rFonts w:hint="eastAsia" w:ascii="宋体" w:hAnsi="宋体" w:cs="宋体"/>
          <w:color w:val="auto"/>
        </w:rPr>
        <w:t>※对违反评审纪律的评委，将取消其评委资格，对评审工作造成严重损失者将予以通报批评乃至追究法律责任。</w:t>
      </w:r>
    </w:p>
    <w:p>
      <w:pPr>
        <w:pStyle w:val="33"/>
        <w:widowControl/>
        <w:spacing w:line="360" w:lineRule="auto"/>
        <w:ind w:firstLine="480"/>
        <w:rPr>
          <w:rStyle w:val="39"/>
          <w:rFonts w:ascii="宋体" w:hAnsi="宋体" w:cs="宋体"/>
          <w:color w:val="auto"/>
        </w:rPr>
      </w:pPr>
    </w:p>
    <w:p>
      <w:pPr>
        <w:pStyle w:val="74"/>
        <w:spacing w:before="0" w:after="0" w:line="360" w:lineRule="auto"/>
        <w:rPr>
          <w:rFonts w:ascii="宋体" w:hAnsi="宋体"/>
          <w:color w:val="auto"/>
        </w:rPr>
      </w:pPr>
      <w:bookmarkStart w:id="6" w:name="_Toc511891583"/>
      <w:r>
        <w:rPr>
          <w:rStyle w:val="39"/>
          <w:rFonts w:hint="eastAsia" w:ascii="宋体" w:hAnsi="宋体" w:eastAsia="宋体" w:cs="宋体"/>
          <w:color w:val="auto"/>
          <w:sz w:val="32"/>
          <w:szCs w:val="32"/>
        </w:rPr>
        <w:t>二、谈判程序</w:t>
      </w:r>
      <w:bookmarkEnd w:id="6"/>
    </w:p>
    <w:p>
      <w:pPr>
        <w:pStyle w:val="33"/>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3"/>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3"/>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3"/>
        <w:widowControl/>
        <w:spacing w:line="360" w:lineRule="auto"/>
        <w:jc w:val="center"/>
        <w:rPr>
          <w:rFonts w:ascii="宋体" w:hAnsi="宋体"/>
          <w:color w:val="auto"/>
          <w:sz w:val="32"/>
          <w:szCs w:val="32"/>
        </w:rPr>
      </w:pPr>
      <w:r>
        <w:rPr>
          <w:rStyle w:val="39"/>
          <w:rFonts w:ascii="宋体" w:hAnsi="宋体" w:cs="宋体"/>
          <w:color w:val="auto"/>
          <w:sz w:val="32"/>
          <w:szCs w:val="32"/>
        </w:rPr>
        <w:t> </w:t>
      </w:r>
    </w:p>
    <w:p>
      <w:pPr>
        <w:pStyle w:val="74"/>
        <w:spacing w:before="0" w:after="0" w:line="360" w:lineRule="auto"/>
        <w:rPr>
          <w:rFonts w:ascii="宋体" w:hAnsi="宋体"/>
          <w:color w:val="auto"/>
        </w:rPr>
      </w:pPr>
      <w:bookmarkStart w:id="7" w:name="_Toc511891584"/>
      <w:r>
        <w:rPr>
          <w:rStyle w:val="39"/>
          <w:rFonts w:hint="eastAsia" w:ascii="宋体" w:hAnsi="宋体" w:eastAsia="宋体" w:cs="宋体"/>
          <w:color w:val="auto"/>
          <w:sz w:val="32"/>
          <w:szCs w:val="32"/>
        </w:rPr>
        <w:t>三、最低评审价法和成交候选人推荐</w:t>
      </w:r>
      <w:bookmarkEnd w:id="7"/>
    </w:p>
    <w:p>
      <w:pPr>
        <w:pStyle w:val="33"/>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3"/>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3"/>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3"/>
        <w:widowControl/>
        <w:numPr>
          <w:ilvl w:val="0"/>
          <w:numId w:val="4"/>
        </w:numPr>
        <w:spacing w:line="360" w:lineRule="auto"/>
        <w:ind w:firstLine="480"/>
        <w:rPr>
          <w:rFonts w:hint="eastAsia" w:ascii="宋体" w:hAnsi="宋体" w:cs="宋体"/>
          <w:color w:val="auto"/>
          <w:lang w:eastAsia="zh-CN"/>
        </w:rPr>
      </w:pPr>
      <w:r>
        <w:rPr>
          <w:rFonts w:hint="eastAsia" w:ascii="宋体" w:hAnsi="宋体" w:cs="宋体"/>
          <w:color w:val="auto"/>
        </w:rPr>
        <w:t>小型、微型企业产品：1、对小、微企业报价给予15%的扣除。2、联合协议或分包意向协议约定小微企业的合同份额占到合同总金额 30%以上的，对联合体或者大中型企业的报价给予 5%的扣除。（本项目不适用）3、监狱企业视同上述中小企业享受政府采购扶持政策。4、残疾人福利性单位提供本单位制造的货物、承担的工程或服务，或提供其他残疾人福利性单位制造的货物（不包括使用非残疾人福利性单位注册商标的货物），对报价给予 10%的扣除。</w:t>
      </w:r>
      <w:r>
        <w:rPr>
          <w:rFonts w:ascii="宋体" w:hAnsi="宋体" w:cs="宋体"/>
          <w:color w:val="auto"/>
        </w:rPr>
        <w:t xml:space="preserve"> </w:t>
      </w:r>
    </w:p>
    <w:p>
      <w:pPr>
        <w:pStyle w:val="33"/>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3"/>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3"/>
        <w:widowControl/>
        <w:spacing w:line="360" w:lineRule="auto"/>
        <w:ind w:firstLine="480"/>
        <w:rPr>
          <w:rFonts w:ascii="宋体" w:hAnsi="宋体" w:cs="宋体"/>
          <w:color w:val="auto"/>
        </w:rPr>
      </w:pPr>
    </w:p>
    <w:p>
      <w:pPr>
        <w:pStyle w:val="74"/>
        <w:spacing w:before="0" w:after="0" w:line="360" w:lineRule="auto"/>
        <w:rPr>
          <w:rFonts w:ascii="宋体" w:hAnsi="宋体"/>
          <w:color w:val="auto"/>
        </w:rPr>
      </w:pPr>
      <w:bookmarkStart w:id="8" w:name="_Toc511891585"/>
      <w:r>
        <w:rPr>
          <w:rStyle w:val="39"/>
          <w:rFonts w:hint="eastAsia" w:ascii="宋体" w:hAnsi="宋体" w:eastAsia="宋体" w:cs="宋体"/>
          <w:color w:val="auto"/>
          <w:sz w:val="32"/>
          <w:szCs w:val="32"/>
        </w:rPr>
        <w:t>四、评审报告</w:t>
      </w:r>
      <w:bookmarkEnd w:id="8"/>
    </w:p>
    <w:p>
      <w:pPr>
        <w:pStyle w:val="33"/>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3"/>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3"/>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3"/>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3"/>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3"/>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3"/>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3"/>
        <w:widowControl/>
        <w:spacing w:line="360" w:lineRule="auto"/>
        <w:ind w:firstLine="360" w:firstLineChars="150"/>
        <w:rPr>
          <w:rFonts w:ascii="宋体" w:hAnsi="宋体" w:cs="宋体"/>
          <w:color w:val="auto"/>
        </w:rPr>
      </w:pPr>
    </w:p>
    <w:p>
      <w:pPr>
        <w:pStyle w:val="74"/>
        <w:spacing w:before="0" w:after="0" w:line="360" w:lineRule="auto"/>
        <w:rPr>
          <w:rFonts w:ascii="宋体" w:hAnsi="宋体"/>
          <w:color w:val="auto"/>
        </w:rPr>
      </w:pPr>
      <w:bookmarkStart w:id="9" w:name="_Toc511891586"/>
      <w:r>
        <w:rPr>
          <w:rStyle w:val="39"/>
          <w:rFonts w:hint="eastAsia" w:ascii="宋体" w:hAnsi="宋体" w:eastAsia="宋体" w:cs="宋体"/>
          <w:color w:val="auto"/>
          <w:sz w:val="32"/>
          <w:szCs w:val="32"/>
        </w:rPr>
        <w:t>五、其他规定</w:t>
      </w:r>
      <w:bookmarkEnd w:id="9"/>
    </w:p>
    <w:p>
      <w:pPr>
        <w:pStyle w:val="33"/>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3"/>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3"/>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3"/>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3"/>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9"/>
          <w:rFonts w:hint="eastAsia" w:ascii="宋体" w:hAnsi="宋体" w:cs="宋体"/>
          <w:color w:val="auto"/>
          <w:sz w:val="32"/>
          <w:szCs w:val="32"/>
        </w:rPr>
        <w:t>第</w:t>
      </w:r>
      <w:r>
        <w:rPr>
          <w:rStyle w:val="39"/>
          <w:rFonts w:ascii="宋体" w:hAnsi="宋体" w:cs="宋体"/>
          <w:color w:val="auto"/>
          <w:sz w:val="32"/>
          <w:szCs w:val="32"/>
        </w:rPr>
        <w:t>2</w:t>
      </w:r>
      <w:r>
        <w:rPr>
          <w:rStyle w:val="39"/>
          <w:rFonts w:hint="eastAsia" w:ascii="宋体" w:hAnsi="宋体" w:cs="宋体"/>
          <w:color w:val="auto"/>
          <w:sz w:val="32"/>
          <w:szCs w:val="32"/>
        </w:rPr>
        <w:t>节</w:t>
      </w:r>
      <w:r>
        <w:rPr>
          <w:rStyle w:val="39"/>
          <w:rFonts w:ascii="宋体" w:hAnsi="宋体" w:cs="宋体"/>
          <w:color w:val="auto"/>
          <w:sz w:val="32"/>
          <w:szCs w:val="32"/>
        </w:rPr>
        <w:t xml:space="preserve">  </w:t>
      </w:r>
      <w:r>
        <w:rPr>
          <w:rStyle w:val="39"/>
          <w:rFonts w:hint="eastAsia" w:ascii="宋体" w:hAnsi="宋体" w:cs="宋体"/>
          <w:color w:val="auto"/>
          <w:sz w:val="32"/>
          <w:szCs w:val="32"/>
        </w:rPr>
        <w:t>竞争性谈判须知</w:t>
      </w:r>
      <w:bookmarkEnd w:id="10"/>
    </w:p>
    <w:p>
      <w:pPr>
        <w:pStyle w:val="74"/>
        <w:spacing w:before="0" w:after="0" w:line="360" w:lineRule="auto"/>
        <w:rPr>
          <w:rStyle w:val="39"/>
          <w:rFonts w:ascii="宋体" w:hAnsi="宋体" w:eastAsia="宋体" w:cs="宋体"/>
          <w:color w:val="auto"/>
          <w:sz w:val="28"/>
          <w:szCs w:val="28"/>
        </w:rPr>
      </w:pPr>
      <w:bookmarkStart w:id="11" w:name="_Toc511891588"/>
      <w:r>
        <w:rPr>
          <w:rStyle w:val="39"/>
          <w:rFonts w:hint="eastAsia" w:ascii="宋体" w:hAnsi="宋体" w:eastAsia="宋体" w:cs="宋体"/>
          <w:color w:val="auto"/>
          <w:sz w:val="28"/>
          <w:szCs w:val="28"/>
        </w:rPr>
        <w:t>一、总则</w:t>
      </w:r>
      <w:bookmarkEnd w:id="11"/>
    </w:p>
    <w:p>
      <w:pPr>
        <w:pStyle w:val="33"/>
        <w:widowControl/>
        <w:spacing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适用范围：</w:t>
      </w:r>
    </w:p>
    <w:p>
      <w:pPr>
        <w:pStyle w:val="33"/>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定义及要求：</w:t>
      </w:r>
    </w:p>
    <w:p>
      <w:pPr>
        <w:pStyle w:val="33"/>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3"/>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3"/>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“潜在供应商”按照谈判文件第一章规定进行获取文件，且有意向参加本项目响应谈判的供应商。</w:t>
      </w:r>
    </w:p>
    <w:p>
      <w:pPr>
        <w:pStyle w:val="33"/>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“供应商”指按照谈判文件第一章规定进行获取文件，且已经提交响应文件的法人或其他组织或自然人。只有适合自然人参与和承接的政府采购项目，供应商才可以是自然人。</w:t>
      </w:r>
    </w:p>
    <w:p>
      <w:pPr>
        <w:pStyle w:val="33"/>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3"/>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3"/>
        <w:widowControl/>
        <w:spacing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合格的供应商：</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3"/>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3"/>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Style w:val="39"/>
          <w:rFonts w:hint="eastAsia" w:ascii="宋体" w:hAnsi="宋体" w:cs="宋体"/>
          <w:color w:val="auto"/>
        </w:rPr>
        <w:t>供应商有责任检查自身情况，在响应文件中对是否违反以上一般规定做出如实声明，否则其响应文件将被否决。</w:t>
      </w:r>
    </w:p>
    <w:p>
      <w:pPr>
        <w:pStyle w:val="33"/>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3"/>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3"/>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3"/>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3"/>
        <w:widowControl/>
        <w:spacing w:line="360" w:lineRule="auto"/>
        <w:rPr>
          <w:rFonts w:ascii="宋体" w:hAnsi="宋体"/>
          <w:color w:val="auto"/>
        </w:rPr>
      </w:pPr>
      <w:r>
        <w:rPr>
          <w:rStyle w:val="39"/>
          <w:rFonts w:ascii="宋体" w:hAnsi="宋体" w:cs="宋体"/>
          <w:color w:val="auto"/>
        </w:rPr>
        <w:t>4.</w:t>
      </w:r>
      <w:r>
        <w:rPr>
          <w:rStyle w:val="39"/>
          <w:rFonts w:hint="eastAsia" w:ascii="宋体" w:hAnsi="宋体" w:cs="宋体"/>
          <w:color w:val="auto"/>
        </w:rPr>
        <w:t>参与竞争性谈判费用：</w:t>
      </w:r>
    </w:p>
    <w:p>
      <w:pPr>
        <w:pStyle w:val="33"/>
        <w:widowControl/>
        <w:spacing w:line="360" w:lineRule="auto"/>
        <w:ind w:firstLine="480"/>
        <w:rPr>
          <w:rFonts w:ascii="宋体" w:hAnsi="宋体" w:cs="宋体"/>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二、竞争性谈判文件</w:t>
      </w:r>
      <w:bookmarkEnd w:id="12"/>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5.</w:t>
      </w:r>
      <w:r>
        <w:rPr>
          <w:rStyle w:val="39"/>
          <w:rFonts w:hint="eastAsia" w:ascii="宋体" w:hAnsi="宋体" w:cs="宋体"/>
          <w:color w:val="auto"/>
        </w:rPr>
        <w:t>竞争性谈判文件的组成：</w:t>
      </w:r>
    </w:p>
    <w:p>
      <w:pPr>
        <w:pStyle w:val="33"/>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3"/>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3"/>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3"/>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3"/>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3"/>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3"/>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3"/>
        <w:widowControl/>
        <w:spacing w:line="360" w:lineRule="auto"/>
        <w:rPr>
          <w:rFonts w:ascii="宋体" w:hAnsi="宋体"/>
          <w:color w:val="auto"/>
        </w:rPr>
      </w:pPr>
      <w:r>
        <w:rPr>
          <w:rStyle w:val="39"/>
          <w:rFonts w:ascii="宋体" w:hAnsi="宋体" w:cs="宋体"/>
          <w:color w:val="auto"/>
        </w:rPr>
        <w:t>6.</w:t>
      </w:r>
      <w:r>
        <w:rPr>
          <w:rStyle w:val="39"/>
          <w:rFonts w:hint="eastAsia" w:ascii="宋体" w:hAnsi="宋体" w:cs="宋体"/>
          <w:color w:val="auto"/>
        </w:rPr>
        <w:t>竞争性谈判文件的澄清、补充或修改：</w:t>
      </w:r>
    </w:p>
    <w:p>
      <w:pPr>
        <w:pStyle w:val="33"/>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3"/>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3"/>
        <w:widowControl/>
        <w:spacing w:line="360" w:lineRule="auto"/>
        <w:jc w:val="both"/>
        <w:rPr>
          <w:rStyle w:val="39"/>
          <w:rFonts w:ascii="宋体" w:hAnsi="宋体" w:cs="宋体"/>
          <w:color w:val="auto"/>
        </w:rPr>
      </w:pPr>
    </w:p>
    <w:p>
      <w:pPr>
        <w:pStyle w:val="74"/>
        <w:spacing w:before="0" w:after="0" w:line="360" w:lineRule="auto"/>
        <w:rPr>
          <w:rStyle w:val="39"/>
          <w:rFonts w:ascii="宋体" w:hAnsi="宋体" w:eastAsia="宋体" w:cs="宋体"/>
          <w:color w:val="auto"/>
          <w:sz w:val="32"/>
          <w:szCs w:val="32"/>
        </w:rPr>
      </w:pPr>
      <w:bookmarkStart w:id="13" w:name="_Toc511891590"/>
      <w:r>
        <w:rPr>
          <w:rStyle w:val="39"/>
          <w:rFonts w:hint="eastAsia" w:ascii="宋体" w:hAnsi="宋体" w:eastAsia="宋体" w:cs="宋体"/>
          <w:color w:val="auto"/>
          <w:sz w:val="32"/>
          <w:szCs w:val="32"/>
        </w:rPr>
        <w:t>三、响应文件编制</w:t>
      </w:r>
      <w:bookmarkEnd w:id="13"/>
    </w:p>
    <w:p>
      <w:pPr>
        <w:pStyle w:val="33"/>
        <w:widowControl/>
        <w:spacing w:line="360" w:lineRule="auto"/>
        <w:rPr>
          <w:rFonts w:ascii="宋体" w:hAnsi="宋体"/>
          <w:color w:val="auto"/>
        </w:rPr>
      </w:pPr>
      <w:r>
        <w:rPr>
          <w:rStyle w:val="39"/>
          <w:rFonts w:ascii="宋体" w:hAnsi="宋体" w:cs="宋体"/>
          <w:color w:val="auto"/>
        </w:rPr>
        <w:t>7.</w:t>
      </w:r>
      <w:r>
        <w:rPr>
          <w:rStyle w:val="39"/>
          <w:rFonts w:hint="eastAsia" w:ascii="宋体" w:hAnsi="宋体" w:cs="宋体"/>
          <w:color w:val="auto"/>
        </w:rPr>
        <w:t>应标要求</w:t>
      </w:r>
    </w:p>
    <w:p>
      <w:pPr>
        <w:pStyle w:val="33"/>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9"/>
          <w:rFonts w:hint="eastAsia" w:ascii="宋体" w:hAnsi="宋体" w:cs="宋体"/>
          <w:color w:val="auto"/>
        </w:rPr>
        <w:t>否则其相应合同包的响应文件将被否决。</w:t>
      </w:r>
    </w:p>
    <w:p>
      <w:pPr>
        <w:pStyle w:val="33"/>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3"/>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3"/>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3"/>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3"/>
        <w:widowControl/>
        <w:spacing w:line="360" w:lineRule="auto"/>
        <w:rPr>
          <w:rFonts w:ascii="宋体" w:hAnsi="宋体"/>
          <w:color w:val="auto"/>
        </w:rPr>
      </w:pPr>
      <w:r>
        <w:rPr>
          <w:rStyle w:val="39"/>
          <w:rFonts w:ascii="宋体" w:hAnsi="宋体" w:cs="宋体"/>
          <w:color w:val="auto"/>
        </w:rPr>
        <w:t>8.</w:t>
      </w:r>
      <w:r>
        <w:rPr>
          <w:rStyle w:val="39"/>
          <w:rFonts w:hint="eastAsia" w:ascii="宋体" w:hAnsi="宋体" w:cs="宋体"/>
          <w:color w:val="auto"/>
        </w:rPr>
        <w:t>首次响应文件的组成：</w:t>
      </w:r>
    </w:p>
    <w:p>
      <w:pPr>
        <w:pStyle w:val="33"/>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3"/>
        <w:widowControl/>
        <w:spacing w:line="360" w:lineRule="auto"/>
        <w:rPr>
          <w:rFonts w:ascii="宋体" w:hAnsi="宋体"/>
          <w:color w:val="auto"/>
        </w:rPr>
      </w:pPr>
      <w:r>
        <w:rPr>
          <w:rStyle w:val="39"/>
          <w:rFonts w:ascii="宋体" w:hAnsi="宋体" w:cs="宋体"/>
          <w:color w:val="auto"/>
        </w:rPr>
        <w:t>9.</w:t>
      </w:r>
      <w:r>
        <w:rPr>
          <w:rStyle w:val="39"/>
          <w:rFonts w:hint="eastAsia" w:ascii="宋体" w:hAnsi="宋体" w:cs="宋体"/>
          <w:color w:val="auto"/>
        </w:rPr>
        <w:t>响应文件有效期：</w:t>
      </w:r>
    </w:p>
    <w:p>
      <w:pPr>
        <w:pStyle w:val="33"/>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3"/>
        <w:widowControl/>
        <w:spacing w:line="360" w:lineRule="auto"/>
        <w:rPr>
          <w:rFonts w:ascii="宋体" w:hAnsi="宋体"/>
          <w:color w:val="auto"/>
        </w:rPr>
      </w:pPr>
      <w:r>
        <w:rPr>
          <w:rStyle w:val="39"/>
          <w:rFonts w:ascii="宋体" w:hAnsi="宋体" w:cs="宋体"/>
          <w:color w:val="auto"/>
        </w:rPr>
        <w:t>10.</w:t>
      </w:r>
      <w:r>
        <w:rPr>
          <w:rStyle w:val="39"/>
          <w:rFonts w:hint="eastAsia" w:ascii="宋体" w:hAnsi="宋体" w:cs="宋体"/>
          <w:color w:val="auto"/>
        </w:rPr>
        <w:t>谈判保证金：</w:t>
      </w:r>
    </w:p>
    <w:p>
      <w:pPr>
        <w:pStyle w:val="33"/>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3"/>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9"/>
          <w:rFonts w:hint="eastAsia" w:ascii="宋体" w:hAnsi="宋体" w:cs="宋体"/>
          <w:color w:val="auto"/>
        </w:rPr>
        <w:t>其响应文件将被否决。</w:t>
      </w:r>
    </w:p>
    <w:p>
      <w:pPr>
        <w:pStyle w:val="33"/>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3"/>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3"/>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3"/>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3"/>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3"/>
        <w:widowControl/>
        <w:spacing w:line="360" w:lineRule="auto"/>
        <w:rPr>
          <w:rFonts w:ascii="宋体" w:hAnsi="宋体"/>
          <w:color w:val="auto"/>
        </w:rPr>
      </w:pPr>
      <w:r>
        <w:rPr>
          <w:rStyle w:val="39"/>
          <w:rFonts w:ascii="宋体" w:hAnsi="宋体" w:cs="宋体"/>
          <w:color w:val="auto"/>
        </w:rPr>
        <w:t>11.</w:t>
      </w:r>
      <w:r>
        <w:rPr>
          <w:rStyle w:val="39"/>
          <w:rFonts w:hint="eastAsia" w:ascii="宋体" w:hAnsi="宋体" w:cs="宋体"/>
          <w:color w:val="auto"/>
        </w:rPr>
        <w:t>纸质响应文件基本编制要求：</w:t>
      </w:r>
    </w:p>
    <w:p>
      <w:pPr>
        <w:pStyle w:val="33"/>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3"/>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3"/>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3"/>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3"/>
        <w:widowControl/>
        <w:spacing w:line="360" w:lineRule="auto"/>
        <w:rPr>
          <w:rFonts w:ascii="宋体" w:hAnsi="宋体"/>
          <w:color w:val="auto"/>
        </w:rPr>
      </w:pPr>
      <w:r>
        <w:rPr>
          <w:rStyle w:val="39"/>
          <w:rFonts w:ascii="宋体" w:hAnsi="宋体" w:cs="宋体"/>
          <w:color w:val="auto"/>
        </w:rPr>
        <w:t>12.</w:t>
      </w:r>
      <w:r>
        <w:rPr>
          <w:rStyle w:val="39"/>
          <w:rFonts w:hint="eastAsia" w:ascii="宋体" w:hAnsi="宋体" w:cs="宋体"/>
          <w:color w:val="auto"/>
        </w:rPr>
        <w:t>纸质响应文件的密封、标识、签署和提交</w:t>
      </w:r>
    </w:p>
    <w:p>
      <w:pPr>
        <w:pStyle w:val="33"/>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3"/>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3"/>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3"/>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3"/>
        <w:widowControl/>
        <w:spacing w:line="360" w:lineRule="auto"/>
        <w:rPr>
          <w:rStyle w:val="39"/>
          <w:rFonts w:ascii="宋体" w:hAnsi="宋体" w:eastAsia="宋体" w:cs="宋体"/>
          <w:color w:val="auto"/>
          <w:sz w:val="32"/>
          <w:szCs w:val="32"/>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四、竞争性谈判</w:t>
      </w:r>
      <w:bookmarkEnd w:id="14"/>
    </w:p>
    <w:p>
      <w:pPr>
        <w:pStyle w:val="33"/>
        <w:widowControl/>
        <w:spacing w:line="360" w:lineRule="auto"/>
        <w:rPr>
          <w:rFonts w:ascii="宋体" w:hAnsi="宋体"/>
          <w:color w:val="auto"/>
        </w:rPr>
      </w:pPr>
      <w:r>
        <w:rPr>
          <w:rStyle w:val="39"/>
          <w:rFonts w:ascii="宋体" w:hAnsi="宋体" w:cs="宋体"/>
          <w:color w:val="auto"/>
        </w:rPr>
        <w:t>13.</w:t>
      </w:r>
      <w:r>
        <w:rPr>
          <w:rStyle w:val="39"/>
          <w:rFonts w:hint="eastAsia" w:ascii="宋体" w:hAnsi="宋体" w:cs="宋体"/>
          <w:color w:val="auto"/>
        </w:rPr>
        <w:t>评审和谈判基本准则</w:t>
      </w:r>
    </w:p>
    <w:p>
      <w:pPr>
        <w:pStyle w:val="33"/>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3"/>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3"/>
        <w:widowControl/>
        <w:spacing w:line="360" w:lineRule="auto"/>
        <w:rPr>
          <w:rFonts w:ascii="宋体" w:hAnsi="宋体"/>
          <w:color w:val="auto"/>
        </w:rPr>
      </w:pPr>
      <w:r>
        <w:rPr>
          <w:rStyle w:val="39"/>
          <w:rFonts w:ascii="宋体" w:hAnsi="宋体" w:cs="宋体"/>
          <w:color w:val="auto"/>
        </w:rPr>
        <w:t>14.</w:t>
      </w:r>
      <w:r>
        <w:rPr>
          <w:rStyle w:val="39"/>
          <w:rFonts w:hint="eastAsia" w:ascii="宋体" w:hAnsi="宋体" w:cs="宋体"/>
          <w:color w:val="auto"/>
        </w:rPr>
        <w:t>谈判程序以及评定成交标准</w:t>
      </w:r>
    </w:p>
    <w:p>
      <w:pPr>
        <w:pStyle w:val="33"/>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3"/>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3"/>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3"/>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3"/>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9"/>
          <w:rFonts w:ascii="宋体" w:hAnsi="宋体" w:cs="微软雅黑"/>
          <w:color w:val="auto"/>
        </w:rPr>
        <w:t>  </w:t>
      </w:r>
      <w:r>
        <w:rPr>
          <w:rStyle w:val="39"/>
          <w:rFonts w:hint="eastAsia" w:ascii="宋体" w:hAnsi="宋体" w:cs="微软雅黑"/>
          <w:color w:val="auto"/>
        </w:rPr>
        <w:t>无</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3"/>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3"/>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3"/>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3"/>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3"/>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3"/>
        <w:widowControl/>
        <w:spacing w:line="360" w:lineRule="auto"/>
        <w:ind w:firstLine="480"/>
        <w:rPr>
          <w:rStyle w:val="39"/>
          <w:rFonts w:ascii="宋体" w:hAnsi="宋体" w:eastAsia="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五、合同授予</w:t>
      </w:r>
      <w:bookmarkEnd w:id="15"/>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15.</w:t>
      </w:r>
      <w:r>
        <w:rPr>
          <w:rStyle w:val="39"/>
          <w:rFonts w:hint="eastAsia" w:ascii="宋体" w:hAnsi="宋体" w:cs="宋体"/>
          <w:color w:val="auto"/>
        </w:rPr>
        <w:t>授予合同的准则：</w:t>
      </w:r>
    </w:p>
    <w:p>
      <w:pPr>
        <w:pStyle w:val="33"/>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3"/>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3"/>
        <w:widowControl/>
        <w:spacing w:line="360" w:lineRule="auto"/>
        <w:ind w:firstLine="480"/>
        <w:rPr>
          <w:rStyle w:val="39"/>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3"/>
        <w:widowControl/>
        <w:spacing w:line="360" w:lineRule="auto"/>
        <w:rPr>
          <w:rFonts w:ascii="宋体" w:hAnsi="宋体"/>
          <w:color w:val="auto"/>
        </w:rPr>
      </w:pPr>
      <w:r>
        <w:rPr>
          <w:rStyle w:val="39"/>
          <w:rFonts w:ascii="宋体" w:hAnsi="宋体" w:cs="宋体"/>
          <w:color w:val="auto"/>
        </w:rPr>
        <w:t>16.</w:t>
      </w:r>
      <w:r>
        <w:rPr>
          <w:rStyle w:val="39"/>
          <w:rFonts w:hint="eastAsia" w:ascii="宋体" w:hAnsi="宋体" w:cs="宋体"/>
          <w:color w:val="auto"/>
        </w:rPr>
        <w:t>确定成交供应商：</w:t>
      </w:r>
    </w:p>
    <w:p>
      <w:pPr>
        <w:pStyle w:val="33"/>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3"/>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3"/>
        <w:widowControl/>
        <w:spacing w:line="360" w:lineRule="auto"/>
        <w:rPr>
          <w:rFonts w:ascii="宋体" w:hAnsi="宋体"/>
          <w:color w:val="auto"/>
        </w:rPr>
      </w:pPr>
      <w:r>
        <w:rPr>
          <w:rStyle w:val="39"/>
          <w:rFonts w:ascii="宋体" w:hAnsi="宋体" w:cs="宋体"/>
          <w:color w:val="auto"/>
        </w:rPr>
        <w:t>17.</w:t>
      </w:r>
      <w:r>
        <w:rPr>
          <w:rStyle w:val="39"/>
          <w:rFonts w:hint="eastAsia" w:ascii="宋体" w:hAnsi="宋体" w:cs="宋体"/>
          <w:color w:val="auto"/>
        </w:rPr>
        <w:t>成交通知</w:t>
      </w:r>
      <w:r>
        <w:rPr>
          <w:rStyle w:val="39"/>
          <w:rFonts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3"/>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3"/>
        <w:widowControl/>
        <w:spacing w:line="360" w:lineRule="auto"/>
        <w:rPr>
          <w:rFonts w:ascii="宋体" w:hAnsi="宋体"/>
          <w:color w:val="auto"/>
        </w:rPr>
      </w:pPr>
      <w:r>
        <w:rPr>
          <w:rStyle w:val="39"/>
          <w:rFonts w:ascii="宋体" w:hAnsi="宋体" w:cs="宋体"/>
          <w:color w:val="auto"/>
        </w:rPr>
        <w:t>18.</w:t>
      </w:r>
      <w:r>
        <w:rPr>
          <w:rStyle w:val="39"/>
          <w:rFonts w:hint="eastAsia" w:ascii="宋体" w:hAnsi="宋体" w:cs="宋体"/>
          <w:color w:val="auto"/>
        </w:rPr>
        <w:t>签订合同：</w:t>
      </w:r>
    </w:p>
    <w:p>
      <w:pPr>
        <w:pStyle w:val="33"/>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3"/>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3"/>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74"/>
        <w:spacing w:before="0" w:after="0" w:line="360" w:lineRule="auto"/>
        <w:rPr>
          <w:rStyle w:val="39"/>
          <w:rFonts w:ascii="宋体" w:hAnsi="宋体" w:eastAsia="宋体" w:cs="宋体"/>
          <w:color w:val="auto"/>
          <w:sz w:val="32"/>
          <w:szCs w:val="32"/>
        </w:rPr>
      </w:pPr>
      <w:bookmarkStart w:id="16" w:name="_Toc511891593"/>
      <w:r>
        <w:rPr>
          <w:rStyle w:val="39"/>
          <w:rFonts w:hint="eastAsia" w:ascii="宋体" w:hAnsi="宋体" w:eastAsia="宋体" w:cs="宋体"/>
          <w:color w:val="auto"/>
          <w:sz w:val="32"/>
          <w:szCs w:val="32"/>
        </w:rPr>
        <w:t>六、询问、质疑与投诉</w:t>
      </w:r>
      <w:bookmarkEnd w:id="16"/>
    </w:p>
    <w:p>
      <w:pPr>
        <w:pStyle w:val="33"/>
        <w:widowControl/>
        <w:spacing w:line="360" w:lineRule="auto"/>
        <w:rPr>
          <w:rFonts w:ascii="宋体" w:hAnsi="宋体"/>
          <w:color w:val="auto"/>
        </w:rPr>
      </w:pPr>
      <w:r>
        <w:rPr>
          <w:rFonts w:ascii="宋体" w:hAnsi="宋体" w:cs="宋体"/>
          <w:color w:val="auto"/>
        </w:rPr>
        <w:t> </w:t>
      </w:r>
      <w:r>
        <w:rPr>
          <w:rStyle w:val="39"/>
          <w:rFonts w:ascii="宋体" w:hAnsi="宋体" w:cs="宋体"/>
          <w:color w:val="auto"/>
        </w:rPr>
        <w:t>19.</w:t>
      </w:r>
      <w:r>
        <w:rPr>
          <w:rStyle w:val="39"/>
          <w:rFonts w:hint="eastAsia" w:ascii="宋体" w:hAnsi="宋体" w:cs="宋体"/>
          <w:color w:val="auto"/>
        </w:rPr>
        <w:t>询问</w:t>
      </w:r>
    </w:p>
    <w:p>
      <w:pPr>
        <w:pStyle w:val="33"/>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20.</w:t>
      </w:r>
      <w:r>
        <w:rPr>
          <w:rStyle w:val="39"/>
          <w:rFonts w:hint="eastAsia" w:ascii="宋体" w:hAnsi="宋体" w:cs="宋体"/>
          <w:color w:val="auto"/>
        </w:rPr>
        <w:t>质疑</w:t>
      </w:r>
    </w:p>
    <w:p>
      <w:pPr>
        <w:pStyle w:val="33"/>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3"/>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3"/>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3"/>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3"/>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3"/>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3"/>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3"/>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3"/>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3"/>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3"/>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3"/>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3"/>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3"/>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21.</w:t>
      </w:r>
      <w:r>
        <w:rPr>
          <w:rStyle w:val="39"/>
          <w:rFonts w:hint="eastAsia" w:ascii="宋体" w:hAnsi="宋体" w:cs="宋体"/>
          <w:color w:val="auto"/>
        </w:rPr>
        <w:t>投诉</w:t>
      </w:r>
    </w:p>
    <w:p>
      <w:pPr>
        <w:pStyle w:val="33"/>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3"/>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七、有关信息公告和监督部门</w:t>
      </w:r>
      <w:bookmarkEnd w:id="17"/>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22.</w:t>
      </w:r>
      <w:r>
        <w:rPr>
          <w:rStyle w:val="39"/>
          <w:rFonts w:hint="eastAsia" w:ascii="宋体" w:hAnsi="宋体" w:cs="宋体"/>
          <w:color w:val="auto"/>
        </w:rPr>
        <w:t>政府采购信息公告媒体</w:t>
      </w:r>
    </w:p>
    <w:p>
      <w:pPr>
        <w:pStyle w:val="33"/>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3"/>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3"/>
        <w:widowControl/>
        <w:spacing w:line="360" w:lineRule="auto"/>
        <w:rPr>
          <w:rFonts w:ascii="宋体" w:hAnsi="宋体"/>
          <w:color w:val="auto"/>
        </w:rPr>
      </w:pPr>
      <w:r>
        <w:rPr>
          <w:rStyle w:val="39"/>
          <w:rFonts w:ascii="宋体" w:hAnsi="宋体" w:cs="宋体"/>
          <w:color w:val="auto"/>
        </w:rPr>
        <w:t>23.</w:t>
      </w:r>
      <w:r>
        <w:rPr>
          <w:rStyle w:val="39"/>
          <w:rFonts w:hint="eastAsia" w:ascii="宋体" w:hAnsi="宋体" w:cs="宋体"/>
          <w:color w:val="auto"/>
        </w:rPr>
        <w:t>监督管理部门</w:t>
      </w:r>
    </w:p>
    <w:p>
      <w:pPr>
        <w:pStyle w:val="33"/>
        <w:widowControl/>
        <w:spacing w:line="360" w:lineRule="auto"/>
        <w:rPr>
          <w:rStyle w:val="39"/>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9"/>
          <w:rFonts w:ascii="宋体" w:hAnsi="宋体" w:cs="宋体"/>
          <w:color w:val="auto"/>
        </w:rPr>
        <w:t> </w:t>
      </w:r>
      <w:bookmarkStart w:id="18" w:name="_Toc511891595"/>
    </w:p>
    <w:p>
      <w:pPr>
        <w:pStyle w:val="74"/>
        <w:spacing w:before="0" w:after="0" w:line="360" w:lineRule="auto"/>
        <w:rPr>
          <w:rStyle w:val="39"/>
          <w:rFonts w:hint="eastAsia" w:ascii="宋体" w:hAnsi="宋体" w:eastAsia="宋体" w:cs="宋体"/>
          <w:color w:val="auto"/>
          <w:sz w:val="32"/>
          <w:szCs w:val="32"/>
        </w:rPr>
      </w:pPr>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八、根据采购项目特点或政策需要补充的其他内容</w:t>
      </w:r>
      <w:bookmarkEnd w:id="18"/>
    </w:p>
    <w:p>
      <w:pPr>
        <w:pStyle w:val="33"/>
        <w:widowControl/>
        <w:spacing w:line="360" w:lineRule="auto"/>
        <w:rPr>
          <w:rFonts w:ascii="宋体" w:hAnsi="宋体"/>
          <w:color w:val="auto"/>
        </w:rPr>
      </w:pPr>
      <w:r>
        <w:rPr>
          <w:rStyle w:val="39"/>
          <w:rFonts w:ascii="宋体" w:hAnsi="宋体" w:cs="宋体"/>
          <w:color w:val="auto"/>
        </w:rPr>
        <w:t>24.</w:t>
      </w:r>
      <w:r>
        <w:rPr>
          <w:rStyle w:val="39"/>
          <w:rFonts w:hint="eastAsia" w:ascii="宋体" w:hAnsi="宋体" w:cs="宋体"/>
          <w:color w:val="auto"/>
        </w:rPr>
        <w:t>履约保证金</w:t>
      </w:r>
    </w:p>
    <w:p>
      <w:pPr>
        <w:pStyle w:val="33"/>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3"/>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9"/>
          <w:rFonts w:ascii="宋体" w:hAnsi="宋体" w:cs="宋体"/>
          <w:color w:val="auto"/>
          <w:kern w:val="0"/>
          <w:szCs w:val="22"/>
        </w:rPr>
      </w:pPr>
      <w:r>
        <w:rPr>
          <w:rStyle w:val="39"/>
          <w:rFonts w:hint="eastAsia" w:ascii="宋体" w:hAnsi="宋体" w:cs="宋体"/>
          <w:color w:val="auto"/>
          <w:kern w:val="0"/>
          <w:sz w:val="24"/>
        </w:rPr>
        <w:t>25.货款结算</w:t>
      </w:r>
    </w:p>
    <w:p>
      <w:pPr>
        <w:pStyle w:val="33"/>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3"/>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3"/>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9"/>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7</w:t>
      </w:r>
      <w:r>
        <w:rPr>
          <w:rStyle w:val="39"/>
          <w:rFonts w:ascii="宋体" w:hAnsi="宋体" w:cs="宋体"/>
          <w:color w:val="auto"/>
        </w:rPr>
        <w:t>.</w:t>
      </w:r>
      <w:r>
        <w:rPr>
          <w:rStyle w:val="39"/>
          <w:rFonts w:hint="eastAsia" w:ascii="宋体" w:hAnsi="宋体" w:cs="宋体"/>
          <w:color w:val="auto"/>
        </w:rPr>
        <w:t>其他新增内容：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9"/>
        <w:rPr>
          <w:rStyle w:val="39"/>
          <w:rFonts w:ascii="宋体" w:hAnsi="宋体" w:eastAsia="宋体" w:cs="宋体"/>
          <w:color w:val="auto"/>
          <w:sz w:val="32"/>
          <w:szCs w:val="32"/>
        </w:rPr>
      </w:pPr>
      <w:bookmarkStart w:id="19" w:name="_Toc511891596"/>
    </w:p>
    <w:bookmarkEnd w:id="19"/>
    <w:p>
      <w:pPr>
        <w:pStyle w:val="79"/>
        <w:keepNext w:val="0"/>
        <w:keepLines w:val="0"/>
        <w:pageBreakBefore w:val="0"/>
        <w:kinsoku/>
        <w:wordWrap/>
        <w:overflowPunct/>
        <w:topLinePunct w:val="0"/>
        <w:bidi w:val="0"/>
        <w:snapToGrid/>
        <w:spacing w:before="0" w:after="0" w:line="360" w:lineRule="auto"/>
        <w:textAlignment w:val="auto"/>
        <w:rPr>
          <w:rStyle w:val="39"/>
          <w:rFonts w:ascii="宋体" w:hAnsi="宋体" w:eastAsia="宋体" w:cs="宋体"/>
          <w:color w:val="auto"/>
          <w:sz w:val="32"/>
          <w:szCs w:val="32"/>
        </w:rPr>
      </w:pPr>
      <w:bookmarkStart w:id="20" w:name="_Toc511891597"/>
      <w:r>
        <w:rPr>
          <w:rStyle w:val="39"/>
          <w:rFonts w:hint="eastAsia" w:ascii="宋体" w:hAnsi="宋体" w:eastAsia="宋体" w:cs="宋体"/>
          <w:color w:val="auto"/>
          <w:sz w:val="32"/>
          <w:szCs w:val="32"/>
        </w:rPr>
        <w:t>第三章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采购内容及要求</w:t>
      </w:r>
    </w:p>
    <w:p>
      <w:pPr>
        <w:pStyle w:val="48"/>
        <w:keepNext w:val="0"/>
        <w:keepLines w:val="0"/>
        <w:pageBreakBefore w:val="0"/>
        <w:kinsoku/>
        <w:wordWrap/>
        <w:overflowPunct/>
        <w:topLinePunct w:val="0"/>
        <w:bidi w:val="0"/>
        <w:snapToGrid/>
        <w:spacing w:line="360" w:lineRule="auto"/>
        <w:ind w:firstLine="241" w:firstLineChars="100"/>
        <w:textAlignment w:val="auto"/>
        <w:rPr>
          <w:rFonts w:ascii="宋体" w:hAnsi="宋体" w:cs="宋体"/>
          <w:b/>
          <w:color w:val="auto"/>
        </w:rPr>
      </w:pPr>
      <w:r>
        <w:rPr>
          <w:rFonts w:hint="eastAsia"/>
          <w:b/>
          <w:color w:val="auto"/>
        </w:rPr>
        <w:t>一、</w:t>
      </w:r>
      <w:r>
        <w:rPr>
          <w:rFonts w:hint="eastAsia" w:ascii="宋体" w:hAnsi="宋体" w:cs="宋体"/>
          <w:b/>
          <w:color w:val="auto"/>
        </w:rPr>
        <w:t>项目概况</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lang w:val="en-US" w:eastAsia="zh-CN"/>
        </w:rPr>
      </w:pPr>
      <w:r>
        <w:rPr>
          <w:rFonts w:hint="eastAsia" w:ascii="宋体" w:hAnsi="宋体" w:cs="宋体"/>
          <w:b w:val="0"/>
          <w:bCs/>
          <w:color w:val="auto"/>
          <w:lang w:val="en-US" w:eastAsia="zh-CN"/>
        </w:rPr>
        <w:t>本次采购设备可适用于新建第二田径场不可以移动设施设备的配置需求，提高学校师生教学、训练、竞赛的安全性，圆满完成第40届校运动会保障任务。更新有利于提高较为先进的辅助教学训练以及竞赛成绩。对提高体育课堂教学质量，保持和延续学生较高的学习兴趣，增进学生的健康提供有力保障。</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Cs/>
          <w:color w:val="auto"/>
        </w:rPr>
      </w:pPr>
      <w:r>
        <w:rPr>
          <w:rFonts w:hint="eastAsia" w:ascii="宋体" w:hAnsi="宋体" w:cs="宋体"/>
          <w:b/>
          <w:color w:val="auto"/>
        </w:rPr>
        <w:t>二</w:t>
      </w:r>
      <w:r>
        <w:rPr>
          <w:rFonts w:hint="eastAsia" w:ascii="宋体" w:hAnsi="宋体" w:cs="宋体"/>
          <w:b/>
          <w:color w:val="auto"/>
          <w:lang w:eastAsia="zh-CN"/>
        </w:rPr>
        <w:t>、</w:t>
      </w:r>
      <w:r>
        <w:rPr>
          <w:rFonts w:hint="eastAsia" w:ascii="宋体" w:hAnsi="宋体" w:cs="宋体"/>
          <w:b/>
          <w:color w:val="auto"/>
        </w:rPr>
        <w:t>基本技术参数及要求</w:t>
      </w:r>
    </w:p>
    <w:p>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cs="宋体"/>
          <w:b/>
          <w:bCs/>
          <w:color w:val="auto"/>
          <w:sz w:val="24"/>
        </w:rPr>
        <w:t>（一）技术参数</w:t>
      </w:r>
    </w:p>
    <w:tbl>
      <w:tblPr>
        <w:tblStyle w:val="3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31"/>
        <w:gridCol w:w="6862"/>
        <w:gridCol w:w="74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商品名称</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参数及规格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1-1</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Style w:val="109"/>
                <w:rFonts w:hint="eastAsia" w:ascii="宋体" w:hAnsi="宋体" w:eastAsia="宋体" w:cs="宋体"/>
                <w:color w:val="auto"/>
                <w:sz w:val="24"/>
                <w:szCs w:val="24"/>
                <w:lang w:val="en-US" w:eastAsia="zh-CN" w:bidi="ar"/>
              </w:rPr>
              <w:t>跨栏架</w:t>
            </w:r>
          </w:p>
        </w:tc>
        <w:tc>
          <w:tcPr>
            <w:tcW w:w="6862" w:type="dxa"/>
            <w:tcBorders>
              <w:top w:val="single" w:color="auto" w:sz="4" w:space="0"/>
              <w:left w:val="single" w:color="auto" w:sz="4" w:space="0"/>
              <w:bottom w:val="single" w:color="auto" w:sz="4" w:space="0"/>
              <w:right w:val="single" w:color="auto" w:sz="4" w:space="0"/>
            </w:tcBorders>
            <w:vAlign w:val="top"/>
          </w:tcPr>
          <w:p>
            <w:pPr>
              <w:pStyle w:val="2"/>
              <w:ind w:firstLine="0" w:firstLineChars="0"/>
              <w:rPr>
                <w:rFonts w:hint="eastAsia" w:asciiTheme="minorEastAsia" w:hAnsiTheme="minorEastAsia" w:eastAsiaTheme="minorEastAsia"/>
                <w:color w:val="auto"/>
                <w:sz w:val="24"/>
                <w:lang w:bidi="ar"/>
              </w:rPr>
            </w:pPr>
            <w:r>
              <w:rPr>
                <w:rFonts w:asciiTheme="minorEastAsia" w:hAnsiTheme="minorEastAsia" w:eastAsiaTheme="minorEastAsia"/>
                <w:color w:val="auto"/>
                <w:sz w:val="24"/>
                <w:lang w:bidi="ar"/>
              </w:rPr>
              <w:t>1.</w:t>
            </w:r>
            <w:r>
              <w:rPr>
                <w:rFonts w:hint="eastAsia" w:asciiTheme="minorEastAsia" w:hAnsiTheme="minorEastAsia" w:eastAsiaTheme="minorEastAsia"/>
                <w:color w:val="auto"/>
                <w:sz w:val="24"/>
                <w:lang w:bidi="ar"/>
              </w:rPr>
              <w:t>跨栏</w:t>
            </w:r>
            <w:r>
              <w:rPr>
                <w:rFonts w:asciiTheme="minorEastAsia" w:hAnsiTheme="minorEastAsia" w:eastAsiaTheme="minorEastAsia"/>
                <w:color w:val="auto"/>
                <w:sz w:val="24"/>
                <w:lang w:bidi="ar"/>
              </w:rPr>
              <w:t>架</w:t>
            </w:r>
            <w:r>
              <w:rPr>
                <w:rFonts w:hint="eastAsia" w:asciiTheme="minorEastAsia" w:hAnsiTheme="minorEastAsia" w:eastAsiaTheme="minorEastAsia"/>
                <w:color w:val="auto"/>
                <w:sz w:val="24"/>
                <w:lang w:bidi="ar"/>
              </w:rPr>
              <w:t>采用</w:t>
            </w:r>
            <w:r>
              <w:rPr>
                <w:rFonts w:asciiTheme="minorEastAsia" w:hAnsiTheme="minorEastAsia" w:eastAsiaTheme="minorEastAsia"/>
                <w:color w:val="auto"/>
                <w:sz w:val="24"/>
                <w:lang w:bidi="ar"/>
              </w:rPr>
              <w:t>全铝合金材质，</w:t>
            </w:r>
            <w:r>
              <w:rPr>
                <w:rFonts w:hint="eastAsia" w:asciiTheme="minorEastAsia" w:hAnsiTheme="minorEastAsia" w:eastAsiaTheme="minorEastAsia"/>
                <w:color w:val="auto"/>
                <w:sz w:val="24"/>
                <w:lang w:bidi="ar"/>
              </w:rPr>
              <w:t>底座支架为定制</w:t>
            </w:r>
            <w:r>
              <w:rPr>
                <w:rFonts w:asciiTheme="minorEastAsia" w:hAnsiTheme="minorEastAsia" w:eastAsiaTheme="minorEastAsia"/>
                <w:color w:val="auto"/>
                <w:sz w:val="24"/>
                <w:lang w:bidi="ar"/>
              </w:rPr>
              <w:t>铝合金型材，壁厚</w:t>
            </w:r>
            <w:r>
              <w:rPr>
                <w:rFonts w:hint="eastAsia" w:asciiTheme="minorEastAsia" w:hAnsiTheme="minorEastAsia" w:eastAsiaTheme="minorEastAsia"/>
                <w:color w:val="auto"/>
                <w:sz w:val="24"/>
                <w:lang w:bidi="ar"/>
              </w:rPr>
              <w:t>3.5</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横管</w:t>
            </w:r>
            <w:r>
              <w:rPr>
                <w:rFonts w:asciiTheme="minorEastAsia" w:hAnsiTheme="minorEastAsia" w:eastAsiaTheme="minorEastAsia"/>
                <w:color w:val="auto"/>
                <w:sz w:val="24"/>
                <w:lang w:bidi="ar"/>
              </w:rPr>
              <w:t>为</w:t>
            </w:r>
            <w:r>
              <w:rPr>
                <w:rFonts w:hint="eastAsia" w:asciiTheme="minorEastAsia" w:hAnsiTheme="minorEastAsia" w:eastAsiaTheme="minorEastAsia"/>
                <w:color w:val="auto"/>
                <w:sz w:val="24"/>
                <w:lang w:bidi="ar"/>
              </w:rPr>
              <w:t>40*25</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1.5</w:t>
            </w:r>
            <w:r>
              <w:rPr>
                <w:rFonts w:asciiTheme="minorEastAsia" w:hAnsiTheme="minorEastAsia" w:eastAsiaTheme="minorEastAsia"/>
                <w:color w:val="auto"/>
                <w:sz w:val="24"/>
                <w:lang w:bidi="ar"/>
              </w:rPr>
              <w:t>mm方管，立柱</w:t>
            </w:r>
            <w:r>
              <w:rPr>
                <w:rFonts w:hint="eastAsia" w:asciiTheme="minorEastAsia" w:hAnsiTheme="minorEastAsia" w:eastAsiaTheme="minorEastAsia"/>
                <w:color w:val="auto"/>
                <w:sz w:val="24"/>
                <w:lang w:bidi="ar"/>
              </w:rPr>
              <w:t>为</w:t>
            </w:r>
            <w:r>
              <w:rPr>
                <w:rFonts w:asciiTheme="minorEastAsia" w:hAnsiTheme="minorEastAsia" w:eastAsiaTheme="minorEastAsia"/>
                <w:color w:val="auto"/>
                <w:sz w:val="24"/>
                <w:lang w:bidi="ar"/>
              </w:rPr>
              <w:t>φ32*</w:t>
            </w:r>
            <w:r>
              <w:rPr>
                <w:rFonts w:hint="eastAsia" w:asciiTheme="minorEastAsia" w:hAnsiTheme="minorEastAsia" w:eastAsiaTheme="minorEastAsia"/>
                <w:color w:val="auto"/>
                <w:sz w:val="24"/>
                <w:lang w:bidi="ar"/>
              </w:rPr>
              <w:t>3.5</w:t>
            </w:r>
            <w:r>
              <w:rPr>
                <w:rFonts w:asciiTheme="minorEastAsia" w:hAnsiTheme="minorEastAsia" w:eastAsiaTheme="minorEastAsia"/>
                <w:color w:val="auto"/>
                <w:sz w:val="24"/>
                <w:lang w:bidi="ar"/>
              </w:rPr>
              <w:t>mm圆管，外套管为φ39*1.5mm圆管</w:t>
            </w:r>
          </w:p>
          <w:p>
            <w:pPr>
              <w:pStyle w:val="2"/>
              <w:ind w:firstLine="0" w:firstLineChars="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栏板</w:t>
            </w:r>
            <w:r>
              <w:rPr>
                <w:rFonts w:asciiTheme="minorEastAsia" w:hAnsiTheme="minorEastAsia" w:eastAsiaTheme="minorEastAsia"/>
                <w:color w:val="auto"/>
                <w:sz w:val="24"/>
                <w:lang w:bidi="ar"/>
              </w:rPr>
              <w:t>采用</w:t>
            </w:r>
            <w:r>
              <w:rPr>
                <w:rFonts w:hint="eastAsia" w:asciiTheme="minorEastAsia" w:hAnsiTheme="minorEastAsia" w:eastAsiaTheme="minorEastAsia"/>
                <w:color w:val="auto"/>
                <w:sz w:val="24"/>
                <w:lang w:bidi="ar"/>
              </w:rPr>
              <w:t>ABS材质</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长1200</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高70</w:t>
            </w:r>
            <w:r>
              <w:rPr>
                <w:rFonts w:asciiTheme="minorEastAsia" w:hAnsiTheme="minorEastAsia" w:eastAsiaTheme="minorEastAsia"/>
                <w:color w:val="auto"/>
                <w:sz w:val="24"/>
                <w:lang w:bidi="ar"/>
              </w:rPr>
              <w:t>mm厚</w:t>
            </w:r>
            <w:r>
              <w:rPr>
                <w:rFonts w:hint="eastAsia" w:asciiTheme="minorEastAsia" w:hAnsiTheme="minorEastAsia" w:eastAsiaTheme="minorEastAsia"/>
                <w:color w:val="auto"/>
                <w:sz w:val="24"/>
                <w:lang w:bidi="ar"/>
              </w:rPr>
              <w:t>20</w:t>
            </w:r>
            <w:r>
              <w:rPr>
                <w:rFonts w:asciiTheme="minorEastAsia" w:hAnsiTheme="minorEastAsia" w:eastAsiaTheme="minorEastAsia"/>
                <w:color w:val="auto"/>
                <w:sz w:val="24"/>
                <w:lang w:bidi="ar"/>
              </w:rPr>
              <w:t>mm</w:t>
            </w:r>
          </w:p>
          <w:p>
            <w:pPr>
              <w:pStyle w:val="2"/>
              <w:ind w:firstLine="0" w:firstLineChars="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3</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底管内</w:t>
            </w:r>
            <w:r>
              <w:rPr>
                <w:rFonts w:asciiTheme="minorEastAsia" w:hAnsiTheme="minorEastAsia" w:eastAsiaTheme="minorEastAsia"/>
                <w:color w:val="auto"/>
                <w:sz w:val="24"/>
                <w:lang w:bidi="ar"/>
              </w:rPr>
              <w:t>置有</w:t>
            </w:r>
            <w:r>
              <w:rPr>
                <w:rFonts w:hint="eastAsia" w:asciiTheme="minorEastAsia" w:hAnsiTheme="minorEastAsia" w:eastAsiaTheme="minorEastAsia"/>
                <w:color w:val="auto"/>
                <w:sz w:val="24"/>
                <w:lang w:bidi="ar"/>
              </w:rPr>
              <w:t>实心</w:t>
            </w:r>
            <w:r>
              <w:rPr>
                <w:rFonts w:asciiTheme="minorEastAsia" w:hAnsiTheme="minorEastAsia" w:eastAsiaTheme="minorEastAsia"/>
                <w:color w:val="auto"/>
                <w:sz w:val="24"/>
                <w:lang w:bidi="ar"/>
              </w:rPr>
              <w:t>圆钢配重，</w:t>
            </w:r>
            <w:r>
              <w:rPr>
                <w:rFonts w:hint="eastAsia" w:asciiTheme="minorEastAsia" w:hAnsiTheme="minorEastAsia" w:eastAsiaTheme="minorEastAsia"/>
                <w:color w:val="auto"/>
                <w:sz w:val="24"/>
                <w:lang w:bidi="ar"/>
              </w:rPr>
              <w:t>满足</w:t>
            </w:r>
            <w:r>
              <w:rPr>
                <w:rFonts w:asciiTheme="minorEastAsia" w:hAnsiTheme="minorEastAsia" w:eastAsiaTheme="minorEastAsia"/>
                <w:color w:val="auto"/>
                <w:sz w:val="24"/>
                <w:lang w:bidi="ar"/>
              </w:rPr>
              <w:t>比赛不同高度的拉倒力。</w:t>
            </w:r>
          </w:p>
          <w:p>
            <w:pPr>
              <w:pStyle w:val="2"/>
              <w:ind w:firstLine="0" w:firstLineChars="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调节</w:t>
            </w:r>
            <w:r>
              <w:rPr>
                <w:rFonts w:asciiTheme="minorEastAsia" w:hAnsiTheme="minorEastAsia" w:eastAsiaTheme="minorEastAsia"/>
                <w:color w:val="auto"/>
                <w:sz w:val="24"/>
                <w:lang w:bidi="ar"/>
              </w:rPr>
              <w:t>高度</w:t>
            </w:r>
            <w:r>
              <w:rPr>
                <w:rFonts w:hint="eastAsia" w:asciiTheme="minorEastAsia" w:hAnsiTheme="minorEastAsia" w:eastAsiaTheme="minorEastAsia"/>
                <w:color w:val="auto"/>
                <w:sz w:val="24"/>
                <w:lang w:bidi="ar"/>
              </w:rPr>
              <w:t>762</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838</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914</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991</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、1067</w:t>
            </w:r>
            <w:r>
              <w:rPr>
                <w:rFonts w:asciiTheme="minorEastAsia" w:hAnsiTheme="minorEastAsia" w:eastAsiaTheme="minorEastAsia"/>
                <w:color w:val="auto"/>
                <w:sz w:val="24"/>
                <w:lang w:bidi="ar"/>
              </w:rPr>
              <w:t>mm，完全符合比赛要求。</w:t>
            </w:r>
          </w:p>
          <w:p>
            <w:pPr>
              <w:keepNext w:val="0"/>
              <w:keepLines w:val="0"/>
              <w:widowControl/>
              <w:suppressLineNumbers w:val="0"/>
              <w:spacing w:line="360" w:lineRule="auto"/>
              <w:jc w:val="left"/>
              <w:textAlignment w:val="top"/>
              <w:rPr>
                <w:rFonts w:hint="eastAsia" w:ascii="宋体" w:hAnsi="宋体" w:eastAsia="宋体" w:cs="宋体"/>
                <w:color w:val="auto"/>
                <w:sz w:val="24"/>
                <w:szCs w:val="24"/>
              </w:rPr>
            </w:pPr>
            <w:r>
              <w:rPr>
                <w:rFonts w:hint="eastAsia" w:asciiTheme="minorEastAsia" w:hAnsiTheme="minorEastAsia" w:eastAsiaTheme="minorEastAsia"/>
                <w:color w:val="auto"/>
                <w:sz w:val="24"/>
                <w:lang w:bidi="ar"/>
              </w:rPr>
              <w:t>5．</w:t>
            </w:r>
            <w:r>
              <w:rPr>
                <w:rFonts w:asciiTheme="minorEastAsia" w:hAnsiTheme="minorEastAsia" w:eastAsiaTheme="minorEastAsia"/>
                <w:color w:val="auto"/>
                <w:sz w:val="24"/>
                <w:lang w:bidi="ar"/>
              </w:rPr>
              <w:t>通过</w:t>
            </w:r>
            <w:r>
              <w:rPr>
                <w:rFonts w:hint="eastAsia" w:asciiTheme="minorEastAsia" w:hAnsiTheme="minorEastAsia" w:eastAsiaTheme="minorEastAsia"/>
                <w:color w:val="auto"/>
                <w:sz w:val="24"/>
                <w:lang w:bidi="ar"/>
              </w:rPr>
              <w:t>国际田联认证</w:t>
            </w:r>
            <w:r>
              <w:rPr>
                <w:rFonts w:asciiTheme="minorEastAsia" w:hAnsiTheme="minorEastAsia" w:eastAsiaTheme="minorEastAsia"/>
                <w:color w:val="auto"/>
                <w:sz w:val="24"/>
                <w:lang w:bidi="ar"/>
              </w:rPr>
              <w:t>。</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起跑器</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1.起跑器主要由底座和踏脚座组成。</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2.起跑器底座采用铝合金制作，通过鞋钉与地面接触，防止移位。</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3.起跑器踏脚座分固定座和活动座，均为铝铸件，活动座面板采用跑道橡胶层，起防滑作用，活动座面板角度可调。</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4.起跑器设置不锈钢把手，移动方便。</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材质：铝合金</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参数：</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踏脚座： 长21cm，宽13cm，高12cm  6档调节</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踏脚座：12x18cm</w:t>
            </w:r>
          </w:p>
          <w:p>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底座槽钢：长85cm,宽8cm，厚7mm 高5cm   净重5.4kg</w:t>
            </w:r>
          </w:p>
          <w:p>
            <w:pPr>
              <w:widowControl/>
              <w:spacing w:line="360" w:lineRule="auto"/>
              <w:jc w:val="left"/>
              <w:textAlignment w:val="center"/>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一付起跑器</w:t>
            </w:r>
            <w:r>
              <w:rPr>
                <w:rFonts w:asciiTheme="minorEastAsia" w:hAnsiTheme="minorEastAsia" w:eastAsiaTheme="minorEastAsia"/>
                <w:color w:val="auto"/>
                <w:sz w:val="24"/>
                <w:lang w:bidi="ar"/>
              </w:rPr>
              <w:t>总重</w:t>
            </w:r>
            <w:r>
              <w:rPr>
                <w:rFonts w:hint="eastAsia" w:asciiTheme="minorEastAsia" w:hAnsiTheme="minorEastAsia" w:eastAsiaTheme="minorEastAsia"/>
                <w:color w:val="auto"/>
                <w:sz w:val="24"/>
                <w:lang w:bidi="ar"/>
              </w:rPr>
              <w:t>1</w:t>
            </w: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.4</w:t>
            </w:r>
            <w:r>
              <w:rPr>
                <w:rFonts w:asciiTheme="minorEastAsia" w:hAnsiTheme="minorEastAsia" w:eastAsiaTheme="minorEastAsia"/>
                <w:color w:val="auto"/>
                <w:sz w:val="24"/>
                <w:lang w:bidi="ar"/>
              </w:rPr>
              <w:t>kg</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Theme="minorEastAsia" w:hAnsiTheme="minorEastAsia" w:eastAsiaTheme="minorEastAsia"/>
                <w:color w:val="auto"/>
                <w:sz w:val="24"/>
                <w:lang w:bidi="ar"/>
              </w:rPr>
              <w:t>5.</w:t>
            </w:r>
            <w:r>
              <w:rPr>
                <w:color w:val="auto"/>
                <w:sz w:val="24"/>
                <w:lang w:bidi="ar"/>
              </w:rPr>
              <w:t>通过国际田联认证。</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1-3</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发令台（烟屏）</w:t>
            </w:r>
          </w:p>
        </w:tc>
        <w:tc>
          <w:tcPr>
            <w:tcW w:w="6862" w:type="dxa"/>
            <w:tcBorders>
              <w:top w:val="single" w:color="auto" w:sz="4" w:space="0"/>
              <w:left w:val="single" w:color="auto" w:sz="4" w:space="0"/>
              <w:bottom w:val="single" w:color="auto" w:sz="4" w:space="0"/>
              <w:right w:val="single" w:color="auto" w:sz="4" w:space="0"/>
            </w:tcBorders>
            <w:vAlign w:val="top"/>
          </w:tcPr>
          <w:p>
            <w:pPr>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移动式发令台；长900mm,宽600mm,高580mm，把手和烟平可拆装，存放运输方便。</w:t>
            </w:r>
          </w:p>
          <w:p>
            <w:pPr>
              <w:keepNext w:val="0"/>
              <w:keepLines w:val="0"/>
              <w:widowControl/>
              <w:suppressLineNumbers w:val="0"/>
              <w:spacing w:line="360" w:lineRule="auto"/>
              <w:jc w:val="both"/>
              <w:textAlignment w:val="center"/>
              <w:rPr>
                <w:rFonts w:hint="eastAsia" w:ascii="宋体" w:hAnsi="宋体" w:eastAsia="宋体" w:cs="宋体"/>
                <w:color w:val="auto"/>
                <w:sz w:val="24"/>
                <w:szCs w:val="24"/>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台</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1-4</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道次牌</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5"/>
              </w:numPr>
              <w:suppressLineNumbers w:val="0"/>
              <w:spacing w:line="360" w:lineRule="auto"/>
              <w:jc w:val="left"/>
              <w:textAlignment w:val="center"/>
              <w:rPr>
                <w:rFonts w:hint="eastAsia" w:ascii="宋体" w:hAnsi="宋体" w:eastAsia="宋体" w:cs="宋体"/>
                <w:color w:val="auto"/>
                <w:sz w:val="24"/>
                <w:szCs w:val="24"/>
              </w:rPr>
            </w:pPr>
            <w:r>
              <w:rPr>
                <w:rFonts w:hint="eastAsia"/>
                <w:color w:val="auto"/>
                <w:sz w:val="24"/>
                <w:lang w:bidi="ar"/>
              </w:rPr>
              <w:t>四面道次墩高度46cm底长45cm上长30cm玻璃钢材质，</w:t>
            </w:r>
            <w:r>
              <w:rPr>
                <w:color w:val="auto"/>
                <w:sz w:val="24"/>
                <w:lang w:bidi="ar"/>
              </w:rPr>
              <w:t>每套8</w:t>
            </w:r>
            <w:r>
              <w:rPr>
                <w:rFonts w:hint="eastAsia"/>
                <w:color w:val="auto"/>
                <w:sz w:val="24"/>
                <w:lang w:bidi="ar"/>
              </w:rPr>
              <w:t>个</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1-5</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电计发令枪、起点终点屏幕、音箱含软件</w:t>
            </w:r>
          </w:p>
        </w:tc>
        <w:tc>
          <w:tcPr>
            <w:tcW w:w="686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line="360" w:lineRule="auto"/>
              <w:jc w:val="left"/>
              <w:textAlignment w:val="top"/>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KTD-192户外防水、单红高亮显示，显示尺寸192*96厘米，带底座。KTS-192户外防水、单红高亮显示，显示尺寸192*96厘米，带底座。HJ-03支持无线发令枪、计时精度0.01秒、对射距离12米以上，语音播报成绩。FS-P03可以切换3种音效、无线发射距离大于300米，闪光灯阳光下可视距离150米以上。810内置无线语音播放模块，无线通讯距离300米以上，发令音效40米以上。</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套</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1-6</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发令枪</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6"/>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配用标准发令弹，射出安全，发火可靠，在全天候训练及比赛使用。</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每次装弹两发，射出方式为单发。</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枪管、击锤、板机、护圈等零件表面经金属氧化处理，表面无锈迹，握把外贴ABS塑 支 1料，且结合牢圈。</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扳机击发和击锤扳开无过紧、过松或卡死现象</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板击的两次击发握力均等于1000N</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1-7</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发令弹</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金属100粒装、5.6*16mm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盒</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1-8</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秒表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秒表功能</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9小时59分59.99秒，清零后，首8(10/30/60/90/120/150/180)及最后成绩仍可在存储记忆中调出。</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定时器：10小时 倒数计时</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节拍器10种节拍可选(10/20/30/40/60/80/120/160/240/320)</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时钟日历能</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分段次数记录器00-1996.定闹功能显示排数：2显精度：1/100 秒日历和时间功能大屏幕示：38*23mm壳体尺寸：¢65*76*16mm电池：AG13/LR44/SR44型锂电池</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1-9</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计圈摇铃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支架使用全钢架构、长73*宽21*高43*</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铅球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lang w:bidi="ar"/>
              </w:rPr>
              <w:t>7.</w:t>
            </w:r>
            <w:r>
              <w:rPr>
                <w:rFonts w:hint="eastAsia" w:ascii="宋体" w:hAnsi="宋体" w:cs="宋体"/>
                <w:color w:val="auto"/>
                <w:kern w:val="0"/>
                <w:sz w:val="24"/>
                <w:lang w:val="en-US" w:eastAsia="zh-CN" w:bidi="ar"/>
              </w:rPr>
              <w:t>26</w:t>
            </w:r>
            <w:r>
              <w:rPr>
                <w:rFonts w:hint="eastAsia" w:ascii="宋体" w:hAnsi="宋体" w:cs="宋体"/>
                <w:color w:val="auto"/>
                <w:kern w:val="0"/>
                <w:sz w:val="24"/>
                <w:lang w:bidi="ar"/>
              </w:rPr>
              <w:t>K</w:t>
            </w:r>
            <w:r>
              <w:rPr>
                <w:rFonts w:hint="eastAsia" w:ascii="宋体" w:hAnsi="宋体" w:cs="宋体"/>
                <w:color w:val="auto"/>
                <w:kern w:val="0"/>
                <w:sz w:val="24"/>
                <w:lang w:bidi="ar"/>
              </w:rPr>
              <w:t>G直径约13CM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1-11</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实心球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橡胶材质、内填细沙，重2KG</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1-12</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跳高架</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lang w:bidi="ar"/>
              </w:rPr>
            </w:pPr>
            <w:r>
              <w:rPr>
                <w:rFonts w:hint="eastAsia" w:asciiTheme="minorEastAsia" w:hAnsiTheme="minorEastAsia" w:eastAsiaTheme="minorEastAsia"/>
                <w:color w:val="auto"/>
                <w:sz w:val="24"/>
                <w:lang w:bidi="ar"/>
              </w:rPr>
              <w:t>1.跳高架</w:t>
            </w:r>
            <w:r>
              <w:rPr>
                <w:rFonts w:asciiTheme="minorEastAsia" w:hAnsiTheme="minorEastAsia" w:eastAsiaTheme="minorEastAsia"/>
                <w:color w:val="auto"/>
                <w:sz w:val="24"/>
                <w:lang w:bidi="ar"/>
              </w:rPr>
              <w:t>采用</w:t>
            </w:r>
            <w:r>
              <w:rPr>
                <w:rFonts w:hint="eastAsia" w:asciiTheme="minorEastAsia" w:hAnsiTheme="minorEastAsia" w:eastAsiaTheme="minorEastAsia"/>
                <w:color w:val="auto"/>
                <w:sz w:val="24"/>
                <w:lang w:bidi="ar"/>
              </w:rPr>
              <w:t>铝合金双立柱，铸铁底座，</w:t>
            </w:r>
            <w:r>
              <w:rPr>
                <w:rFonts w:asciiTheme="minorEastAsia" w:hAnsiTheme="minorEastAsia" w:eastAsiaTheme="minorEastAsia"/>
                <w:color w:val="auto"/>
                <w:sz w:val="24"/>
                <w:lang w:bidi="ar"/>
              </w:rPr>
              <w:t>铸铝材质横杆托</w:t>
            </w:r>
            <w:r>
              <w:rPr>
                <w:rFonts w:hint="eastAsia" w:asciiTheme="minorEastAsia" w:hAnsiTheme="minorEastAsia" w:eastAsiaTheme="minorEastAsia"/>
                <w:color w:val="auto"/>
                <w:sz w:val="24"/>
                <w:lang w:bidi="ar"/>
              </w:rPr>
              <w:t>。</w:t>
            </w:r>
          </w:p>
          <w:p>
            <w:pPr>
              <w:pStyle w:val="2"/>
              <w:ind w:firstLine="0" w:firstLineChars="0"/>
              <w:jc w:val="left"/>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2.铝合金立柱：可调节高度：600-2600mm</w:t>
            </w:r>
          </w:p>
          <w:p>
            <w:pPr>
              <w:pStyle w:val="2"/>
              <w:ind w:firstLine="0" w:firstLineChars="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固定立柱壁厚：3</w:t>
            </w:r>
            <w:r>
              <w:rPr>
                <w:rFonts w:asciiTheme="minorEastAsia" w:hAnsiTheme="minorEastAsia" w:eastAsiaTheme="minorEastAsia"/>
                <w:color w:val="auto"/>
                <w:sz w:val="24"/>
                <w:lang w:bidi="ar"/>
              </w:rPr>
              <w:t>.5</w:t>
            </w:r>
            <w:r>
              <w:rPr>
                <w:rFonts w:hint="eastAsia" w:asciiTheme="minorEastAsia" w:hAnsiTheme="minorEastAsia" w:eastAsiaTheme="minorEastAsia"/>
                <w:color w:val="auto"/>
                <w:sz w:val="24"/>
                <w:lang w:bidi="ar"/>
              </w:rPr>
              <w:t>mm，壁宽：67mm；</w:t>
            </w:r>
          </w:p>
          <w:p>
            <w:pPr>
              <w:pStyle w:val="2"/>
              <w:ind w:firstLine="0" w:firstLineChars="0"/>
              <w:jc w:val="left"/>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滑动立柱壁厚：2mm，壁宽：28mm；双立柱整体宽度：95mm</w:t>
            </w:r>
          </w:p>
          <w:p>
            <w:pPr>
              <w:pStyle w:val="2"/>
              <w:ind w:firstLine="0" w:firstLineChars="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3.铸铁底座：长380mm宽280mm 高70mm，底座厚度：15mm。</w:t>
            </w:r>
          </w:p>
          <w:p>
            <w:pPr>
              <w:pStyle w:val="2"/>
              <w:ind w:firstLine="0" w:firstLineChars="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跳高架底座底部设有微调机构，通过调节微调机构可满足场地不平整引起的跳高架的稳定性和横杆的高度要求。底部</w:t>
            </w:r>
            <w:r>
              <w:rPr>
                <w:rFonts w:asciiTheme="minorEastAsia" w:hAnsiTheme="minorEastAsia" w:eastAsiaTheme="minorEastAsia"/>
                <w:color w:val="auto"/>
                <w:sz w:val="24"/>
                <w:lang w:bidi="ar"/>
              </w:rPr>
              <w:t>设有</w:t>
            </w:r>
            <w:r>
              <w:rPr>
                <w:rFonts w:hint="eastAsia" w:asciiTheme="minorEastAsia" w:hAnsiTheme="minorEastAsia" w:eastAsiaTheme="minorEastAsia"/>
                <w:color w:val="auto"/>
                <w:sz w:val="24"/>
                <w:lang w:bidi="ar"/>
              </w:rPr>
              <w:t>PU轮,方便</w:t>
            </w:r>
            <w:r>
              <w:rPr>
                <w:rFonts w:asciiTheme="minorEastAsia" w:hAnsiTheme="minorEastAsia" w:eastAsiaTheme="minorEastAsia"/>
                <w:color w:val="auto"/>
                <w:sz w:val="24"/>
                <w:lang w:bidi="ar"/>
              </w:rPr>
              <w:t>移动</w:t>
            </w:r>
            <w:r>
              <w:rPr>
                <w:rFonts w:hint="eastAsia" w:asciiTheme="minorEastAsia" w:hAnsiTheme="minorEastAsia" w:eastAsiaTheme="minorEastAsia"/>
                <w:color w:val="auto"/>
                <w:sz w:val="24"/>
                <w:lang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olor w:val="auto"/>
                <w:sz w:val="24"/>
                <w:lang w:bidi="ar"/>
              </w:rPr>
              <w:t>5.</w:t>
            </w:r>
            <w:r>
              <w:rPr>
                <w:rFonts w:asciiTheme="minorEastAsia" w:hAnsiTheme="minorEastAsia" w:eastAsiaTheme="minorEastAsia"/>
                <w:color w:val="auto"/>
                <w:sz w:val="24"/>
                <w:lang w:bidi="ar"/>
              </w:rPr>
              <w:t>通过国际田联认证。</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1-13</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跨栏搬运车</w:t>
            </w:r>
          </w:p>
        </w:tc>
        <w:tc>
          <w:tcPr>
            <w:tcW w:w="6862"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sz w:val="24"/>
                <w:lang w:bidi="ar"/>
              </w:rPr>
            </w:pPr>
            <w:r>
              <w:rPr>
                <w:rFonts w:hint="eastAsia"/>
                <w:color w:val="auto"/>
                <w:sz w:val="24"/>
                <w:lang w:bidi="ar"/>
              </w:rPr>
              <w:t>1.跨栏架</w:t>
            </w:r>
            <w:r>
              <w:rPr>
                <w:color w:val="auto"/>
                <w:sz w:val="24"/>
                <w:lang w:bidi="ar"/>
              </w:rPr>
              <w:t>搬运车</w:t>
            </w:r>
            <w:r>
              <w:rPr>
                <w:rFonts w:hint="eastAsia"/>
                <w:color w:val="auto"/>
                <w:sz w:val="24"/>
                <w:lang w:bidi="ar"/>
              </w:rPr>
              <w:t>长1500</w:t>
            </w:r>
            <w:r>
              <w:rPr>
                <w:color w:val="auto"/>
                <w:sz w:val="24"/>
                <w:lang w:bidi="ar"/>
              </w:rPr>
              <w:t>mm宽</w:t>
            </w:r>
            <w:r>
              <w:rPr>
                <w:rFonts w:hint="eastAsia"/>
                <w:color w:val="auto"/>
                <w:sz w:val="24"/>
                <w:lang w:bidi="ar"/>
              </w:rPr>
              <w:t>1130</w:t>
            </w:r>
            <w:r>
              <w:rPr>
                <w:color w:val="auto"/>
                <w:sz w:val="24"/>
                <w:lang w:bidi="ar"/>
              </w:rPr>
              <w:t>mm高</w:t>
            </w:r>
            <w:r>
              <w:rPr>
                <w:rFonts w:hint="eastAsia"/>
                <w:color w:val="auto"/>
                <w:sz w:val="24"/>
                <w:lang w:bidi="ar"/>
              </w:rPr>
              <w:t>900</w:t>
            </w:r>
            <w:r>
              <w:rPr>
                <w:color w:val="auto"/>
                <w:sz w:val="24"/>
                <w:lang w:bidi="ar"/>
              </w:rPr>
              <w:t>mm</w:t>
            </w:r>
          </w:p>
          <w:p>
            <w:pPr>
              <w:pStyle w:val="3"/>
              <w:ind w:firstLine="0"/>
              <w:rPr>
                <w:color w:val="auto"/>
                <w:sz w:val="24"/>
                <w:lang w:bidi="ar"/>
              </w:rPr>
            </w:pPr>
            <w:r>
              <w:rPr>
                <w:rFonts w:hint="eastAsia"/>
                <w:color w:val="auto"/>
                <w:sz w:val="24"/>
                <w:lang w:bidi="ar"/>
              </w:rPr>
              <w:t>跨栏</w:t>
            </w:r>
            <w:r>
              <w:rPr>
                <w:color w:val="auto"/>
                <w:sz w:val="24"/>
                <w:lang w:bidi="ar"/>
              </w:rPr>
              <w:t>架搬运车采用宽度</w:t>
            </w:r>
            <w:r>
              <w:rPr>
                <w:rFonts w:hint="eastAsia"/>
                <w:color w:val="auto"/>
                <w:sz w:val="24"/>
                <w:lang w:bidi="ar"/>
              </w:rPr>
              <w:t>10</w:t>
            </w:r>
            <w:r>
              <w:rPr>
                <w:color w:val="auto"/>
                <w:sz w:val="24"/>
                <w:lang w:bidi="ar"/>
              </w:rPr>
              <w:t>0mm</w:t>
            </w:r>
            <w:r>
              <w:rPr>
                <w:rFonts w:hint="eastAsia"/>
                <w:color w:val="auto"/>
                <w:sz w:val="24"/>
                <w:lang w:bidi="ar"/>
              </w:rPr>
              <w:t>高度60</w:t>
            </w:r>
            <w:r>
              <w:rPr>
                <w:color w:val="auto"/>
                <w:sz w:val="24"/>
                <w:lang w:bidi="ar"/>
              </w:rPr>
              <w:t>mm厚度</w:t>
            </w:r>
            <w:r>
              <w:rPr>
                <w:rFonts w:hint="eastAsia"/>
                <w:color w:val="auto"/>
                <w:sz w:val="24"/>
                <w:lang w:bidi="ar"/>
              </w:rPr>
              <w:t>6</w:t>
            </w:r>
            <w:r>
              <w:rPr>
                <w:color w:val="auto"/>
                <w:sz w:val="24"/>
                <w:lang w:bidi="ar"/>
              </w:rPr>
              <w:t>mm</w:t>
            </w:r>
            <w:r>
              <w:rPr>
                <w:rFonts w:hint="eastAsia"/>
                <w:color w:val="auto"/>
                <w:sz w:val="24"/>
                <w:lang w:bidi="ar"/>
              </w:rPr>
              <w:t>铝合金</w:t>
            </w:r>
            <w:r>
              <w:rPr>
                <w:color w:val="auto"/>
                <w:sz w:val="24"/>
                <w:lang w:bidi="ar"/>
              </w:rPr>
              <w:t>槽钢、φ28*2mm铝合金圆管，</w:t>
            </w:r>
            <w:r>
              <w:rPr>
                <w:rFonts w:hint="eastAsia"/>
                <w:color w:val="auto"/>
                <w:sz w:val="24"/>
                <w:lang w:bidi="ar"/>
              </w:rPr>
              <w:t>40*40*2.5</w:t>
            </w:r>
            <w:r>
              <w:rPr>
                <w:color w:val="auto"/>
                <w:sz w:val="24"/>
                <w:lang w:bidi="ar"/>
              </w:rPr>
              <w:t>mm铝合金方管焊接而成。</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olor w:val="auto"/>
                <w:sz w:val="24"/>
                <w:lang w:bidi="ar"/>
              </w:rPr>
              <w:t>3.跨栏架</w:t>
            </w:r>
            <w:r>
              <w:rPr>
                <w:rFonts w:asciiTheme="minorEastAsia" w:hAnsiTheme="minorEastAsia" w:eastAsiaTheme="minorEastAsia"/>
                <w:color w:val="auto"/>
                <w:sz w:val="24"/>
                <w:lang w:bidi="ar"/>
              </w:rPr>
              <w:t>一次可放置</w:t>
            </w:r>
            <w:r>
              <w:rPr>
                <w:rFonts w:hint="eastAsia" w:asciiTheme="minorEastAsia" w:hAnsiTheme="minorEastAsia" w:eastAsiaTheme="minorEastAsia"/>
                <w:color w:val="auto"/>
                <w:sz w:val="24"/>
                <w:lang w:bidi="ar"/>
              </w:rPr>
              <w:t>10付</w:t>
            </w:r>
            <w:r>
              <w:rPr>
                <w:rFonts w:asciiTheme="minorEastAsia" w:hAnsiTheme="minorEastAsia" w:eastAsiaTheme="minorEastAsia"/>
                <w:color w:val="auto"/>
                <w:sz w:val="24"/>
                <w:lang w:bidi="ar"/>
              </w:rPr>
              <w:t>跨栏，底部设有两个</w:t>
            </w:r>
            <w:r>
              <w:rPr>
                <w:rFonts w:hint="eastAsia" w:asciiTheme="minorEastAsia" w:hAnsiTheme="minorEastAsia" w:eastAsiaTheme="minorEastAsia"/>
                <w:color w:val="auto"/>
                <w:sz w:val="24"/>
                <w:lang w:bidi="ar"/>
              </w:rPr>
              <w:t>尼龙</w:t>
            </w:r>
            <w:r>
              <w:rPr>
                <w:rFonts w:asciiTheme="minorEastAsia" w:hAnsiTheme="minorEastAsia" w:eastAsiaTheme="minorEastAsia"/>
                <w:color w:val="auto"/>
                <w:sz w:val="24"/>
                <w:lang w:bidi="ar"/>
              </w:rPr>
              <w:t>万向轮</w:t>
            </w:r>
            <w:r>
              <w:rPr>
                <w:rFonts w:hint="eastAsia" w:asciiTheme="minorEastAsia" w:hAnsiTheme="minorEastAsia" w:eastAsiaTheme="minorEastAsia"/>
                <w:color w:val="auto"/>
                <w:sz w:val="24"/>
                <w:lang w:bidi="ar"/>
              </w:rPr>
              <w:t>和两个尼龙</w:t>
            </w:r>
            <w:r>
              <w:rPr>
                <w:rFonts w:asciiTheme="minorEastAsia" w:hAnsiTheme="minorEastAsia" w:eastAsiaTheme="minorEastAsia"/>
                <w:color w:val="auto"/>
                <w:sz w:val="24"/>
                <w:lang w:bidi="ar"/>
              </w:rPr>
              <w:t>定向轮</w:t>
            </w:r>
            <w:r>
              <w:rPr>
                <w:rFonts w:hint="eastAsia" w:asciiTheme="minorEastAsia" w:hAnsiTheme="minorEastAsia" w:eastAsiaTheme="minorEastAsia"/>
                <w:color w:val="auto"/>
                <w:sz w:val="24"/>
                <w:lang w:bidi="ar"/>
              </w:rPr>
              <w:t>，方便</w:t>
            </w:r>
            <w:r>
              <w:rPr>
                <w:rFonts w:asciiTheme="minorEastAsia" w:hAnsiTheme="minorEastAsia" w:eastAsiaTheme="minorEastAsia"/>
                <w:color w:val="auto"/>
                <w:sz w:val="24"/>
                <w:lang w:bidi="ar"/>
              </w:rPr>
              <w:t>转向</w:t>
            </w:r>
            <w:r>
              <w:rPr>
                <w:rFonts w:hint="eastAsia" w:asciiTheme="minorEastAsia" w:hAnsiTheme="minorEastAsia" w:eastAsiaTheme="minorEastAsia"/>
                <w:color w:val="auto"/>
                <w:sz w:val="24"/>
                <w:lang w:bidi="ar"/>
              </w:rPr>
              <w:t>运输</w:t>
            </w:r>
            <w:r>
              <w:rPr>
                <w:rFonts w:asciiTheme="minorEastAsia" w:hAnsiTheme="minorEastAsia" w:eastAsiaTheme="minorEastAsia"/>
                <w:color w:val="auto"/>
                <w:sz w:val="24"/>
                <w:lang w:bidi="ar"/>
              </w:rPr>
              <w:t>。</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辆</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1-14</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裁判桌</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长1200mm宽400mm高750mm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张</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1-15</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裁判椅</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净重3kg，加厚承重550斤，塑料</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张</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1-16</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遮阳伞</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2.8M防紫外线含四角底座</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1-17</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足球门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ZQM-2A、7.32 ×2.44（m）（配网）、北京奥运会使用器材</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1-18</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足球门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ZQM-6A、5×2（m）、铝合金（配网）</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1-19</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器材存放铁架</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高1.5米*长1.5米*宽0.5米</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bl>
    <w:p>
      <w:pPr>
        <w:pStyle w:val="4"/>
        <w:spacing w:before="0"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备注：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.以上货物涉及到的尺寸允许±1%。</w:t>
      </w:r>
    </w:p>
    <w:p>
      <w:pPr>
        <w:pStyle w:val="4"/>
        <w:spacing w:before="0" w:after="0" w:line="360" w:lineRule="auto"/>
        <w:ind w:firstLine="964" w:firstLineChars="4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 xml:space="preserve">.本项目核心产品是：跨栏架、电计发令枪、起点终点屏幕、音箱含软件。   </w:t>
      </w:r>
    </w:p>
    <w:p>
      <w:pPr>
        <w:pStyle w:val="4"/>
        <w:spacing w:before="0" w:after="0" w:line="360" w:lineRule="auto"/>
        <w:jc w:val="left"/>
        <w:rPr>
          <w:rFonts w:hint="eastAsia" w:ascii="宋体" w:hAnsi="宋体" w:eastAsia="宋体" w:cs="宋体"/>
          <w:color w:val="auto"/>
          <w:sz w:val="24"/>
          <w:szCs w:val="24"/>
          <w:lang w:eastAsia="zh-CN"/>
        </w:rPr>
      </w:pP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1.投标人对提供的货物或服务，因产品及服务质量、或知识产权纠纷等问题，必须提供保修、包换、包退等服务。</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2.货物安装调试合格后，投标人负责对采购人技术人员进行免费现场培训，培训内容包括系统的功能、原理、使用与维护等，培训日程视实际情况另定。</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6.履行所承诺的其他服务条款。</w:t>
      </w: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1.项目具备验收条件后，投标人应向采购人提出验收请求并提供完整的项目交接资料及交接报告。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3.投标人在接到采购人的修改意见后，应在10天内（当事人另行商定的时间除外）负责处理，否则，即视为默认采购人提出的异议和处理意见。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4.验收标准：招标文件和合同规定的技术要求、规格质量及其它要求，生产厂家的产品说明书、合格证书及技术资料等；国家现行规范；当地监督管理部门要求的安全规范以及采购文件的规定。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验收小组：需3人以上（含3人）单数。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6.验收程序：货物验收分出厂检验、货到初步验收、安装调试验收三阶段：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rFonts w:hint="eastAsia" w:ascii="宋体" w:hAnsi="宋体" w:cs="宋体"/>
          <w:b/>
          <w:color w:val="auto"/>
          <w:kern w:val="0"/>
          <w:sz w:val="24"/>
        </w:rPr>
      </w:pPr>
      <w:r>
        <w:rPr>
          <w:rFonts w:hint="eastAsia" w:ascii="宋体" w:hAnsi="宋体" w:cs="宋体"/>
          <w:b/>
          <w:color w:val="auto"/>
          <w:kern w:val="0"/>
          <w:sz w:val="24"/>
        </w:rPr>
        <w:t>备注：以上招标内容及要求为基本要求，投标供应商须全部满足，否则不得推荐为成交候选人。</w:t>
      </w:r>
    </w:p>
    <w:p>
      <w:pPr>
        <w:pStyle w:val="14"/>
        <w:ind w:left="0" w:leftChars="0" w:firstLine="0" w:firstLineChars="0"/>
        <w:rPr>
          <w:color w:val="auto"/>
        </w:rPr>
      </w:pPr>
    </w:p>
    <w:p>
      <w:pPr>
        <w:widowControl/>
        <w:spacing w:line="360" w:lineRule="auto"/>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3"/>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3"/>
        <w:widowControl/>
        <w:spacing w:before="60" w:after="60" w:line="360" w:lineRule="auto"/>
        <w:rPr>
          <w:rFonts w:ascii="宋体" w:hAnsi="宋体" w:cs="宋体"/>
          <w:color w:val="auto"/>
        </w:rPr>
      </w:pPr>
      <w:r>
        <w:rPr>
          <w:rFonts w:hint="eastAsia" w:ascii="宋体" w:hAnsi="宋体" w:cs="宋体"/>
          <w:color w:val="auto"/>
        </w:rPr>
        <w:t>2、交付时间：签订合同</w:t>
      </w:r>
      <w:r>
        <w:rPr>
          <w:rFonts w:hint="eastAsia" w:ascii="宋体" w:hAnsi="宋体" w:cs="宋体"/>
          <w:color w:val="auto"/>
          <w:lang w:val="en-US" w:eastAsia="zh-CN"/>
        </w:rPr>
        <w:t>50</w:t>
      </w:r>
      <w:r>
        <w:rPr>
          <w:rFonts w:hint="eastAsia" w:ascii="宋体" w:hAnsi="宋体" w:cs="宋体"/>
          <w:color w:val="auto"/>
        </w:rPr>
        <w:t xml:space="preserve">天内完成安装及调试。 </w:t>
      </w:r>
    </w:p>
    <w:p>
      <w:pPr>
        <w:pStyle w:val="33"/>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48"/>
        <w:keepNext w:val="0"/>
        <w:keepLines w:val="0"/>
        <w:pageBreakBefore w:val="0"/>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4、是否收取履约保证金：是。履约保证金百分比：2%。说明：</w:t>
      </w:r>
      <w:r>
        <w:rPr>
          <w:rFonts w:hint="eastAsia" w:ascii="宋体" w:hAnsi="宋体" w:cs="宋体"/>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r>
        <w:rPr>
          <w:rFonts w:hint="eastAsia" w:ascii="宋体" w:hAnsi="宋体"/>
          <w:bCs/>
          <w:color w:val="auto"/>
          <w:lang w:val="en-US" w:eastAsia="zh-CN"/>
        </w:rPr>
        <w:t>履约保证金以支票、汇票、本票或者金融机构、担保机构出具的保函等非现金形式向采购人缴交。</w:t>
      </w:r>
    </w:p>
    <w:p>
      <w:pPr>
        <w:pStyle w:val="33"/>
        <w:keepNext w:val="0"/>
        <w:keepLines w:val="0"/>
        <w:pageBreakBefore w:val="0"/>
        <w:widowControl/>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5、是否邀请投标人参与验收：否。</w:t>
      </w:r>
    </w:p>
    <w:p>
      <w:pPr>
        <w:pStyle w:val="33"/>
        <w:keepNext w:val="0"/>
        <w:keepLines w:val="0"/>
        <w:pageBreakBefore w:val="0"/>
        <w:widowControl/>
        <w:kinsoku/>
        <w:wordWrap/>
        <w:overflowPunct/>
        <w:topLinePunct w:val="0"/>
        <w:bidi w:val="0"/>
        <w:snapToGrid/>
        <w:spacing w:line="360" w:lineRule="auto"/>
        <w:textAlignment w:val="auto"/>
        <w:rPr>
          <w:color w:val="auto"/>
        </w:rPr>
      </w:pPr>
      <w:r>
        <w:rPr>
          <w:rFonts w:hint="eastAsia" w:ascii="宋体" w:hAnsi="宋体" w:cs="宋体"/>
          <w:color w:val="auto"/>
        </w:rPr>
        <w:t xml:space="preserve">6、验收方式数据表格 </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6"/>
        <w:tblW w:w="93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44"/>
        <w:gridCol w:w="1561"/>
        <w:gridCol w:w="6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9" w:hRule="atLeast"/>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1.所有货款均由泉州师范学院支付；</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2.支付货款时应提供的资料：《泉州师范学院采购申请表》、成交通知书、采购验收单及合同的原件，正式的完税税务发票复印件（均应加盖财务专用章）和政府采购计划表（政府采购系统上打印）。</w:t>
            </w:r>
          </w:p>
          <w:p>
            <w:pPr>
              <w:pStyle w:val="48"/>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3.付款：在合同签订后，中标供应商提交银行出具的预付款保函或启用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指定银行的三方共管账户后，</w:t>
            </w:r>
            <w:r>
              <w:rPr>
                <w:rFonts w:hint="eastAsia" w:ascii="宋体" w:hAnsi="宋体" w:cs="宋体"/>
                <w:color w:val="auto"/>
                <w:kern w:val="0"/>
                <w:sz w:val="24"/>
                <w:lang w:eastAsia="zh-CN"/>
              </w:rPr>
              <w:t>采购人</w:t>
            </w:r>
            <w:r>
              <w:rPr>
                <w:rFonts w:hint="eastAsia" w:ascii="宋体" w:hAnsi="宋体" w:cs="宋体"/>
                <w:color w:val="auto"/>
                <w:kern w:val="0"/>
                <w:sz w:val="24"/>
              </w:rPr>
              <w:t>支付合同总价100%的预付款。预付款保函的有效期需在采购项目验收合格日期之后；启用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指定银行的三方共管账户，采购项目经验收合格后，中标供应商从三方共管账户支取款项。</w:t>
            </w:r>
          </w:p>
          <w:p>
            <w:pPr>
              <w:widowControl/>
              <w:spacing w:line="360" w:lineRule="auto"/>
              <w:jc w:val="left"/>
              <w:textAlignment w:val="top"/>
              <w:rPr>
                <w:rFonts w:ascii="宋体" w:hAnsi="宋体" w:cs="宋体"/>
                <w:color w:val="auto"/>
              </w:rPr>
            </w:pPr>
            <w:r>
              <w:rPr>
                <w:rFonts w:hint="eastAsia" w:ascii="宋体" w:hAnsi="宋体" w:cs="宋体"/>
                <w:color w:val="auto"/>
                <w:kern w:val="0"/>
                <w:sz w:val="24"/>
              </w:rPr>
              <w:t>4.投标人、收款单位、购货票证开票单位三者应一致，投标人收款帐号应为中国人民银行批准的基本帐户。</w:t>
            </w:r>
          </w:p>
        </w:tc>
      </w:tr>
    </w:tbl>
    <w:p>
      <w:pPr>
        <w:pStyle w:val="33"/>
        <w:widowControl/>
        <w:spacing w:line="360" w:lineRule="auto"/>
        <w:rPr>
          <w:rFonts w:ascii="宋体" w:hAnsi="宋体" w:cs="宋体"/>
          <w:color w:val="auto"/>
        </w:rPr>
      </w:pPr>
      <w:r>
        <w:rPr>
          <w:rStyle w:val="39"/>
          <w:rFonts w:hint="eastAsia" w:ascii="宋体" w:hAnsi="宋体" w:cs="宋体"/>
          <w:bCs/>
          <w:color w:val="auto"/>
        </w:rPr>
        <w:t>8、其他商务要求：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kern w:val="0"/>
          <w:sz w:val="24"/>
          <w:lang w:eastAsia="zh-CN"/>
        </w:rPr>
        <w:t>投标人</w:t>
      </w:r>
      <w:r>
        <w:rPr>
          <w:rFonts w:hint="eastAsia" w:ascii="宋体" w:hAnsi="宋体" w:cs="宋体"/>
          <w:color w:val="auto"/>
          <w:kern w:val="0"/>
          <w:sz w:val="24"/>
        </w:rPr>
        <w:t>不得虚报各项技术指标，中标产品若不能符合技术要求，采购人有权解除合同，并向政府采购管理部门通报，因此给采购人造成的一切损失，由</w:t>
      </w:r>
      <w:r>
        <w:rPr>
          <w:rFonts w:hint="eastAsia" w:ascii="宋体" w:hAnsi="宋体" w:cs="宋体"/>
          <w:color w:val="auto"/>
          <w:kern w:val="0"/>
          <w:sz w:val="24"/>
          <w:lang w:eastAsia="zh-CN"/>
        </w:rPr>
        <w:t>投标人</w:t>
      </w:r>
      <w:r>
        <w:rPr>
          <w:rFonts w:hint="eastAsia" w:ascii="宋体" w:hAnsi="宋体" w:cs="宋体"/>
          <w:color w:val="auto"/>
          <w:kern w:val="0"/>
          <w:sz w:val="24"/>
        </w:rPr>
        <w:t>承担。</w:t>
      </w:r>
    </w:p>
    <w:p>
      <w:pPr>
        <w:pStyle w:val="48"/>
        <w:spacing w:line="360" w:lineRule="auto"/>
        <w:ind w:firstLine="480" w:firstLineChars="200"/>
        <w:rPr>
          <w:rFonts w:ascii="宋体" w:hAnsi="宋体" w:cs="宋体"/>
          <w:color w:val="auto"/>
        </w:rPr>
      </w:pPr>
      <w:r>
        <w:rPr>
          <w:rFonts w:hint="eastAsia" w:ascii="宋体" w:hAnsi="宋体" w:cs="宋体"/>
          <w:color w:val="auto"/>
        </w:rPr>
        <w:t>（二）培训：</w:t>
      </w:r>
      <w:r>
        <w:rPr>
          <w:rFonts w:hint="eastAsia" w:ascii="宋体" w:hAnsi="宋体" w:cs="宋体"/>
          <w:color w:val="auto"/>
          <w:lang w:eastAsia="zh-CN"/>
        </w:rPr>
        <w:t>投标人</w:t>
      </w:r>
      <w:r>
        <w:rPr>
          <w:rFonts w:hint="eastAsia" w:ascii="宋体" w:hAnsi="宋体" w:cs="宋体"/>
          <w:color w:val="auto"/>
        </w:rPr>
        <w:t>应结合本次采购的货物，有计划地对采购人派出管理、维护及使用人员进行安装现场的基本知识、使用、维护与保养技术的培训。</w:t>
      </w:r>
    </w:p>
    <w:p>
      <w:pPr>
        <w:pStyle w:val="33"/>
        <w:widowControl/>
        <w:spacing w:line="360" w:lineRule="auto"/>
        <w:rPr>
          <w:rFonts w:ascii="宋体" w:hAnsi="宋体" w:cs="宋体"/>
          <w:color w:val="auto"/>
        </w:rPr>
      </w:pPr>
      <w:r>
        <w:rPr>
          <w:rStyle w:val="39"/>
          <w:rFonts w:hint="eastAsia" w:ascii="宋体" w:hAnsi="宋体" w:cs="宋体"/>
          <w:bCs/>
          <w:color w:val="auto"/>
        </w:rPr>
        <w:t>9、报价要求</w:t>
      </w:r>
    </w:p>
    <w:p>
      <w:pPr>
        <w:pStyle w:val="33"/>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r>
        <w:rPr>
          <w:rFonts w:hint="eastAsia" w:ascii="宋体" w:hAnsi="宋体" w:cs="宋体"/>
          <w:color w:val="auto"/>
          <w:lang w:eastAsia="zh-CN"/>
        </w:rPr>
        <w:t>（总价和分项报价）</w:t>
      </w:r>
      <w:r>
        <w:rPr>
          <w:rFonts w:hint="eastAsia" w:ascii="宋体" w:hAnsi="宋体" w:cs="宋体"/>
          <w:color w:val="auto"/>
        </w:rPr>
        <w:t>。</w:t>
      </w:r>
    </w:p>
    <w:p>
      <w:pPr>
        <w:pStyle w:val="33"/>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3"/>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3"/>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3"/>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3"/>
        <w:widowControl/>
        <w:spacing w:line="360" w:lineRule="auto"/>
        <w:rPr>
          <w:rFonts w:ascii="宋体" w:hAnsi="宋体" w:cs="宋体"/>
          <w:color w:val="auto"/>
        </w:rPr>
      </w:pPr>
      <w:r>
        <w:rPr>
          <w:rStyle w:val="39"/>
          <w:rFonts w:hint="eastAsia" w:ascii="宋体" w:hAnsi="宋体" w:cs="宋体"/>
          <w:bCs/>
          <w:color w:val="auto"/>
        </w:rPr>
        <w:t>10、注意事项</w:t>
      </w:r>
    </w:p>
    <w:p>
      <w:pPr>
        <w:pStyle w:val="33"/>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3"/>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3"/>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3"/>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3"/>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3"/>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10.8、响应文件一旦递交，概不退还。</w:t>
      </w:r>
    </w:p>
    <w:p>
      <w:pPr>
        <w:pStyle w:val="33"/>
        <w:widowControl/>
        <w:spacing w:line="360" w:lineRule="auto"/>
        <w:ind w:firstLine="384"/>
        <w:rPr>
          <w:rFonts w:hint="eastAsia" w:ascii="宋体" w:hAnsi="宋体" w:cs="宋体"/>
          <w:color w:val="auto"/>
        </w:rPr>
      </w:pPr>
    </w:p>
    <w:p>
      <w:pPr>
        <w:pStyle w:val="33"/>
        <w:widowControl/>
        <w:spacing w:line="360" w:lineRule="auto"/>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bookmarkEnd w:id="20"/>
    <w:p>
      <w:pPr>
        <w:pStyle w:val="33"/>
        <w:keepNext w:val="0"/>
        <w:keepLines w:val="0"/>
        <w:widowControl/>
        <w:suppressLineNumbers w:val="0"/>
        <w:spacing w:before="75" w:beforeAutospacing="0" w:after="75" w:afterAutospacing="0" w:line="360" w:lineRule="auto"/>
        <w:ind w:left="0" w:right="0" w:firstLine="0"/>
        <w:jc w:val="center"/>
        <w:rPr>
          <w:rFonts w:ascii="微软雅黑" w:hAnsi="微软雅黑" w:eastAsia="微软雅黑" w:cs="微软雅黑"/>
          <w:i w:val="0"/>
          <w:iCs w:val="0"/>
          <w:caps w:val="0"/>
          <w:color w:val="auto"/>
          <w:spacing w:val="0"/>
          <w:sz w:val="27"/>
          <w:szCs w:val="27"/>
        </w:rPr>
      </w:pPr>
      <w:r>
        <w:rPr>
          <w:rStyle w:val="39"/>
          <w:rFonts w:ascii="宋体" w:hAnsi="宋体" w:eastAsia="宋体" w:cs="宋体"/>
          <w:i w:val="0"/>
          <w:iCs w:val="0"/>
          <w:caps w:val="0"/>
          <w:color w:val="auto"/>
          <w:spacing w:val="0"/>
          <w:sz w:val="24"/>
          <w:szCs w:val="24"/>
        </w:rPr>
        <w:t>第四章</w:t>
      </w:r>
      <w:r>
        <w:rPr>
          <w:rStyle w:val="39"/>
          <w:rFonts w:hint="eastAsia" w:ascii="宋体" w:hAnsi="宋体" w:eastAsia="宋体" w:cs="宋体"/>
          <w:i w:val="0"/>
          <w:iCs w:val="0"/>
          <w:caps w:val="0"/>
          <w:color w:val="auto"/>
          <w:spacing w:val="0"/>
          <w:sz w:val="24"/>
          <w:szCs w:val="24"/>
        </w:rPr>
        <w:t>  合同主要条款及格式</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编制说明</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1、签订合同应遵守《中华人民共和国政府采购法》、《中华人民共和国民法典》。</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3.本章节所附的合同主要条款及格式为参考文本，如果因为项目实际特点不能适用，则可由甲乙双方在合同签订阶段可通过友好协商进行约定。</w:t>
      </w:r>
    </w:p>
    <w:p>
      <w:pPr>
        <w:pStyle w:val="33"/>
        <w:widowControl/>
        <w:spacing w:before="76" w:after="76" w:line="360" w:lineRule="auto"/>
        <w:rPr>
          <w:rFonts w:ascii="宋体" w:hAnsi="宋体"/>
          <w:color w:val="auto"/>
        </w:rPr>
      </w:pPr>
      <w:r>
        <w:rPr>
          <w:rFonts w:hint="eastAsia" w:ascii="宋体" w:hAnsi="宋体" w:cs="宋体"/>
          <w:color w:val="auto"/>
        </w:rPr>
        <w:t>甲方：（采购人全称）</w:t>
      </w:r>
    </w:p>
    <w:p>
      <w:pPr>
        <w:pStyle w:val="33"/>
        <w:widowControl/>
        <w:spacing w:before="76" w:after="76" w:line="360" w:lineRule="auto"/>
        <w:rPr>
          <w:rFonts w:ascii="宋体" w:hAnsi="宋体"/>
          <w:color w:val="auto"/>
        </w:rPr>
      </w:pPr>
      <w:r>
        <w:rPr>
          <w:rFonts w:hint="eastAsia" w:ascii="宋体" w:hAnsi="宋体" w:cs="宋体"/>
          <w:color w:val="auto"/>
        </w:rPr>
        <w:t>乙方：（成交供应商全称）</w:t>
      </w:r>
    </w:p>
    <w:p>
      <w:pPr>
        <w:pStyle w:val="33"/>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3"/>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3"/>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3"/>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3"/>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3"/>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3"/>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3"/>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3"/>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3"/>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3"/>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3"/>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3"/>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3"/>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3"/>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3"/>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3"/>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3"/>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3"/>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3"/>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3"/>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3"/>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3"/>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3"/>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3"/>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3"/>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3"/>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3"/>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3"/>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3"/>
        <w:widowControl/>
        <w:spacing w:before="76" w:after="76" w:line="360" w:lineRule="auto"/>
        <w:rPr>
          <w:rFonts w:ascii="宋体" w:hAnsi="宋体"/>
          <w:color w:val="auto"/>
        </w:rPr>
      </w:pP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79"/>
        <w:rPr>
          <w:rFonts w:ascii="宋体" w:hAnsi="宋体" w:cs="宋体"/>
          <w:color w:val="auto"/>
        </w:rPr>
      </w:pPr>
      <w:r>
        <w:rPr>
          <w:rFonts w:ascii="宋体" w:hAnsi="宋体" w:cs="宋体"/>
          <w:color w:val="auto"/>
        </w:rPr>
        <w:t> </w:t>
      </w:r>
      <w:bookmarkStart w:id="21" w:name="_Toc511891598"/>
    </w:p>
    <w:p>
      <w:pPr>
        <w:rPr>
          <w:rFonts w:ascii="宋体" w:hAnsi="宋体" w:cs="宋体"/>
          <w:color w:val="auto"/>
        </w:rPr>
      </w:pPr>
      <w:r>
        <w:rPr>
          <w:rFonts w:ascii="宋体" w:hAnsi="宋体" w:cs="宋体"/>
          <w:color w:val="auto"/>
        </w:rPr>
        <w:br w:type="page"/>
      </w:r>
    </w:p>
    <w:bookmarkEnd w:id="21"/>
    <w:p>
      <w:pPr>
        <w:pStyle w:val="33"/>
        <w:keepNext w:val="0"/>
        <w:keepLines w:val="0"/>
        <w:widowControl/>
        <w:suppressLineNumbers w:val="0"/>
        <w:spacing w:before="75" w:beforeAutospacing="0" w:after="75" w:afterAutospacing="0" w:line="435" w:lineRule="atLeast"/>
        <w:ind w:left="0" w:right="0" w:firstLine="0"/>
        <w:jc w:val="center"/>
        <w:rPr>
          <w:rStyle w:val="39"/>
          <w:rFonts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ascii="宋体" w:hAnsi="宋体" w:eastAsia="宋体" w:cs="宋体"/>
          <w:color w:val="auto"/>
          <w:spacing w:val="0"/>
          <w:sz w:val="24"/>
          <w:szCs w:val="24"/>
        </w:rPr>
        <w:t>第五章</w:t>
      </w:r>
      <w:r>
        <w:rPr>
          <w:rStyle w:val="39"/>
          <w:rFonts w:hint="eastAsia" w:ascii="宋体" w:hAnsi="宋体" w:eastAsia="宋体" w:cs="宋体"/>
          <w:color w:val="auto"/>
          <w:spacing w:val="0"/>
          <w:sz w:val="24"/>
          <w:szCs w:val="24"/>
        </w:rPr>
        <w:t>  首次响应文件格式</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hint="eastAsia" w:ascii="宋体" w:hAnsi="宋体" w:eastAsia="宋体" w:cs="宋体"/>
          <w:color w:val="auto"/>
          <w:spacing w:val="0"/>
          <w:sz w:val="24"/>
          <w:szCs w:val="24"/>
        </w:rPr>
        <w:t>编制说明</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3"/>
        <w:keepNext w:val="0"/>
        <w:keepLines w:val="0"/>
        <w:widowControl/>
        <w:suppressLineNumbers w:val="0"/>
        <w:spacing w:before="75" w:beforeAutospacing="0" w:after="75" w:afterAutospacing="0" w:line="43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sz w:val="52"/>
          <w:szCs w:val="52"/>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福建省政府采购项目竞争性谈判</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响应文件</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（首次）</w:t>
      </w: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项目名称：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项目编号：               </w:t>
      </w:r>
    </w:p>
    <w:p>
      <w:pPr>
        <w:pStyle w:val="33"/>
        <w:keepNext w:val="0"/>
        <w:keepLines w:val="0"/>
        <w:widowControl/>
        <w:suppressLineNumbers w:val="0"/>
        <w:spacing w:before="75" w:beforeAutospacing="0" w:after="75" w:afterAutospacing="0"/>
        <w:ind w:left="0" w:right="0" w:firstLine="1260"/>
        <w:rPr>
          <w:color w:val="auto"/>
        </w:rPr>
      </w:pPr>
      <w:r>
        <w:rPr>
          <w:rStyle w:val="39"/>
          <w:rFonts w:hint="eastAsia" w:ascii="宋体" w:hAnsi="宋体" w:eastAsia="宋体" w:cs="宋体"/>
          <w:color w:val="auto"/>
          <w:spacing w:val="0"/>
          <w:sz w:val="28"/>
          <w:szCs w:val="28"/>
        </w:rPr>
        <w:t>合同包: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z w:val="28"/>
          <w:szCs w:val="28"/>
        </w:rPr>
      </w:pPr>
      <w:r>
        <w:rPr>
          <w:rStyle w:val="39"/>
          <w:rFonts w:hint="eastAsia" w:ascii="宋体" w:hAnsi="宋体" w:eastAsia="宋体" w:cs="宋体"/>
          <w:color w:val="auto"/>
          <w:spacing w:val="0"/>
          <w:sz w:val="24"/>
          <w:szCs w:val="24"/>
        </w:rPr>
        <w:t xml:space="preserve">      </w:t>
      </w:r>
      <w:r>
        <w:rPr>
          <w:rStyle w:val="39"/>
          <w:rFonts w:hint="eastAsia" w:ascii="宋体" w:hAnsi="宋体" w:eastAsia="宋体" w:cs="宋体"/>
          <w:color w:val="auto"/>
          <w:spacing w:val="0"/>
          <w:sz w:val="28"/>
          <w:szCs w:val="28"/>
        </w:rPr>
        <w:t>供应商名称 ：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8"/>
          <w:szCs w:val="28"/>
        </w:rPr>
        <w:t>      日   期 ：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Style w:val="39"/>
          <w:rFonts w:hint="eastAsia" w:ascii="宋体" w:hAnsi="宋体" w:eastAsia="宋体" w:cs="宋体"/>
          <w:color w:val="auto"/>
          <w:spacing w:val="0"/>
          <w:sz w:val="28"/>
          <w:szCs w:val="28"/>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8"/>
          <w:szCs w:val="28"/>
        </w:rPr>
        <w:t>目  录</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附件2：报价一览表（含详细报价书）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附件4：谈判保证金凭证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附件5：技术、服务和商务响应表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           </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left"/>
        <w:rPr>
          <w:color w:val="auto"/>
        </w:rPr>
      </w:pPr>
      <w:r>
        <w:rPr>
          <w:rFonts w:hint="eastAsia" w:ascii="宋体" w:hAnsi="宋体" w:eastAsia="宋体" w:cs="宋体"/>
          <w:color w:val="auto"/>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（1）谈判响应声明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（2）报价一览表（含详细报价书）</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（3）资格证明文件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（4）谈判保证金凭证</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（5）技术、服务和商务响应表</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（6）相关技术、商务、服务响应承诺及资料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（8）按照谈判文件规定，要求作为响应文件组成部分的其他内容（若有）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2.据此函，我方宣布响应承诺如下：</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2.5我方愿意向贵方提供任何与本项目谈判采购有关的数据或资料。若贵方需要，我方愿意提供我方作出的一切承诺的证明材料。</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通信地址：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邮编：        传真号：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联系电话（固定电话和移动电话）：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供应商代表：     （签字）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供应商代表电子信箱：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         （全称并加盖公章）              .</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 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附件2</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报价一览表</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供应商名称：（全称加盖单位公章）项目编号∶          货币单位：元人民币</w:t>
      </w:r>
    </w:p>
    <w:tbl>
      <w:tblPr>
        <w:tblStyle w:val="36"/>
        <w:tblpPr w:leftFromText="180" w:rightFromText="180" w:vertAnchor="text" w:horzAnchor="page" w:tblpX="1149" w:tblpY="456"/>
        <w:tblOverlap w:val="never"/>
        <w:tblW w:w="96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1796"/>
        <w:gridCol w:w="102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合同包</w:t>
            </w:r>
          </w:p>
        </w:tc>
        <w:tc>
          <w:tcPr>
            <w:tcW w:w="36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首次报价</w:t>
            </w:r>
          </w:p>
        </w:tc>
        <w:tc>
          <w:tcPr>
            <w:tcW w:w="17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交货期/工期/项目完成时间/服务时间</w:t>
            </w:r>
          </w:p>
        </w:tc>
        <w:tc>
          <w:tcPr>
            <w:tcW w:w="99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谈判保证金</w:t>
            </w:r>
          </w:p>
        </w:tc>
        <w:tc>
          <w:tcPr>
            <w:tcW w:w="202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备注：详细报价书另纸详列，格式自拟。</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1"/>
          <w:szCs w:val="21"/>
        </w:rPr>
        <w:t>                                             </w:t>
      </w: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附件2-1       </w:t>
      </w:r>
      <w:r>
        <w:rPr>
          <w:rFonts w:hint="eastAsia" w:ascii="宋体" w:hAnsi="宋体" w:eastAsia="宋体" w:cs="宋体"/>
          <w:color w:val="auto"/>
          <w:spacing w:val="0"/>
          <w:sz w:val="36"/>
          <w:szCs w:val="36"/>
        </w:rPr>
        <w:t> </w:t>
      </w:r>
      <w:r>
        <w:rPr>
          <w:rFonts w:hint="eastAsia" w:ascii="宋体" w:hAnsi="宋体" w:eastAsia="宋体" w:cs="宋体"/>
          <w:color w:val="auto"/>
          <w:spacing w:val="0"/>
          <w:sz w:val="36"/>
          <w:szCs w:val="36"/>
          <w:lang w:val="en-US" w:eastAsia="zh-CN"/>
        </w:rPr>
        <w:t xml:space="preserve">     </w:t>
      </w:r>
      <w:r>
        <w:rPr>
          <w:rStyle w:val="39"/>
          <w:rFonts w:hint="eastAsia" w:ascii="宋体" w:hAnsi="宋体" w:eastAsia="宋体" w:cs="宋体"/>
          <w:color w:val="auto"/>
          <w:spacing w:val="0"/>
          <w:sz w:val="28"/>
          <w:szCs w:val="28"/>
        </w:rPr>
        <w:t>详细报价书</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附件3        </w:t>
      </w:r>
      <w:r>
        <w:rPr>
          <w:rFonts w:hint="eastAsia" w:ascii="宋体" w:hAnsi="宋体" w:eastAsia="宋体" w:cs="宋体"/>
          <w:color w:val="auto"/>
          <w:spacing w:val="0"/>
          <w:sz w:val="28"/>
          <w:szCs w:val="28"/>
        </w:rPr>
        <w:t> </w:t>
      </w:r>
      <w:r>
        <w:rPr>
          <w:rFonts w:hint="eastAsia" w:ascii="宋体" w:hAnsi="宋体" w:eastAsia="宋体" w:cs="宋体"/>
          <w:color w:val="auto"/>
          <w:spacing w:val="0"/>
          <w:sz w:val="28"/>
          <w:szCs w:val="28"/>
          <w:lang w:val="en-US" w:eastAsia="zh-CN"/>
        </w:rPr>
        <w:t xml:space="preserve">     </w:t>
      </w:r>
      <w:r>
        <w:rPr>
          <w:rStyle w:val="39"/>
          <w:rFonts w:hint="eastAsia" w:ascii="宋体" w:hAnsi="宋体" w:eastAsia="宋体" w:cs="宋体"/>
          <w:color w:val="auto"/>
          <w:spacing w:val="0"/>
          <w:sz w:val="28"/>
          <w:szCs w:val="28"/>
        </w:rPr>
        <w:t>资格证明文件</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465" w:lineRule="atLeast"/>
        <w:ind w:left="0" w:right="0" w:firstLine="0"/>
        <w:rPr>
          <w:color w:val="auto"/>
          <w:sz w:val="28"/>
          <w:szCs w:val="28"/>
        </w:rPr>
      </w:pPr>
      <w:r>
        <w:rPr>
          <w:rFonts w:hint="eastAsia" w:ascii="宋体" w:hAnsi="宋体" w:eastAsia="宋体" w:cs="宋体"/>
          <w:color w:val="auto"/>
          <w:spacing w:val="0"/>
          <w:sz w:val="28"/>
          <w:szCs w:val="28"/>
        </w:rPr>
        <w:t>附件3-1       </w:t>
      </w:r>
      <w:r>
        <w:rPr>
          <w:rStyle w:val="39"/>
          <w:rFonts w:hint="eastAsia" w:ascii="宋体" w:hAnsi="宋体" w:eastAsia="宋体" w:cs="宋体"/>
          <w:color w:val="auto"/>
          <w:spacing w:val="0"/>
          <w:sz w:val="28"/>
          <w:szCs w:val="28"/>
        </w:rPr>
        <w:t>参加竞争性谈判的声明函</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2、供应商的基本概况：</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2.1供应商单位名称：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2.2注册地址：                           </w:t>
      </w:r>
    </w:p>
    <w:p>
      <w:pPr>
        <w:pStyle w:val="33"/>
        <w:keepNext w:val="0"/>
        <w:keepLines w:val="0"/>
        <w:widowControl/>
        <w:suppressLineNumbers w:val="0"/>
        <w:spacing w:before="75" w:beforeAutospacing="0" w:after="75" w:afterAutospacing="0" w:line="360" w:lineRule="auto"/>
        <w:ind w:left="540" w:right="0" w:firstLine="0"/>
        <w:rPr>
          <w:color w:val="auto"/>
        </w:rPr>
      </w:pPr>
      <w:r>
        <w:rPr>
          <w:rFonts w:hint="eastAsia" w:ascii="宋体" w:hAnsi="宋体" w:eastAsia="宋体" w:cs="宋体"/>
          <w:color w:val="auto"/>
          <w:spacing w:val="0"/>
          <w:sz w:val="24"/>
          <w:szCs w:val="24"/>
        </w:rPr>
        <w:t>2.3单位负责人姓名：    性别：     年龄：     职务：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备注：“单位负责人”指单位法定代表人（供应商为法人的）或法律、法规规定代表单位行使职权的主要负责人（供应商为其他组织的）。</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附件3-2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供应商的资格声明</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1、</w:t>
      </w:r>
      <w:r>
        <w:rPr>
          <w:rFonts w:hint="eastAsia" w:ascii="宋体" w:hAnsi="宋体" w:eastAsia="宋体" w:cs="宋体"/>
          <w:color w:val="auto"/>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6"/>
        <w:tblW w:w="937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8"/>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《中华人民共和国政府采购法》第二十二条对供应商的要求</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（1）具有独立承担民事责任的能力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（2）具有良好的商业信誉和健全的财务会计制度</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（3）具有履行合同所必需的设备和专业技术能力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（4）有依法缴纳税收和社会保障资金的良好记录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（5）参加政府采购活动前三年内，在经营活动中没有重大违法记录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（6）法律、行政法规规定的其他条件。</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谈判文件对合格供应商的一般规定</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供应商应当遵守中国的有关法律、法规和规章的规定，参加政府采购活动时已经自觉检查并按照政府采购相关法律规定，主动回避相应利害关系。</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列入失信被执行人、重大税收违法案件当事人名单、政府采购严重违法失信行为记录名单的供应商，不得参加政府采购活动。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2、我方对上述声明的真实性、合法性、准确性、有效性负责，并愿意根据谈判文件和谈判过程中贵方要求提供全部现有资料、数据、文件等予以证实。</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附件3-3         </w:t>
      </w:r>
      <w:r>
        <w:rPr>
          <w:rStyle w:val="39"/>
          <w:rFonts w:hint="eastAsia" w:ascii="宋体" w:hAnsi="宋体" w:eastAsia="宋体" w:cs="宋体"/>
          <w:color w:val="auto"/>
          <w:spacing w:val="0"/>
          <w:sz w:val="24"/>
          <w:szCs w:val="24"/>
        </w:rPr>
        <w:t>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供应商代表无转委权。特此授权。</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单位负责人：        身份证号：       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身份证号：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授权方</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供应商：（全称并加盖单位公章）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单位负责人签字或盖章：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接受授权方</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供应商代表签字：</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附：单位负责人、供应商代表的身份证正反面复印件</w:t>
      </w:r>
    </w:p>
    <w:tbl>
      <w:tblPr>
        <w:tblStyle w:val="36"/>
        <w:tblW w:w="94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8" w:hRule="atLeast"/>
          <w:tblCellSpacing w:w="15" w:type="dxa"/>
        </w:trPr>
        <w:tc>
          <w:tcPr>
            <w:tcW w:w="937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要求：真实、有效、清晰</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tc>
      </w:tr>
    </w:tbl>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1、企业（银行、保险、石油石化、电力、电信等行业除外）、事业单位和社会团体法人的“单位负责人”指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2、银行、保险、石油石化、电力、电信等行业：以法人身份参加谈判的，“单位负责人”指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，即与实际提交的“营业执照等证明文件”载明的一致；以非法人身份参加谈判的，“单位负责人”指</w:t>
      </w:r>
      <w:r>
        <w:rPr>
          <w:rStyle w:val="39"/>
          <w:rFonts w:hint="eastAsia" w:ascii="宋体" w:hAnsi="宋体" w:eastAsia="宋体" w:cs="宋体"/>
          <w:color w:val="auto"/>
          <w:spacing w:val="0"/>
          <w:sz w:val="21"/>
          <w:szCs w:val="21"/>
        </w:rPr>
        <w:t>代表单位行使职权的主要负责人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4、对于接受联合体形式的谈判且供应商是联合体的，则只需要联合体的牵头方提交本授权书，在纸质响应文件正本中的本授权书应为原件。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附件3-4 </w:t>
      </w:r>
      <w:r>
        <w:rPr>
          <w:rStyle w:val="39"/>
          <w:rFonts w:hint="eastAsia" w:ascii="宋体" w:hAnsi="宋体" w:eastAsia="宋体" w:cs="宋体"/>
          <w:color w:val="auto"/>
          <w:spacing w:val="0"/>
          <w:sz w:val="24"/>
          <w:szCs w:val="24"/>
        </w:rPr>
        <w:t>       营业执照等证明文件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现附上由（填写“签发机关全称”）签发的我方统一社会信用代码（请填写法人的具体证照名称）复印件，该证明材料真实有效，否则我方负全部责任。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□现附上由（填写“签发机关全称”）签发的我方（请填写非自然人的非法人的具体证照名称）复印件，该证明材料真实有效，否则我方负全部责任。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□现附上由（填写“签发机关全称”）签发的我方（请填写自然人的身份证件名称）复印件，该证明材料真实有效，否则我方负全部责任。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1、请供应商根据实际情况填写，在相应的（）中打“√”并选择相应的“□”（若有）后，再按照本格式的要求提供相应证明材料的复印件。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附件3-5             </w:t>
      </w:r>
      <w:r>
        <w:rPr>
          <w:rStyle w:val="39"/>
          <w:rFonts w:hint="eastAsia" w:ascii="宋体" w:hAnsi="宋体" w:eastAsia="宋体" w:cs="宋体"/>
          <w:color w:val="auto"/>
          <w:spacing w:val="0"/>
          <w:sz w:val="24"/>
          <w:szCs w:val="24"/>
        </w:rPr>
        <w:t>财务状况报告</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）供应商提供财务报告的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）供应商提供资信证明的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□非自然人适用：现附上我方银行：（填写“开户银行全称”）出具的资信证明复印件，上述证明材料真实有效，否则我方负全部责任。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□自然人适用：现附上我方银行：（填写自然人的“个人账户的开户银行全称”）出具的资信证明复印件，上述证明材料真实有效，否则我方负全部责任。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）供应商提供投标担保函的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现附上由财政部门认可的政府采购专业担保机构：（填写“担保机构全称”）出具的投标担保函复印件，上述证明材料真实有效，否则我方负全部责任。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★注意事项：</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2、供应商提供的财务报告复印件（成立年限按照首次响应文件递交截止时间推算）应符合下列规定：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2.1成立年限满1年及以上的供应商，提供经审计的上一年度的年度财务报告。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2.2成立年限满半年但不足1年的供应商，提供该半年度中任一季度的季度财务报告或该半年度的半年度财务报告。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1"/>
          <w:szCs w:val="21"/>
        </w:rPr>
        <w:t>※无法按照本格式注意事项第2.1、2.2条规定提供财务报告复印件的供应商，应按照本格式注意事项的要求选择提供资信证明复印件或投标担保函复印件。</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3、“财政部门认可的政府采购专业担保机构”应符合《财政部关于开展政府采购信用担保试点工作方案》（财库[2011]124号）的规定。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4、供应商提供的相应证明材料复印件均应符合：内容完整、清晰、整洁，并由供应商加盖其单位公章。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附件3-6          </w:t>
      </w:r>
      <w:r>
        <w:rPr>
          <w:rStyle w:val="39"/>
          <w:rFonts w:hint="eastAsia" w:ascii="宋体" w:hAnsi="宋体" w:eastAsia="宋体" w:cs="宋体"/>
          <w:color w:val="auto"/>
          <w:spacing w:val="0"/>
          <w:sz w:val="24"/>
          <w:szCs w:val="24"/>
        </w:rPr>
        <w:t>依法缴纳税收证明材料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1、依法缴纳税收的供应商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2、依法免税的供应商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）现附上我方依法免税证明材料复印件，上述证明材料真实有效，否则我方负全部责任。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2、供应商提供的税收凭据复印件应符合下列规定：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2.2首次响应文件递交截止时间的当月成立且已依法缴纳税收的供应商，提供截止时间当月的税收凭据复印件。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2.3首次响应文件递交截止时间的当月成立但因税务机关原因而尚未依法缴纳税收的供应商，提供依法缴纳税收承诺书原件（格式自拟），该承诺书视同税收凭据。</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“依法缴纳税收证明材料”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未依法缴纳税收</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附件3-7       </w:t>
      </w:r>
      <w:r>
        <w:rPr>
          <w:rStyle w:val="39"/>
          <w:rFonts w:hint="eastAsia" w:ascii="宋体" w:hAnsi="宋体" w:eastAsia="宋体" w:cs="宋体"/>
          <w:color w:val="auto"/>
          <w:spacing w:val="0"/>
          <w:sz w:val="24"/>
          <w:szCs w:val="24"/>
        </w:rPr>
        <w:t>依法缴纳社会保障资金证明材料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1、依法缴纳社会保障资金的供应商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2、依法不需要缴纳社会保障资金的供应商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）现附上我方依法不需要缴纳社会保障资金证明材料复印件，上述证明材料真实有效，否则我方负全部责任。</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2、供应商提供的社会保险凭据复印件应符合下列规定：</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2.2首次响应文件递交截止时间的当月成立且已依法缴纳社会保障资金的供应商，提供首次响应文件递交截止时间当月的社会保险凭据复印件。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“依法缴纳社会保障资金证明材料”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未依法缴纳社会保障资金</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1680" w:firstLineChars="700"/>
        <w:rPr>
          <w:color w:val="auto"/>
        </w:rPr>
      </w:pPr>
      <w:r>
        <w:rPr>
          <w:rFonts w:hint="eastAsia" w:ascii="宋体" w:hAnsi="宋体" w:eastAsia="宋体" w:cs="宋体"/>
          <w:color w:val="auto"/>
          <w:spacing w:val="0"/>
          <w:sz w:val="24"/>
          <w:szCs w:val="24"/>
        </w:rPr>
        <w:t>附件3-8   </w:t>
      </w:r>
      <w:r>
        <w:rPr>
          <w:rStyle w:val="39"/>
          <w:rFonts w:hint="eastAsia" w:ascii="宋体" w:hAnsi="宋体" w:eastAsia="宋体" w:cs="宋体"/>
          <w:color w:val="auto"/>
          <w:spacing w:val="0"/>
          <w:sz w:val="24"/>
          <w:szCs w:val="24"/>
        </w:rPr>
        <w:t>具备履行合同所必需设备和专业技术能力证明材料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132" w:firstLineChars="1300"/>
        <w:jc w:val="both"/>
        <w:rPr>
          <w:color w:val="auto"/>
        </w:rPr>
      </w:pPr>
      <w:r>
        <w:rPr>
          <w:rStyle w:val="39"/>
          <w:rFonts w:hint="eastAsia" w:ascii="宋体" w:hAnsi="宋体" w:eastAsia="宋体" w:cs="宋体"/>
          <w:color w:val="auto"/>
          <w:spacing w:val="0"/>
          <w:sz w:val="24"/>
          <w:szCs w:val="24"/>
        </w:rPr>
        <w:t>声</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明</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我方具备履行合同所必需的设备和专业技术能力，并对本声明承诺的真实性负责，否则产生不利后果由我方承担责任。</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Fonts w:hint="eastAsia" w:ascii="宋体" w:hAnsi="宋体" w:eastAsia="宋体" w:cs="宋体"/>
          <w:b w:val="0"/>
          <w:bCs w:val="0"/>
          <w:color w:val="auto"/>
          <w:spacing w:val="0"/>
          <w:sz w:val="24"/>
          <w:szCs w:val="24"/>
        </w:rPr>
        <w:t>1.</w:t>
      </w:r>
      <w:r>
        <w:rPr>
          <w:rStyle w:val="39"/>
          <w:rFonts w:hint="eastAsia" w:ascii="宋体" w:hAnsi="宋体" w:eastAsia="宋体" w:cs="宋体"/>
          <w:b w:val="0"/>
          <w:bCs w:val="0"/>
          <w:color w:val="auto"/>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Style w:val="39"/>
          <w:rFonts w:hint="eastAsia" w:ascii="宋体" w:hAnsi="宋体" w:eastAsia="宋体" w:cs="宋体"/>
          <w:b w:val="0"/>
          <w:bCs w:val="0"/>
          <w:color w:val="auto"/>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3"/>
        <w:keepNext w:val="0"/>
        <w:keepLines w:val="0"/>
        <w:widowControl/>
        <w:suppressLineNumbers w:val="0"/>
        <w:spacing w:before="75" w:beforeAutospacing="0" w:after="75" w:afterAutospacing="0" w:line="360" w:lineRule="auto"/>
        <w:ind w:left="0" w:right="0" w:firstLine="0"/>
        <w:jc w:val="both"/>
        <w:rPr>
          <w:b w:val="0"/>
          <w:bCs w:val="0"/>
          <w:color w:val="auto"/>
        </w:rPr>
      </w:pPr>
      <w:r>
        <w:rPr>
          <w:rFonts w:hint="eastAsia" w:ascii="宋体" w:hAnsi="宋体" w:eastAsia="宋体" w:cs="宋体"/>
          <w:b w:val="0"/>
          <w:bCs w:val="0"/>
          <w:color w:val="auto"/>
          <w:spacing w:val="0"/>
          <w:sz w:val="24"/>
          <w:szCs w:val="24"/>
        </w:rPr>
        <w:t>  </w:t>
      </w:r>
      <w:r>
        <w:rPr>
          <w:rStyle w:val="39"/>
          <w:rFonts w:hint="eastAsia" w:ascii="宋体" w:hAnsi="宋体" w:eastAsia="宋体" w:cs="宋体"/>
          <w:b w:val="0"/>
          <w:bCs w:val="0"/>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附件3-9    </w:t>
      </w:r>
      <w:r>
        <w:rPr>
          <w:rStyle w:val="39"/>
          <w:rFonts w:hint="eastAsia" w:ascii="宋体" w:hAnsi="宋体" w:eastAsia="宋体" w:cs="宋体"/>
          <w:color w:val="auto"/>
          <w:spacing w:val="0"/>
          <w:sz w:val="24"/>
          <w:szCs w:val="24"/>
        </w:rPr>
        <w:t>参加采购活动前三年内在经营活动中</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701" w:firstLineChars="1121"/>
        <w:rPr>
          <w:color w:val="auto"/>
        </w:rPr>
      </w:pPr>
      <w:r>
        <w:rPr>
          <w:rStyle w:val="39"/>
          <w:rFonts w:hint="eastAsia" w:ascii="宋体" w:hAnsi="宋体" w:eastAsia="宋体" w:cs="宋体"/>
          <w:color w:val="auto"/>
          <w:spacing w:val="0"/>
          <w:sz w:val="24"/>
          <w:szCs w:val="24"/>
        </w:rPr>
        <w:t>没有重大违法记录书面声明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spacing w:val="0"/>
        </w:rPr>
        <w:t>。</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1、“重大违法记录”指供应商因违法经营受到刑事处罚或责令停产停业、吊销许可证或执照、较大数额罚款等行政处罚。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2、请供应商根据实际情况进行声明，若声明不真实，视为提供虚假材料。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附件3-10       </w:t>
      </w:r>
      <w:r>
        <w:rPr>
          <w:rStyle w:val="39"/>
          <w:rFonts w:hint="eastAsia" w:ascii="宋体" w:hAnsi="宋体" w:eastAsia="宋体" w:cs="宋体"/>
          <w:color w:val="auto"/>
          <w:spacing w:val="0"/>
          <w:sz w:val="24"/>
          <w:szCs w:val="24"/>
        </w:rPr>
        <w:t>信用记录查询结果</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2、若本项目接受联合体响应谈判且供应商为联合体，则联合体各成员均应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3、联合体成员存在不良信用记录的，视同联合体存在不良信用记录，</w:t>
      </w:r>
      <w:r>
        <w:rPr>
          <w:rStyle w:val="39"/>
          <w:rFonts w:hint="eastAsia" w:ascii="宋体" w:hAnsi="宋体" w:eastAsia="宋体" w:cs="宋体"/>
          <w:color w:val="auto"/>
          <w:spacing w:val="0"/>
          <w:sz w:val="21"/>
          <w:szCs w:val="21"/>
        </w:rPr>
        <w:t>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附件3-11   </w:t>
      </w:r>
      <w:r>
        <w:rPr>
          <w:rStyle w:val="39"/>
          <w:rFonts w:hint="eastAsia" w:ascii="宋体" w:hAnsi="宋体" w:eastAsia="宋体" w:cs="宋体"/>
          <w:color w:val="auto"/>
          <w:spacing w:val="0"/>
          <w:sz w:val="24"/>
          <w:szCs w:val="24"/>
        </w:rPr>
        <w:t>检察机关行贿犯罪档案查询结果告知函（如果需要）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1.检察机关行贿犯罪档案查询结果告知函（以下简称：“告知函”）由供应商向住所地或业务发生地检察院申请查询，具体以检察院出具的为准。</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★谈判文件有要求提交“告知函”时注意：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1、供应商未提供行贿犯罪档案查询结果或查询结果有行贿犯罪记录的，</w:t>
      </w:r>
      <w:r>
        <w:rPr>
          <w:rStyle w:val="39"/>
          <w:rFonts w:hint="eastAsia" w:ascii="宋体" w:hAnsi="宋体" w:eastAsia="宋体" w:cs="宋体"/>
          <w:color w:val="auto"/>
          <w:spacing w:val="0"/>
          <w:sz w:val="24"/>
          <w:szCs w:val="24"/>
        </w:rPr>
        <w:t>则供应商的响应文件将被否决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2、告知函应在有效期内，</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。有效期内的告知函复印件，无论内容中是否注明“复印件无效”，均视同有效。</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3、若从检察机关指定网站下载打印或截图告知函，则告知函应为从前述指定网站获取的查询结果原始页面的打印件或完整截图，</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4、若告知函未注明“复印件无效”，供应商可提供原件或复印件。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5、对于接受联合体形式的谈判且供应商是联合体的，则联合体各成员都应当提交本资格证明文件</w:t>
      </w: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附件3-12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联合体协议</w:t>
      </w:r>
    </w:p>
    <w:p>
      <w:pPr>
        <w:pStyle w:val="33"/>
        <w:keepNext w:val="0"/>
        <w:keepLines w:val="0"/>
        <w:widowControl/>
        <w:suppressLineNumbers w:val="0"/>
        <w:spacing w:before="75" w:beforeAutospacing="0" w:after="75" w:afterAutospacing="0" w:line="360" w:lineRule="auto"/>
        <w:ind w:left="0" w:right="0" w:firstLine="2650" w:firstLineChars="1100"/>
        <w:jc w:val="both"/>
        <w:rPr>
          <w:color w:val="auto"/>
        </w:rPr>
      </w:pPr>
      <w:r>
        <w:rPr>
          <w:rStyle w:val="39"/>
          <w:rFonts w:hint="eastAsia" w:ascii="宋体" w:hAnsi="宋体" w:eastAsia="宋体" w:cs="宋体"/>
          <w:color w:val="auto"/>
          <w:spacing w:val="0"/>
          <w:sz w:val="24"/>
          <w:szCs w:val="24"/>
        </w:rPr>
        <w:t>（接受联合体的项目使用）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一、联合体各方应承担的工作和义务具体如下：</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1、联合体牵头方单位名称：                   </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color w:val="auto"/>
        </w:rPr>
      </w:pPr>
      <w:r>
        <w:rPr>
          <w:rFonts w:hint="eastAsia" w:ascii="宋体" w:hAnsi="宋体" w:eastAsia="宋体" w:cs="宋体"/>
          <w:color w:val="auto"/>
          <w:spacing w:val="0"/>
          <w:sz w:val="24"/>
          <w:szCs w:val="24"/>
        </w:rPr>
        <w:t>（填写“工作及义务的具体内容”） ；</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2、联合体成员方单位名称：                        </w:t>
      </w:r>
    </w:p>
    <w:p>
      <w:pPr>
        <w:pStyle w:val="33"/>
        <w:keepNext w:val="0"/>
        <w:keepLines w:val="0"/>
        <w:widowControl/>
        <w:suppressLineNumbers w:val="0"/>
        <w:spacing w:before="75" w:beforeAutospacing="0" w:after="75" w:afterAutospacing="0" w:line="360" w:lineRule="auto"/>
        <w:ind w:left="0" w:right="0" w:firstLine="480"/>
        <w:jc w:val="left"/>
        <w:rPr>
          <w:color w:val="auto"/>
        </w:rPr>
      </w:pPr>
      <w:r>
        <w:rPr>
          <w:rFonts w:hint="eastAsia" w:ascii="宋体" w:hAnsi="宋体" w:eastAsia="宋体" w:cs="宋体"/>
          <w:color w:val="auto"/>
          <w:spacing w:val="0"/>
          <w:sz w:val="24"/>
          <w:szCs w:val="24"/>
        </w:rPr>
        <w:t>2.1（成员一的全称）： （填写“工作及义务的具体内容”）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三、联合体各方约定由（填写填写“牵头方的全称”）代表联合体办理谈判保证金事宜。</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五、本协议自签署之日起生效，政府采购合同履行完毕后自动失效。</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六、本协议一式（填写具体份数）份，联合体各方各执一份，响应文件中提交一份。</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牵头方：（全称并加盖单位公章）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成员一：（全称并加盖成员一的单位公章）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（全称并加盖成员**的单位公章）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1、若谈判文件规定接受联合体形式且供应商为联合体的，则供应商应提供本协议；否则无须提供。</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2、本协议中的供应商代表如果不是竞争性谈判须知中定义的“单位负责人”，则还必须提供“单位负责人授权书”。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3、若谈判文件规定接受联合体形式且供应商为联合体的，纸质响应文件正本中的本协议应为原件。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附件3-13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其它资格证明文件</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2、若谈判文件规定接受联合体形式且供应商为联合体的，涉及联合体成员的其它资格证明文件在此处提供相关证明材料，并加盖供应商单位公章。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rFonts w:hint="eastAsia" w:eastAsia="宋体"/>
          <w:color w:val="auto"/>
          <w:lang w:eastAsia="zh-CN"/>
        </w:rPr>
      </w:pPr>
      <w:r>
        <w:rPr>
          <w:rFonts w:hint="eastAsia" w:ascii="宋体" w:hAnsi="宋体" w:eastAsia="宋体" w:cs="宋体"/>
          <w:color w:val="auto"/>
          <w:spacing w:val="0"/>
          <w:sz w:val="24"/>
          <w:szCs w:val="24"/>
        </w:rPr>
        <w:t>附件4        </w:t>
      </w:r>
      <w:r>
        <w:rPr>
          <w:rStyle w:val="39"/>
          <w:rFonts w:hint="eastAsia" w:ascii="宋体" w:hAnsi="宋体" w:eastAsia="宋体" w:cs="宋体"/>
          <w:color w:val="auto"/>
          <w:spacing w:val="0"/>
          <w:sz w:val="24"/>
          <w:szCs w:val="24"/>
        </w:rPr>
        <w:t>谈判保证金凭证</w:t>
      </w:r>
      <w:r>
        <w:rPr>
          <w:rStyle w:val="39"/>
          <w:rFonts w:hint="eastAsia" w:ascii="宋体" w:hAnsi="宋体" w:eastAsia="宋体" w:cs="宋体"/>
          <w:color w:val="auto"/>
          <w:spacing w:val="0"/>
          <w:sz w:val="24"/>
          <w:szCs w:val="24"/>
          <w:lang w:eastAsia="zh-CN"/>
        </w:rPr>
        <w:t>（若有）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360"/>
        <w:jc w:val="both"/>
        <w:rPr>
          <w:color w:val="auto"/>
        </w:rPr>
      </w:pPr>
      <w:r>
        <w:rPr>
          <w:rFonts w:hint="eastAsia" w:ascii="宋体" w:hAnsi="宋体" w:eastAsia="宋体" w:cs="宋体"/>
          <w:color w:val="auto"/>
          <w:spacing w:val="0"/>
          <w:sz w:val="21"/>
          <w:szCs w:val="21"/>
        </w:rPr>
        <w:t>编制说明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1、在此项下提交的</w:t>
      </w:r>
      <w:r>
        <w:rPr>
          <w:rStyle w:val="39"/>
          <w:rFonts w:hint="eastAsia" w:ascii="宋体" w:hAnsi="宋体" w:eastAsia="宋体" w:cs="宋体"/>
          <w:color w:val="auto"/>
          <w:spacing w:val="0"/>
          <w:sz w:val="21"/>
          <w:szCs w:val="21"/>
        </w:rPr>
        <w:t>“谈判保证金”</w:t>
      </w:r>
      <w:r>
        <w:rPr>
          <w:rFonts w:hint="eastAsia" w:ascii="宋体" w:hAnsi="宋体" w:eastAsia="宋体" w:cs="宋体"/>
          <w:color w:val="auto"/>
          <w:spacing w:val="0"/>
          <w:sz w:val="21"/>
          <w:szCs w:val="21"/>
        </w:rPr>
        <w:t>材料可使用转账凭证复印件或从福建省政府采购网上公开信息系统中下载的有关原始页面的打印件。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2、谈判保证金是否已提交按照谈判文件规定执行。</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附件5-1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 技术和服务要求响应表</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899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7"/>
        <w:gridCol w:w="1409"/>
        <w:gridCol w:w="2794"/>
        <w:gridCol w:w="209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2764"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竞争性谈判文件规定的技术和服务要求</w:t>
            </w:r>
          </w:p>
        </w:tc>
        <w:tc>
          <w:tcPr>
            <w:tcW w:w="206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93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注</w:t>
      </w:r>
      <w:r>
        <w:rPr>
          <w:rStyle w:val="39"/>
          <w:rFonts w:hint="eastAsia" w:ascii="宋体" w:hAnsi="宋体" w:eastAsia="宋体" w:cs="宋体"/>
          <w:b w:val="0"/>
          <w:bCs/>
          <w:color w:val="auto"/>
          <w:spacing w:val="0"/>
          <w:sz w:val="21"/>
          <w:szCs w:val="21"/>
        </w:rPr>
        <w:t>：（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附件5-2      </w:t>
      </w:r>
      <w:r>
        <w:rPr>
          <w:rStyle w:val="39"/>
          <w:rFonts w:hint="eastAsia" w:ascii="宋体" w:hAnsi="宋体" w:eastAsia="宋体" w:cs="宋体"/>
          <w:color w:val="auto"/>
          <w:spacing w:val="0"/>
          <w:sz w:val="24"/>
          <w:szCs w:val="24"/>
        </w:rPr>
        <w:t> 商务条件和其它事项响应表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917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8"/>
        <w:gridCol w:w="1408"/>
        <w:gridCol w:w="3212"/>
        <w:gridCol w:w="214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3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竞争性谈判文件规定的商务条件要求</w:t>
            </w:r>
          </w:p>
        </w:tc>
        <w:tc>
          <w:tcPr>
            <w:tcW w:w="211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62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    </w:t>
      </w:r>
      <w:r>
        <w:rPr>
          <w:rStyle w:val="39"/>
          <w:rFonts w:hint="eastAsia" w:ascii="宋体" w:hAnsi="宋体" w:eastAsia="宋体" w:cs="宋体"/>
          <w:color w:val="auto"/>
          <w:spacing w:val="0"/>
          <w:sz w:val="24"/>
          <w:szCs w:val="24"/>
        </w:rPr>
        <w:t>  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说明：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2.如果没有特别要求的，供应商根据谈判文件的要求以及特点，提供相关技术、商务、服务响应承诺及资料，格式自拟。</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     </w:t>
      </w:r>
      <w:r>
        <w:rPr>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附件7-1-1        </w:t>
      </w:r>
      <w:r>
        <w:rPr>
          <w:rStyle w:val="39"/>
          <w:rFonts w:hint="eastAsia" w:ascii="宋体" w:hAnsi="宋体" w:eastAsia="宋体" w:cs="宋体"/>
          <w:color w:val="auto"/>
          <w:spacing w:val="0"/>
          <w:sz w:val="24"/>
          <w:szCs w:val="24"/>
        </w:rPr>
        <w:t>中小企业声明函（如果有的话）</w:t>
      </w:r>
    </w:p>
    <w:p>
      <w:pPr>
        <w:pStyle w:val="33"/>
        <w:keepNext w:val="0"/>
        <w:keepLines w:val="0"/>
        <w:widowControl/>
        <w:suppressLineNumbers w:val="0"/>
        <w:spacing w:before="75" w:beforeAutospacing="0" w:after="75" w:afterAutospacing="0" w:line="360" w:lineRule="auto"/>
        <w:ind w:left="0" w:right="0" w:firstLine="2880"/>
        <w:rPr>
          <w:rFonts w:hint="eastAsia" w:eastAsia="宋体"/>
          <w:b/>
          <w:bCs/>
          <w:color w:val="auto"/>
          <w:spacing w:val="0"/>
          <w:sz w:val="24"/>
          <w:szCs w:val="24"/>
          <w:lang w:eastAsia="zh-CN"/>
        </w:rPr>
      </w:pPr>
      <w:r>
        <w:rPr>
          <w:b/>
          <w:bCs/>
          <w:color w:val="auto"/>
          <w:spacing w:val="0"/>
          <w:sz w:val="24"/>
          <w:szCs w:val="24"/>
        </w:rPr>
        <w:t>中小企业声明函（货物）</w:t>
      </w:r>
    </w:p>
    <w:p>
      <w:pPr>
        <w:pStyle w:val="33"/>
        <w:keepNext w:val="0"/>
        <w:keepLines w:val="0"/>
        <w:widowControl/>
        <w:suppressLineNumbers w:val="0"/>
        <w:spacing w:before="75" w:beforeAutospacing="0" w:after="75" w:afterAutospacing="0" w:line="360" w:lineRule="auto"/>
        <w:ind w:right="0"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1.（标的名称） ，属于（采购文件中明确的所属行业）行业；制造商为（企业名称），从业人员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2.（标的名称） ， 属 于 （采购文件中明确的所属行业 ）行业；制造商为（企业名称），从业人员  人，营业收入为  万元，资产总额为  万元，属于（中型企业、小型企业、微型企业）；</w:t>
      </w: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以上企业，不属于大企业的分支机构，不存在控股股东为大企业的情形，也不存在与大企业的负责人为同一人的情形。</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本企业对上述声明内容的真实性负责。如有虚假，将依法承担相应责任。</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日期：</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right="0"/>
        <w:rPr>
          <w:b/>
          <w:bCs/>
          <w:color w:val="auto"/>
          <w:spacing w:val="0"/>
          <w:sz w:val="24"/>
          <w:szCs w:val="24"/>
        </w:rPr>
      </w:pPr>
    </w:p>
    <w:p>
      <w:pPr>
        <w:pStyle w:val="33"/>
        <w:keepNext w:val="0"/>
        <w:keepLines w:val="0"/>
        <w:widowControl/>
        <w:suppressLineNumbers w:val="0"/>
        <w:spacing w:before="75" w:beforeAutospacing="0" w:after="75" w:afterAutospacing="0" w:line="360" w:lineRule="auto"/>
        <w:ind w:right="0"/>
        <w:rPr>
          <w:b/>
          <w:bCs/>
          <w:color w:val="auto"/>
          <w:spacing w:val="0"/>
          <w:sz w:val="24"/>
          <w:szCs w:val="24"/>
        </w:rPr>
      </w:pPr>
    </w:p>
    <w:p>
      <w:pPr>
        <w:pStyle w:val="33"/>
        <w:keepNext w:val="0"/>
        <w:keepLines w:val="0"/>
        <w:widowControl/>
        <w:suppressLineNumbers w:val="0"/>
        <w:spacing w:before="75" w:beforeAutospacing="0" w:after="75" w:afterAutospacing="0" w:line="360" w:lineRule="auto"/>
        <w:ind w:right="0" w:firstLine="2650" w:firstLineChars="1100"/>
        <w:rPr>
          <w:rFonts w:hint="eastAsia" w:ascii="宋体" w:hAnsi="宋体" w:eastAsia="宋体" w:cs="宋体"/>
          <w:b/>
          <w:bCs/>
          <w:color w:val="auto"/>
          <w:spacing w:val="0"/>
          <w:sz w:val="21"/>
          <w:szCs w:val="21"/>
        </w:rPr>
      </w:pPr>
      <w:r>
        <w:rPr>
          <w:b/>
          <w:bCs/>
          <w:color w:val="auto"/>
          <w:spacing w:val="0"/>
          <w:sz w:val="24"/>
          <w:szCs w:val="24"/>
        </w:rPr>
        <w:t xml:space="preserve">  </w:t>
      </w:r>
      <w:r>
        <w:rPr>
          <w:rFonts w:hint="eastAsia" w:ascii="宋体" w:hAnsi="宋体" w:eastAsia="宋体" w:cs="宋体"/>
          <w:b/>
          <w:bCs/>
          <w:color w:val="auto"/>
          <w:spacing w:val="0"/>
          <w:sz w:val="21"/>
          <w:szCs w:val="21"/>
        </w:rPr>
        <w:t>中小企业声明函（工程、服务）</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firstLine="630" w:firstLineChars="3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33"/>
        <w:keepNext w:val="0"/>
        <w:keepLines w:val="0"/>
        <w:widowControl/>
        <w:suppressLineNumbers w:val="0"/>
        <w:spacing w:before="75" w:beforeAutospacing="0" w:after="75" w:afterAutospacing="0" w:line="360" w:lineRule="auto"/>
        <w:ind w:right="0" w:firstLine="420" w:firstLineChars="200"/>
        <w:rPr>
          <w:color w:val="auto"/>
        </w:rPr>
      </w:pPr>
      <w:r>
        <w:rPr>
          <w:rFonts w:hint="eastAsia" w:ascii="宋体" w:hAnsi="宋体" w:eastAsia="宋体" w:cs="宋体"/>
          <w:color w:val="auto"/>
          <w:spacing w:val="0"/>
          <w:sz w:val="21"/>
          <w:szCs w:val="21"/>
        </w:rPr>
        <w:t>1.（标的名称），属于（采购文件中明确的所属行业）；承建（承接）企业为（企业名称），从业人员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2.（标的名称），属于（采购文件中明确的所属行业）；承建（承接）企业为（企业名称），从业人员  人，营业收入为  万元，资产总额为  万元，属于（中型企业、小型企业、微型企业）；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本企业对上述声明内容的真实性负责。如有虚假，将依法承担相应责任。</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日期：</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480"/>
        <w:jc w:val="both"/>
        <w:rPr>
          <w:color w:val="auto"/>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附件7-1-2</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残疾人福利性单位声明函（如果有的话）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r>
        <w:rPr>
          <w:rFonts w:hint="eastAsia" w:ascii="宋体" w:hAnsi="宋体" w:eastAsia="宋体" w:cs="宋体"/>
          <w:color w:val="auto"/>
          <w:sz w:val="21"/>
          <w:szCs w:val="21"/>
        </w:rPr>
        <w:t>提供本供应商制造的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本供应商对上述声明的真实性负责。如有虚假，将依法承担相应责任。</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（全称并加盖公章）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日  期：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（2）请供应商按照实际情况编制填写本声明函，并在相应的（）中打“√”。</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（3）纸质响应文件正本中的本声明函（若有）应为原件。</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（4）若《残疾人福利性单位声明函》内容不真实，视为提供虚假材料。</w:t>
      </w: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附件7-2</w:t>
      </w:r>
      <w:r>
        <w:rPr>
          <w:rStyle w:val="39"/>
          <w:rFonts w:hint="eastAsia" w:ascii="宋体" w:hAnsi="宋体" w:eastAsia="宋体" w:cs="宋体"/>
          <w:color w:val="auto"/>
          <w:spacing w:val="0"/>
          <w:sz w:val="24"/>
          <w:szCs w:val="24"/>
        </w:rPr>
        <w:t>优先类节能产品、环境标志产品价格扣除证明材料（如果有的话）</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tbl>
      <w:tblPr>
        <w:tblStyle w:val="36"/>
        <w:tblW w:w="932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22"/>
        <w:gridCol w:w="1212"/>
        <w:gridCol w:w="1207"/>
        <w:gridCol w:w="1218"/>
        <w:gridCol w:w="1207"/>
        <w:gridCol w:w="121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8062" w:type="dxa"/>
            <w:gridSpan w:val="6"/>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合同包</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品目号</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产品名称</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最后报价单价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数量</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最后报价总价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200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restart"/>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*-1</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continue"/>
            <w:tcBorders>
              <w:tl2br w:val="nil"/>
              <w:tr2bl w:val="nil"/>
            </w:tcBorders>
            <w:shd w:val="clear" w:color="auto" w:fill="auto"/>
            <w:tcMar>
              <w:top w:w="0" w:type="dxa"/>
              <w:left w:w="105" w:type="dxa"/>
              <w:bottom w:w="0" w:type="dxa"/>
              <w:right w:w="105" w:type="dxa"/>
            </w:tcMar>
            <w:vAlign w:val="center"/>
          </w:tcPr>
          <w:p>
            <w:pPr>
              <w:spacing w:line="360" w:lineRule="auto"/>
              <w:rPr>
                <w:rFonts w:hint="eastAsia" w:ascii="宋体"/>
                <w:color w:val="auto"/>
                <w:sz w:val="24"/>
                <w:szCs w:val="24"/>
              </w:rPr>
            </w:pP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default" w:ascii="Calibri" w:hAnsi="Calibri" w:cs="Calibri"/>
                <w:color w:val="auto"/>
                <w:spacing w:val="0"/>
                <w:sz w:val="21"/>
                <w:szCs w:val="21"/>
              </w:rPr>
              <w:t>…</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备注</w:t>
            </w:r>
          </w:p>
        </w:tc>
        <w:tc>
          <w:tcPr>
            <w:tcW w:w="8062" w:type="dxa"/>
            <w:gridSpan w:val="6"/>
            <w:tcBorders>
              <w:tl2br w:val="nil"/>
              <w:tr2bl w:val="nil"/>
            </w:tcBorders>
            <w:shd w:val="clear" w:color="auto" w:fill="auto"/>
            <w:tcMar>
              <w:top w:w="0" w:type="dxa"/>
              <w:left w:w="105" w:type="dxa"/>
              <w:bottom w:w="0" w:type="dxa"/>
              <w:right w:w="105" w:type="dxa"/>
            </w:tcMar>
            <w:vAlign w:val="top"/>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a.本合同包内属于节能、环境标志产品的合计最后报价总金额：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b.本合同包最后报价总价：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c.本合同包内属于节能、环境标志产品的合计最后报价总金额占本合同包最后报价总价的比例（以</w:t>
            </w:r>
            <w:r>
              <w:rPr>
                <w:rFonts w:hint="default" w:ascii="Calibri" w:hAnsi="Calibri" w:cs="Calibri"/>
                <w:color w:val="auto"/>
                <w:spacing w:val="0"/>
                <w:sz w:val="21"/>
                <w:szCs w:val="21"/>
              </w:rPr>
              <w:t>%</w:t>
            </w:r>
            <w:r>
              <w:rPr>
                <w:rFonts w:hint="eastAsia" w:ascii="宋体" w:hAnsi="宋体" w:eastAsia="宋体" w:cs="宋体"/>
                <w:color w:val="auto"/>
                <w:spacing w:val="0"/>
                <w:sz w:val="21"/>
                <w:szCs w:val="21"/>
              </w:rPr>
              <w:t>列示）：           。</w:t>
            </w:r>
          </w:p>
        </w:tc>
      </w:tr>
    </w:tbl>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3、具体统计、计算：</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color w:val="auto"/>
          <w:spacing w:val="0"/>
          <w:sz w:val="21"/>
          <w:szCs w:val="21"/>
        </w:rPr>
        <w:t>1</w:t>
      </w:r>
      <w:r>
        <w:rPr>
          <w:rFonts w:hint="eastAsia" w:ascii="宋体" w:hAnsi="宋体" w:eastAsia="宋体" w:cs="宋体"/>
          <w:color w:val="auto"/>
          <w:spacing w:val="0"/>
          <w:sz w:val="21"/>
          <w:szCs w:val="21"/>
        </w:rPr>
        <w:t>次。</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3.2计算结果若除不尽，可四舍五入保留到小数点后两位。</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3.3供应商应按照谈判文件上表要求认真统计、计算，否则谈判小组可不予认定。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3.4若无节能、环境标志产品，不填写本表，否则，视为提供虚假材料。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3.5强制类节能产品不享受价格扣除。</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5、纸质响应文件正本中的本表（若有）应为原件。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       </w:t>
      </w:r>
      <w:r>
        <w:rPr>
          <w:rStyle w:val="39"/>
          <w:rFonts w:hint="eastAsia" w:ascii="宋体" w:hAnsi="宋体" w:eastAsia="宋体" w:cs="宋体"/>
          <w:color w:val="auto"/>
          <w:spacing w:val="0"/>
          <w:sz w:val="24"/>
          <w:szCs w:val="24"/>
        </w:rPr>
        <w:t>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2、供应商根据自身实际情况编写有关资料包括如供应商单位简介、竞争性谈判文件要求提供或供应商自已认为体现自身优势，需要补充说明的其它资料，格式自拟。</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ascii="宋体" w:hAnsi="宋体"/>
          <w:color w:val="auto"/>
        </w:rPr>
      </w:pPr>
      <w:r>
        <w:rPr>
          <w:color w:val="auto"/>
          <w:spacing w:val="0"/>
          <w:sz w:val="24"/>
          <w:szCs w:val="24"/>
        </w:rPr>
        <w:t> </w:t>
      </w:r>
    </w:p>
    <w:sectPr>
      <w:headerReference r:id="rId9" w:type="default"/>
      <w:footerReference r:id="rId10" w:type="default"/>
      <w:pgSz w:w="11906" w:h="16838"/>
      <w:pgMar w:top="1191" w:right="1191" w:bottom="1191" w:left="1191" w:header="851"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微软雅黑 Light">
    <w:altName w:val="黑体"/>
    <w:panose1 w:val="020B0502040204020203"/>
    <w:charset w:val="86"/>
    <w:family w:val="auto"/>
    <w:pitch w:val="default"/>
    <w:sig w:usb0="00000000" w:usb1="00000000"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7696"/>
    <w:multiLevelType w:val="singleLevel"/>
    <w:tmpl w:val="BA637696"/>
    <w:lvl w:ilvl="0" w:tentative="0">
      <w:start w:val="1"/>
      <w:numFmt w:val="decimal"/>
      <w:lvlText w:val="%1."/>
      <w:lvlJc w:val="left"/>
      <w:pPr>
        <w:tabs>
          <w:tab w:val="left" w:pos="312"/>
        </w:tabs>
      </w:pPr>
    </w:lvl>
  </w:abstractNum>
  <w:abstractNum w:abstractNumId="1">
    <w:nsid w:val="F121CEB1"/>
    <w:multiLevelType w:val="singleLevel"/>
    <w:tmpl w:val="F121CEB1"/>
    <w:lvl w:ilvl="0" w:tentative="0">
      <w:start w:val="1"/>
      <w:numFmt w:val="decimal"/>
      <w:suff w:val="nothing"/>
      <w:lvlText w:val="（%1）"/>
      <w:lvlJc w:val="left"/>
    </w:lvl>
  </w:abstractNum>
  <w:abstractNum w:abstractNumId="2">
    <w:nsid w:val="F4BD681D"/>
    <w:multiLevelType w:val="singleLevel"/>
    <w:tmpl w:val="F4BD681D"/>
    <w:lvl w:ilvl="0" w:tentative="0">
      <w:start w:val="1"/>
      <w:numFmt w:val="decimal"/>
      <w:lvlText w:val="%1."/>
      <w:lvlJc w:val="left"/>
      <w:pPr>
        <w:tabs>
          <w:tab w:val="left" w:pos="312"/>
        </w:tabs>
      </w:pPr>
    </w:lvl>
  </w:abstractNum>
  <w:abstractNum w:abstractNumId="3">
    <w:nsid w:val="31749B0B"/>
    <w:multiLevelType w:val="singleLevel"/>
    <w:tmpl w:val="31749B0B"/>
    <w:lvl w:ilvl="0" w:tentative="0">
      <w:start w:val="1"/>
      <w:numFmt w:val="decimal"/>
      <w:lvlText w:val="%1."/>
      <w:lvlJc w:val="left"/>
      <w:pPr>
        <w:tabs>
          <w:tab w:val="left" w:pos="312"/>
        </w:tabs>
      </w:pPr>
    </w:lvl>
  </w:abstractNum>
  <w:abstractNum w:abstractNumId="4">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5">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16AEA0C"/>
    <w:multiLevelType w:val="singleLevel"/>
    <w:tmpl w:val="716AEA0C"/>
    <w:lvl w:ilvl="0" w:tentative="0">
      <w:start w:val="1"/>
      <w:numFmt w:val="decimal"/>
      <w:suff w:val="nothing"/>
      <w:lvlText w:val="（%1）"/>
      <w:lvlJc w:val="left"/>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C15DCF"/>
    <w:rsid w:val="000011AA"/>
    <w:rsid w:val="00025002"/>
    <w:rsid w:val="00035BE1"/>
    <w:rsid w:val="00036F3F"/>
    <w:rsid w:val="00040CB8"/>
    <w:rsid w:val="00044112"/>
    <w:rsid w:val="00057F30"/>
    <w:rsid w:val="0006025D"/>
    <w:rsid w:val="00060E60"/>
    <w:rsid w:val="0006319B"/>
    <w:rsid w:val="00065747"/>
    <w:rsid w:val="000841F8"/>
    <w:rsid w:val="00090BD7"/>
    <w:rsid w:val="000955CC"/>
    <w:rsid w:val="000A1C82"/>
    <w:rsid w:val="000A4518"/>
    <w:rsid w:val="000A67BB"/>
    <w:rsid w:val="000B52BE"/>
    <w:rsid w:val="000C52CD"/>
    <w:rsid w:val="000C7D49"/>
    <w:rsid w:val="000F1406"/>
    <w:rsid w:val="000F5483"/>
    <w:rsid w:val="001035DF"/>
    <w:rsid w:val="00103D0C"/>
    <w:rsid w:val="00116F7F"/>
    <w:rsid w:val="00117530"/>
    <w:rsid w:val="001263E6"/>
    <w:rsid w:val="00134124"/>
    <w:rsid w:val="00134B07"/>
    <w:rsid w:val="00136540"/>
    <w:rsid w:val="001439AA"/>
    <w:rsid w:val="0015076E"/>
    <w:rsid w:val="00155A02"/>
    <w:rsid w:val="001569CA"/>
    <w:rsid w:val="00157E48"/>
    <w:rsid w:val="00171217"/>
    <w:rsid w:val="00180386"/>
    <w:rsid w:val="00193F3C"/>
    <w:rsid w:val="001B2804"/>
    <w:rsid w:val="001B5DD5"/>
    <w:rsid w:val="001C0F27"/>
    <w:rsid w:val="001D0865"/>
    <w:rsid w:val="001D290B"/>
    <w:rsid w:val="001D4B00"/>
    <w:rsid w:val="001F681D"/>
    <w:rsid w:val="001F70DB"/>
    <w:rsid w:val="00210EDD"/>
    <w:rsid w:val="0021224D"/>
    <w:rsid w:val="00212936"/>
    <w:rsid w:val="002145F2"/>
    <w:rsid w:val="00215C8A"/>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311C9F"/>
    <w:rsid w:val="00316752"/>
    <w:rsid w:val="00335F60"/>
    <w:rsid w:val="00345483"/>
    <w:rsid w:val="003602B3"/>
    <w:rsid w:val="003639AC"/>
    <w:rsid w:val="0036541F"/>
    <w:rsid w:val="00366872"/>
    <w:rsid w:val="00367E96"/>
    <w:rsid w:val="0037170B"/>
    <w:rsid w:val="003802B5"/>
    <w:rsid w:val="00382C3E"/>
    <w:rsid w:val="003934CF"/>
    <w:rsid w:val="00397FC6"/>
    <w:rsid w:val="003A4C7B"/>
    <w:rsid w:val="003A5E05"/>
    <w:rsid w:val="003B1DCB"/>
    <w:rsid w:val="003C3C18"/>
    <w:rsid w:val="003E37A7"/>
    <w:rsid w:val="003E5E86"/>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6392"/>
    <w:rsid w:val="00646851"/>
    <w:rsid w:val="00650739"/>
    <w:rsid w:val="0066172B"/>
    <w:rsid w:val="00667A21"/>
    <w:rsid w:val="00682D15"/>
    <w:rsid w:val="00687919"/>
    <w:rsid w:val="00690A30"/>
    <w:rsid w:val="00694B5E"/>
    <w:rsid w:val="006A1DE7"/>
    <w:rsid w:val="006A66C5"/>
    <w:rsid w:val="006B4B32"/>
    <w:rsid w:val="006B756A"/>
    <w:rsid w:val="006D493F"/>
    <w:rsid w:val="006D7BA7"/>
    <w:rsid w:val="006E7B83"/>
    <w:rsid w:val="006F168B"/>
    <w:rsid w:val="006F575E"/>
    <w:rsid w:val="00700333"/>
    <w:rsid w:val="00701BF8"/>
    <w:rsid w:val="00710A3A"/>
    <w:rsid w:val="007144E4"/>
    <w:rsid w:val="0072634A"/>
    <w:rsid w:val="00737EE9"/>
    <w:rsid w:val="007409ED"/>
    <w:rsid w:val="007467D4"/>
    <w:rsid w:val="007522A9"/>
    <w:rsid w:val="00752B2E"/>
    <w:rsid w:val="0076132A"/>
    <w:rsid w:val="00761B1E"/>
    <w:rsid w:val="00770C24"/>
    <w:rsid w:val="00787C73"/>
    <w:rsid w:val="00792C3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91AD8"/>
    <w:rsid w:val="00892124"/>
    <w:rsid w:val="00892BBC"/>
    <w:rsid w:val="008967F6"/>
    <w:rsid w:val="008A1C40"/>
    <w:rsid w:val="008A2E95"/>
    <w:rsid w:val="008A4CC2"/>
    <w:rsid w:val="008A6FCE"/>
    <w:rsid w:val="008B5310"/>
    <w:rsid w:val="008B6933"/>
    <w:rsid w:val="008B706B"/>
    <w:rsid w:val="008B7F71"/>
    <w:rsid w:val="008F3355"/>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76217"/>
    <w:rsid w:val="009827C2"/>
    <w:rsid w:val="00982F82"/>
    <w:rsid w:val="00986099"/>
    <w:rsid w:val="0099187E"/>
    <w:rsid w:val="00992EC3"/>
    <w:rsid w:val="009A0CB4"/>
    <w:rsid w:val="009A1820"/>
    <w:rsid w:val="009A391F"/>
    <w:rsid w:val="009B1CA3"/>
    <w:rsid w:val="009B23C1"/>
    <w:rsid w:val="009D3A59"/>
    <w:rsid w:val="009D59A0"/>
    <w:rsid w:val="009D623A"/>
    <w:rsid w:val="009D6E47"/>
    <w:rsid w:val="009E2112"/>
    <w:rsid w:val="009F025C"/>
    <w:rsid w:val="009F69E8"/>
    <w:rsid w:val="009F7DDF"/>
    <w:rsid w:val="00A0258F"/>
    <w:rsid w:val="00A049D4"/>
    <w:rsid w:val="00A116E6"/>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75FD"/>
    <w:rsid w:val="00AF7F7C"/>
    <w:rsid w:val="00B110B6"/>
    <w:rsid w:val="00B1186E"/>
    <w:rsid w:val="00B143A3"/>
    <w:rsid w:val="00B1645C"/>
    <w:rsid w:val="00B16D0E"/>
    <w:rsid w:val="00B2442A"/>
    <w:rsid w:val="00B30326"/>
    <w:rsid w:val="00B3274A"/>
    <w:rsid w:val="00B33816"/>
    <w:rsid w:val="00B36458"/>
    <w:rsid w:val="00B40A8C"/>
    <w:rsid w:val="00B45D3A"/>
    <w:rsid w:val="00B51A1C"/>
    <w:rsid w:val="00B62205"/>
    <w:rsid w:val="00B64E44"/>
    <w:rsid w:val="00B77B4E"/>
    <w:rsid w:val="00BA01B8"/>
    <w:rsid w:val="00BB50E1"/>
    <w:rsid w:val="00BC2301"/>
    <w:rsid w:val="00BC37DB"/>
    <w:rsid w:val="00BC5E4A"/>
    <w:rsid w:val="00BD5722"/>
    <w:rsid w:val="00BE3B69"/>
    <w:rsid w:val="00BE4525"/>
    <w:rsid w:val="00BE5BF9"/>
    <w:rsid w:val="00BE6428"/>
    <w:rsid w:val="00BF46C7"/>
    <w:rsid w:val="00C0145E"/>
    <w:rsid w:val="00C14398"/>
    <w:rsid w:val="00C15DCF"/>
    <w:rsid w:val="00C21B8D"/>
    <w:rsid w:val="00C248FA"/>
    <w:rsid w:val="00C260FD"/>
    <w:rsid w:val="00C27F21"/>
    <w:rsid w:val="00C3169B"/>
    <w:rsid w:val="00C42CF1"/>
    <w:rsid w:val="00C435F8"/>
    <w:rsid w:val="00C527C6"/>
    <w:rsid w:val="00C62272"/>
    <w:rsid w:val="00C66B32"/>
    <w:rsid w:val="00C74489"/>
    <w:rsid w:val="00C828E4"/>
    <w:rsid w:val="00C82BC7"/>
    <w:rsid w:val="00C82F5F"/>
    <w:rsid w:val="00CA0380"/>
    <w:rsid w:val="00CA03A6"/>
    <w:rsid w:val="00CA7529"/>
    <w:rsid w:val="00CB7052"/>
    <w:rsid w:val="00CB7C7E"/>
    <w:rsid w:val="00CC5693"/>
    <w:rsid w:val="00CC7B53"/>
    <w:rsid w:val="00CD5BF6"/>
    <w:rsid w:val="00CD5F8F"/>
    <w:rsid w:val="00CE21EA"/>
    <w:rsid w:val="00CE7910"/>
    <w:rsid w:val="00CF707E"/>
    <w:rsid w:val="00D01E7B"/>
    <w:rsid w:val="00D10E9D"/>
    <w:rsid w:val="00D223A9"/>
    <w:rsid w:val="00D26803"/>
    <w:rsid w:val="00D32A52"/>
    <w:rsid w:val="00D401FB"/>
    <w:rsid w:val="00D56FA3"/>
    <w:rsid w:val="00D572A8"/>
    <w:rsid w:val="00D606BC"/>
    <w:rsid w:val="00D60E3E"/>
    <w:rsid w:val="00D644A9"/>
    <w:rsid w:val="00D71BD0"/>
    <w:rsid w:val="00D77271"/>
    <w:rsid w:val="00D77F61"/>
    <w:rsid w:val="00D80142"/>
    <w:rsid w:val="00D86E22"/>
    <w:rsid w:val="00D92B50"/>
    <w:rsid w:val="00D972CC"/>
    <w:rsid w:val="00DB2075"/>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45C1E"/>
    <w:rsid w:val="00E53744"/>
    <w:rsid w:val="00E56C9F"/>
    <w:rsid w:val="00E65446"/>
    <w:rsid w:val="00E70986"/>
    <w:rsid w:val="00E71CBF"/>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615A7"/>
    <w:rsid w:val="00F64E6C"/>
    <w:rsid w:val="00F7098A"/>
    <w:rsid w:val="00F86A3A"/>
    <w:rsid w:val="00F8717B"/>
    <w:rsid w:val="00F875E2"/>
    <w:rsid w:val="00F9632D"/>
    <w:rsid w:val="00F97029"/>
    <w:rsid w:val="00FA1B95"/>
    <w:rsid w:val="00FA347C"/>
    <w:rsid w:val="00FA5977"/>
    <w:rsid w:val="00FB31C0"/>
    <w:rsid w:val="00FB504A"/>
    <w:rsid w:val="00FB57EE"/>
    <w:rsid w:val="00FC3F89"/>
    <w:rsid w:val="00FC7F88"/>
    <w:rsid w:val="00FD0535"/>
    <w:rsid w:val="00FD3A19"/>
    <w:rsid w:val="00FD6565"/>
    <w:rsid w:val="011A2806"/>
    <w:rsid w:val="013228D0"/>
    <w:rsid w:val="019A7F55"/>
    <w:rsid w:val="01DE3EE1"/>
    <w:rsid w:val="01F44FA7"/>
    <w:rsid w:val="020A56F5"/>
    <w:rsid w:val="021A2545"/>
    <w:rsid w:val="02266196"/>
    <w:rsid w:val="023F2ABD"/>
    <w:rsid w:val="02493F1D"/>
    <w:rsid w:val="024C709E"/>
    <w:rsid w:val="02664214"/>
    <w:rsid w:val="027A0F69"/>
    <w:rsid w:val="02D91644"/>
    <w:rsid w:val="02EB177B"/>
    <w:rsid w:val="0310390A"/>
    <w:rsid w:val="03337EA1"/>
    <w:rsid w:val="03757289"/>
    <w:rsid w:val="03A60410"/>
    <w:rsid w:val="03B5570B"/>
    <w:rsid w:val="03EE0EDB"/>
    <w:rsid w:val="043B09D3"/>
    <w:rsid w:val="043B560C"/>
    <w:rsid w:val="04901246"/>
    <w:rsid w:val="04A572B8"/>
    <w:rsid w:val="04AD0B8B"/>
    <w:rsid w:val="05090F64"/>
    <w:rsid w:val="05201AE6"/>
    <w:rsid w:val="054D5B0F"/>
    <w:rsid w:val="05AF5BF3"/>
    <w:rsid w:val="06431373"/>
    <w:rsid w:val="06626775"/>
    <w:rsid w:val="06A54465"/>
    <w:rsid w:val="06BF74B4"/>
    <w:rsid w:val="06FF046B"/>
    <w:rsid w:val="07587FC4"/>
    <w:rsid w:val="075D58B9"/>
    <w:rsid w:val="07A35073"/>
    <w:rsid w:val="07B753EC"/>
    <w:rsid w:val="07BC1749"/>
    <w:rsid w:val="07C63606"/>
    <w:rsid w:val="07E0010F"/>
    <w:rsid w:val="07F05881"/>
    <w:rsid w:val="08260646"/>
    <w:rsid w:val="084C4D23"/>
    <w:rsid w:val="085F29AC"/>
    <w:rsid w:val="08686258"/>
    <w:rsid w:val="08735201"/>
    <w:rsid w:val="08777A0E"/>
    <w:rsid w:val="08B155C9"/>
    <w:rsid w:val="08F83284"/>
    <w:rsid w:val="09567B3F"/>
    <w:rsid w:val="09646403"/>
    <w:rsid w:val="09BB7F03"/>
    <w:rsid w:val="09BC64A4"/>
    <w:rsid w:val="09D2149B"/>
    <w:rsid w:val="09DD3A82"/>
    <w:rsid w:val="09F6431D"/>
    <w:rsid w:val="0A46479E"/>
    <w:rsid w:val="0A786664"/>
    <w:rsid w:val="0AAC69A9"/>
    <w:rsid w:val="0AF31003"/>
    <w:rsid w:val="0B4E4FB9"/>
    <w:rsid w:val="0B6B3F60"/>
    <w:rsid w:val="0B7B6159"/>
    <w:rsid w:val="0B7C089E"/>
    <w:rsid w:val="0BBD0341"/>
    <w:rsid w:val="0C040028"/>
    <w:rsid w:val="0C882A07"/>
    <w:rsid w:val="0CD14E47"/>
    <w:rsid w:val="0CFE44C0"/>
    <w:rsid w:val="0D0A22CB"/>
    <w:rsid w:val="0D302969"/>
    <w:rsid w:val="0D405013"/>
    <w:rsid w:val="0D930B70"/>
    <w:rsid w:val="0DF20D34"/>
    <w:rsid w:val="0DF67AC5"/>
    <w:rsid w:val="0DFE4484"/>
    <w:rsid w:val="0E371734"/>
    <w:rsid w:val="0EB137D2"/>
    <w:rsid w:val="0EB144F6"/>
    <w:rsid w:val="0EFB3561"/>
    <w:rsid w:val="0F245AF8"/>
    <w:rsid w:val="0F980380"/>
    <w:rsid w:val="0FC32542"/>
    <w:rsid w:val="0FDD6A04"/>
    <w:rsid w:val="100F5C13"/>
    <w:rsid w:val="1038786D"/>
    <w:rsid w:val="10F21DEB"/>
    <w:rsid w:val="11102D99"/>
    <w:rsid w:val="111B2C9F"/>
    <w:rsid w:val="11883866"/>
    <w:rsid w:val="122078A5"/>
    <w:rsid w:val="12513250"/>
    <w:rsid w:val="125E091B"/>
    <w:rsid w:val="12736CA2"/>
    <w:rsid w:val="128115FD"/>
    <w:rsid w:val="128A0575"/>
    <w:rsid w:val="129B7495"/>
    <w:rsid w:val="12C03463"/>
    <w:rsid w:val="12E1330B"/>
    <w:rsid w:val="13346DCE"/>
    <w:rsid w:val="13642CEB"/>
    <w:rsid w:val="13C13906"/>
    <w:rsid w:val="14043C24"/>
    <w:rsid w:val="147F492C"/>
    <w:rsid w:val="149C61F4"/>
    <w:rsid w:val="14A547A7"/>
    <w:rsid w:val="14BB0D3B"/>
    <w:rsid w:val="151C504B"/>
    <w:rsid w:val="1535268D"/>
    <w:rsid w:val="154167F8"/>
    <w:rsid w:val="15551823"/>
    <w:rsid w:val="158B33A6"/>
    <w:rsid w:val="158E0B8A"/>
    <w:rsid w:val="15FA26ED"/>
    <w:rsid w:val="160449B4"/>
    <w:rsid w:val="166E74DA"/>
    <w:rsid w:val="16AC3376"/>
    <w:rsid w:val="16DF0F5F"/>
    <w:rsid w:val="16F34DEA"/>
    <w:rsid w:val="171B738C"/>
    <w:rsid w:val="173D215B"/>
    <w:rsid w:val="1740618E"/>
    <w:rsid w:val="1776278A"/>
    <w:rsid w:val="17836928"/>
    <w:rsid w:val="182339F3"/>
    <w:rsid w:val="18550D36"/>
    <w:rsid w:val="18657AF2"/>
    <w:rsid w:val="186B2B93"/>
    <w:rsid w:val="18EA6877"/>
    <w:rsid w:val="18F3418E"/>
    <w:rsid w:val="19222242"/>
    <w:rsid w:val="1973262F"/>
    <w:rsid w:val="199C50C3"/>
    <w:rsid w:val="19BF3BAC"/>
    <w:rsid w:val="19C771EB"/>
    <w:rsid w:val="1A01060C"/>
    <w:rsid w:val="1A241D51"/>
    <w:rsid w:val="1A5F0359"/>
    <w:rsid w:val="1ACE7A6E"/>
    <w:rsid w:val="1B187489"/>
    <w:rsid w:val="1B3C514E"/>
    <w:rsid w:val="1B801A25"/>
    <w:rsid w:val="1C751C91"/>
    <w:rsid w:val="1C856245"/>
    <w:rsid w:val="1CCD4027"/>
    <w:rsid w:val="1CF80F2C"/>
    <w:rsid w:val="1D0339D8"/>
    <w:rsid w:val="1D365CC2"/>
    <w:rsid w:val="1D407A82"/>
    <w:rsid w:val="1D7E76FE"/>
    <w:rsid w:val="1D954F84"/>
    <w:rsid w:val="1DC54A1D"/>
    <w:rsid w:val="1E7E501C"/>
    <w:rsid w:val="1EAC40C0"/>
    <w:rsid w:val="1F141DC7"/>
    <w:rsid w:val="1F572178"/>
    <w:rsid w:val="1F6A516A"/>
    <w:rsid w:val="1F8005D3"/>
    <w:rsid w:val="1F956224"/>
    <w:rsid w:val="1F9A1A58"/>
    <w:rsid w:val="1FB66C62"/>
    <w:rsid w:val="200915A2"/>
    <w:rsid w:val="2032109E"/>
    <w:rsid w:val="204E4A8E"/>
    <w:rsid w:val="205B1DA3"/>
    <w:rsid w:val="20810E68"/>
    <w:rsid w:val="208B2BFD"/>
    <w:rsid w:val="20FD607F"/>
    <w:rsid w:val="21253C21"/>
    <w:rsid w:val="216E738A"/>
    <w:rsid w:val="21AA00A2"/>
    <w:rsid w:val="21BA6F33"/>
    <w:rsid w:val="21CA1AE6"/>
    <w:rsid w:val="2258772E"/>
    <w:rsid w:val="227746D8"/>
    <w:rsid w:val="228876A8"/>
    <w:rsid w:val="233B61A9"/>
    <w:rsid w:val="23501D06"/>
    <w:rsid w:val="235F441D"/>
    <w:rsid w:val="23663D0A"/>
    <w:rsid w:val="23CA4807"/>
    <w:rsid w:val="23E43828"/>
    <w:rsid w:val="241B13A2"/>
    <w:rsid w:val="241F5B7C"/>
    <w:rsid w:val="247170E1"/>
    <w:rsid w:val="24A655C4"/>
    <w:rsid w:val="24E07FB4"/>
    <w:rsid w:val="24E3329B"/>
    <w:rsid w:val="256A3139"/>
    <w:rsid w:val="257D6BA2"/>
    <w:rsid w:val="25BE5A55"/>
    <w:rsid w:val="25C44BBC"/>
    <w:rsid w:val="25EB0F2A"/>
    <w:rsid w:val="25ED37EB"/>
    <w:rsid w:val="25ED67D3"/>
    <w:rsid w:val="26003133"/>
    <w:rsid w:val="264601CC"/>
    <w:rsid w:val="2681780B"/>
    <w:rsid w:val="268D2CE5"/>
    <w:rsid w:val="269437D5"/>
    <w:rsid w:val="26FB2074"/>
    <w:rsid w:val="270C1CFB"/>
    <w:rsid w:val="2760231B"/>
    <w:rsid w:val="27674A8F"/>
    <w:rsid w:val="279807E5"/>
    <w:rsid w:val="27A55946"/>
    <w:rsid w:val="27BB349F"/>
    <w:rsid w:val="27F067C8"/>
    <w:rsid w:val="27F730D9"/>
    <w:rsid w:val="280412C2"/>
    <w:rsid w:val="28183370"/>
    <w:rsid w:val="286A33AE"/>
    <w:rsid w:val="286C1033"/>
    <w:rsid w:val="288E6680"/>
    <w:rsid w:val="28C20F45"/>
    <w:rsid w:val="290A1B34"/>
    <w:rsid w:val="29313673"/>
    <w:rsid w:val="295906F2"/>
    <w:rsid w:val="29A50AFC"/>
    <w:rsid w:val="29B67D1B"/>
    <w:rsid w:val="29D42D1E"/>
    <w:rsid w:val="2A394622"/>
    <w:rsid w:val="2A47735D"/>
    <w:rsid w:val="2A5819C4"/>
    <w:rsid w:val="2A9D73BD"/>
    <w:rsid w:val="2AD27B84"/>
    <w:rsid w:val="2AE26F9E"/>
    <w:rsid w:val="2AF679BE"/>
    <w:rsid w:val="2B452372"/>
    <w:rsid w:val="2B8D5E74"/>
    <w:rsid w:val="2BA23250"/>
    <w:rsid w:val="2BDF352E"/>
    <w:rsid w:val="2BF56356"/>
    <w:rsid w:val="2C117498"/>
    <w:rsid w:val="2C223EC2"/>
    <w:rsid w:val="2C453947"/>
    <w:rsid w:val="2C557D38"/>
    <w:rsid w:val="2CA34301"/>
    <w:rsid w:val="2D393B7E"/>
    <w:rsid w:val="2D5D7ED0"/>
    <w:rsid w:val="2D94786D"/>
    <w:rsid w:val="2E473FEE"/>
    <w:rsid w:val="2E9F188E"/>
    <w:rsid w:val="2EB1583B"/>
    <w:rsid w:val="2EB92139"/>
    <w:rsid w:val="2F726D0A"/>
    <w:rsid w:val="2F985083"/>
    <w:rsid w:val="30250B36"/>
    <w:rsid w:val="30843E42"/>
    <w:rsid w:val="308F1ADA"/>
    <w:rsid w:val="30A05208"/>
    <w:rsid w:val="30A953CC"/>
    <w:rsid w:val="30B73DEA"/>
    <w:rsid w:val="30B97179"/>
    <w:rsid w:val="30C46223"/>
    <w:rsid w:val="30F82E33"/>
    <w:rsid w:val="31763BA5"/>
    <w:rsid w:val="317B4988"/>
    <w:rsid w:val="319D50F7"/>
    <w:rsid w:val="31E716D4"/>
    <w:rsid w:val="31F546D2"/>
    <w:rsid w:val="31FC1B1B"/>
    <w:rsid w:val="32167317"/>
    <w:rsid w:val="322D595C"/>
    <w:rsid w:val="326917BA"/>
    <w:rsid w:val="32A6149C"/>
    <w:rsid w:val="3316734E"/>
    <w:rsid w:val="338A3A01"/>
    <w:rsid w:val="33A97197"/>
    <w:rsid w:val="34273D6E"/>
    <w:rsid w:val="343F68CB"/>
    <w:rsid w:val="34BB44E4"/>
    <w:rsid w:val="353164D3"/>
    <w:rsid w:val="35436554"/>
    <w:rsid w:val="35484624"/>
    <w:rsid w:val="354F3DA6"/>
    <w:rsid w:val="3574344A"/>
    <w:rsid w:val="35804F32"/>
    <w:rsid w:val="359B0981"/>
    <w:rsid w:val="360A3A78"/>
    <w:rsid w:val="36705DDE"/>
    <w:rsid w:val="367A1642"/>
    <w:rsid w:val="368878B5"/>
    <w:rsid w:val="36C533CD"/>
    <w:rsid w:val="37595E02"/>
    <w:rsid w:val="37BD6228"/>
    <w:rsid w:val="38726196"/>
    <w:rsid w:val="38804144"/>
    <w:rsid w:val="388D7CD2"/>
    <w:rsid w:val="39165618"/>
    <w:rsid w:val="395B3D04"/>
    <w:rsid w:val="397C70E3"/>
    <w:rsid w:val="39995CE5"/>
    <w:rsid w:val="3A1352C8"/>
    <w:rsid w:val="3A151A0B"/>
    <w:rsid w:val="3A9E099C"/>
    <w:rsid w:val="3ADD15D1"/>
    <w:rsid w:val="3B263497"/>
    <w:rsid w:val="3B540113"/>
    <w:rsid w:val="3BC3397F"/>
    <w:rsid w:val="3C061FA3"/>
    <w:rsid w:val="3C475B28"/>
    <w:rsid w:val="3C596E53"/>
    <w:rsid w:val="3CE52BEB"/>
    <w:rsid w:val="3D0B740D"/>
    <w:rsid w:val="3DDC0916"/>
    <w:rsid w:val="3DF34BE7"/>
    <w:rsid w:val="3E073EF9"/>
    <w:rsid w:val="3E1423AA"/>
    <w:rsid w:val="3E315E60"/>
    <w:rsid w:val="3E9407B0"/>
    <w:rsid w:val="3E9B6079"/>
    <w:rsid w:val="3EA677E5"/>
    <w:rsid w:val="3EF95857"/>
    <w:rsid w:val="3F8B001D"/>
    <w:rsid w:val="3F9A1A81"/>
    <w:rsid w:val="3FC95D6F"/>
    <w:rsid w:val="3FCA17FE"/>
    <w:rsid w:val="3FD87F53"/>
    <w:rsid w:val="3FF467A4"/>
    <w:rsid w:val="40123435"/>
    <w:rsid w:val="40757C6C"/>
    <w:rsid w:val="40A95F66"/>
    <w:rsid w:val="40EA7177"/>
    <w:rsid w:val="410B1F26"/>
    <w:rsid w:val="412738F0"/>
    <w:rsid w:val="41A02AC6"/>
    <w:rsid w:val="41F8112E"/>
    <w:rsid w:val="42057B75"/>
    <w:rsid w:val="42600444"/>
    <w:rsid w:val="426F21B9"/>
    <w:rsid w:val="42DA3C6A"/>
    <w:rsid w:val="430E6171"/>
    <w:rsid w:val="43164CAE"/>
    <w:rsid w:val="438A03D7"/>
    <w:rsid w:val="43DC273C"/>
    <w:rsid w:val="43FA6FCA"/>
    <w:rsid w:val="44443F96"/>
    <w:rsid w:val="448A6C84"/>
    <w:rsid w:val="453D712D"/>
    <w:rsid w:val="45404AD7"/>
    <w:rsid w:val="4546651B"/>
    <w:rsid w:val="4552724E"/>
    <w:rsid w:val="45787AF5"/>
    <w:rsid w:val="45D40A4B"/>
    <w:rsid w:val="45D72C01"/>
    <w:rsid w:val="45DF1800"/>
    <w:rsid w:val="45F3043D"/>
    <w:rsid w:val="46242EC3"/>
    <w:rsid w:val="46442FE6"/>
    <w:rsid w:val="468B3613"/>
    <w:rsid w:val="468D7036"/>
    <w:rsid w:val="46B23BB7"/>
    <w:rsid w:val="46C16DC0"/>
    <w:rsid w:val="46E4672C"/>
    <w:rsid w:val="470A3E8D"/>
    <w:rsid w:val="476C464E"/>
    <w:rsid w:val="47755921"/>
    <w:rsid w:val="47E50294"/>
    <w:rsid w:val="48A83599"/>
    <w:rsid w:val="48AE0DDB"/>
    <w:rsid w:val="48DB18C5"/>
    <w:rsid w:val="48EC0A4F"/>
    <w:rsid w:val="491E236E"/>
    <w:rsid w:val="49346654"/>
    <w:rsid w:val="49A968E6"/>
    <w:rsid w:val="49BD6F64"/>
    <w:rsid w:val="49FA59A0"/>
    <w:rsid w:val="4A2E151A"/>
    <w:rsid w:val="4A325AAE"/>
    <w:rsid w:val="4A47179E"/>
    <w:rsid w:val="4AE32352"/>
    <w:rsid w:val="4B227B60"/>
    <w:rsid w:val="4B7132BF"/>
    <w:rsid w:val="4B81703E"/>
    <w:rsid w:val="4B92773C"/>
    <w:rsid w:val="4BDD486D"/>
    <w:rsid w:val="4C274673"/>
    <w:rsid w:val="4C3C788E"/>
    <w:rsid w:val="4C540C95"/>
    <w:rsid w:val="4C553102"/>
    <w:rsid w:val="4CA626E4"/>
    <w:rsid w:val="4CE46646"/>
    <w:rsid w:val="4CFD69C6"/>
    <w:rsid w:val="4D135031"/>
    <w:rsid w:val="4D2928B9"/>
    <w:rsid w:val="4DC72E45"/>
    <w:rsid w:val="4DE24FE0"/>
    <w:rsid w:val="4DF22CA9"/>
    <w:rsid w:val="4E023EDC"/>
    <w:rsid w:val="4E056F5A"/>
    <w:rsid w:val="4E2259B4"/>
    <w:rsid w:val="4E3B51DE"/>
    <w:rsid w:val="4EA830E1"/>
    <w:rsid w:val="4EDC1EB1"/>
    <w:rsid w:val="4EFE48A5"/>
    <w:rsid w:val="4F0F6165"/>
    <w:rsid w:val="4F15152F"/>
    <w:rsid w:val="4F7C04C8"/>
    <w:rsid w:val="4FC6275D"/>
    <w:rsid w:val="50907C42"/>
    <w:rsid w:val="50A7088F"/>
    <w:rsid w:val="50C461CA"/>
    <w:rsid w:val="50E84923"/>
    <w:rsid w:val="510A09DC"/>
    <w:rsid w:val="521D0B56"/>
    <w:rsid w:val="526F2A1D"/>
    <w:rsid w:val="527429C1"/>
    <w:rsid w:val="52940232"/>
    <w:rsid w:val="531112A6"/>
    <w:rsid w:val="533802B0"/>
    <w:rsid w:val="533C3B52"/>
    <w:rsid w:val="53471809"/>
    <w:rsid w:val="536C3F0B"/>
    <w:rsid w:val="537F3005"/>
    <w:rsid w:val="538A24F4"/>
    <w:rsid w:val="53B82E99"/>
    <w:rsid w:val="53C372DB"/>
    <w:rsid w:val="540521AE"/>
    <w:rsid w:val="541C347A"/>
    <w:rsid w:val="5448544E"/>
    <w:rsid w:val="54877B84"/>
    <w:rsid w:val="54B72614"/>
    <w:rsid w:val="550E1AE1"/>
    <w:rsid w:val="553B4FCF"/>
    <w:rsid w:val="55452BDB"/>
    <w:rsid w:val="55470D09"/>
    <w:rsid w:val="55515E18"/>
    <w:rsid w:val="555754F8"/>
    <w:rsid w:val="55B60419"/>
    <w:rsid w:val="560E0469"/>
    <w:rsid w:val="562F1154"/>
    <w:rsid w:val="56607CDF"/>
    <w:rsid w:val="570B7635"/>
    <w:rsid w:val="57A509D6"/>
    <w:rsid w:val="58377BEC"/>
    <w:rsid w:val="58486567"/>
    <w:rsid w:val="585E5A22"/>
    <w:rsid w:val="5883687F"/>
    <w:rsid w:val="58A7240B"/>
    <w:rsid w:val="58E84116"/>
    <w:rsid w:val="58EC7E13"/>
    <w:rsid w:val="58EF01FF"/>
    <w:rsid w:val="593D0E06"/>
    <w:rsid w:val="596035EC"/>
    <w:rsid w:val="59A74EFA"/>
    <w:rsid w:val="59F23B16"/>
    <w:rsid w:val="5A2F0DA6"/>
    <w:rsid w:val="5A4A727C"/>
    <w:rsid w:val="5A5479D3"/>
    <w:rsid w:val="5A8D0E51"/>
    <w:rsid w:val="5AAD7C72"/>
    <w:rsid w:val="5ACD0A5E"/>
    <w:rsid w:val="5B2B0C50"/>
    <w:rsid w:val="5BC35E63"/>
    <w:rsid w:val="5BD8693E"/>
    <w:rsid w:val="5BE11457"/>
    <w:rsid w:val="5BEF3C62"/>
    <w:rsid w:val="5C120045"/>
    <w:rsid w:val="5C4F3A2B"/>
    <w:rsid w:val="5C591D1D"/>
    <w:rsid w:val="5C764B2D"/>
    <w:rsid w:val="5C8D7E5B"/>
    <w:rsid w:val="5C967B06"/>
    <w:rsid w:val="5CFD6B77"/>
    <w:rsid w:val="5D14572E"/>
    <w:rsid w:val="5D5145F3"/>
    <w:rsid w:val="5D8767AE"/>
    <w:rsid w:val="5DC61E7E"/>
    <w:rsid w:val="5DC65D01"/>
    <w:rsid w:val="5DEA5A2D"/>
    <w:rsid w:val="5E161F57"/>
    <w:rsid w:val="5E177004"/>
    <w:rsid w:val="5E3E1307"/>
    <w:rsid w:val="5E431168"/>
    <w:rsid w:val="5E521BBD"/>
    <w:rsid w:val="5EB818DB"/>
    <w:rsid w:val="5EC522EB"/>
    <w:rsid w:val="5EE132EC"/>
    <w:rsid w:val="5F0E4864"/>
    <w:rsid w:val="5FA8318B"/>
    <w:rsid w:val="5FC30EF9"/>
    <w:rsid w:val="5FD95C51"/>
    <w:rsid w:val="5FE8339C"/>
    <w:rsid w:val="5FEF35D3"/>
    <w:rsid w:val="600C0C2B"/>
    <w:rsid w:val="60187431"/>
    <w:rsid w:val="607C5C81"/>
    <w:rsid w:val="60E26068"/>
    <w:rsid w:val="619652A6"/>
    <w:rsid w:val="61AD20C2"/>
    <w:rsid w:val="61B012F8"/>
    <w:rsid w:val="61D50CD0"/>
    <w:rsid w:val="61FA55ED"/>
    <w:rsid w:val="623220ED"/>
    <w:rsid w:val="624460C9"/>
    <w:rsid w:val="624C1AAC"/>
    <w:rsid w:val="62847106"/>
    <w:rsid w:val="62E73DC2"/>
    <w:rsid w:val="638A0E79"/>
    <w:rsid w:val="63AD55C3"/>
    <w:rsid w:val="63CA02E0"/>
    <w:rsid w:val="641427A9"/>
    <w:rsid w:val="643B1BCF"/>
    <w:rsid w:val="6460383C"/>
    <w:rsid w:val="648F7110"/>
    <w:rsid w:val="64AE6CF0"/>
    <w:rsid w:val="65601C1D"/>
    <w:rsid w:val="66612A29"/>
    <w:rsid w:val="6684355E"/>
    <w:rsid w:val="66A03796"/>
    <w:rsid w:val="67490299"/>
    <w:rsid w:val="674E1D0B"/>
    <w:rsid w:val="678057EF"/>
    <w:rsid w:val="67DA7A10"/>
    <w:rsid w:val="67E15D2E"/>
    <w:rsid w:val="67ED7013"/>
    <w:rsid w:val="67EE24BE"/>
    <w:rsid w:val="680208FD"/>
    <w:rsid w:val="682062A4"/>
    <w:rsid w:val="685C65A6"/>
    <w:rsid w:val="6872163A"/>
    <w:rsid w:val="68BC4CF0"/>
    <w:rsid w:val="691E7F15"/>
    <w:rsid w:val="6929351C"/>
    <w:rsid w:val="695C33F2"/>
    <w:rsid w:val="69737B45"/>
    <w:rsid w:val="69D77275"/>
    <w:rsid w:val="6A8278FC"/>
    <w:rsid w:val="6AA35793"/>
    <w:rsid w:val="6ADF40C1"/>
    <w:rsid w:val="6B052E2E"/>
    <w:rsid w:val="6B9E5837"/>
    <w:rsid w:val="6BCF114D"/>
    <w:rsid w:val="6C2E368F"/>
    <w:rsid w:val="6C4702F2"/>
    <w:rsid w:val="6C50179A"/>
    <w:rsid w:val="6C540948"/>
    <w:rsid w:val="6C7000F8"/>
    <w:rsid w:val="6C7D4FF8"/>
    <w:rsid w:val="6C842198"/>
    <w:rsid w:val="6CA048BC"/>
    <w:rsid w:val="6CBD1930"/>
    <w:rsid w:val="6D013069"/>
    <w:rsid w:val="6D2F5E72"/>
    <w:rsid w:val="6DA1380B"/>
    <w:rsid w:val="6E2A466F"/>
    <w:rsid w:val="6E645502"/>
    <w:rsid w:val="6E8400F7"/>
    <w:rsid w:val="6EA2780A"/>
    <w:rsid w:val="6EBF60EB"/>
    <w:rsid w:val="6EC90AAE"/>
    <w:rsid w:val="6F0740FE"/>
    <w:rsid w:val="6F4A6557"/>
    <w:rsid w:val="6F7E16DB"/>
    <w:rsid w:val="6FFA6B39"/>
    <w:rsid w:val="70220B74"/>
    <w:rsid w:val="715B2148"/>
    <w:rsid w:val="71601A8A"/>
    <w:rsid w:val="71BC47A3"/>
    <w:rsid w:val="71C971FF"/>
    <w:rsid w:val="71DA7DB2"/>
    <w:rsid w:val="72D61A66"/>
    <w:rsid w:val="72DF6DA9"/>
    <w:rsid w:val="730C4270"/>
    <w:rsid w:val="73483DC7"/>
    <w:rsid w:val="734C34CB"/>
    <w:rsid w:val="736B6999"/>
    <w:rsid w:val="739672B8"/>
    <w:rsid w:val="73A33031"/>
    <w:rsid w:val="740030D4"/>
    <w:rsid w:val="745410BE"/>
    <w:rsid w:val="7496135E"/>
    <w:rsid w:val="74F9668C"/>
    <w:rsid w:val="75610162"/>
    <w:rsid w:val="75612539"/>
    <w:rsid w:val="75A726F1"/>
    <w:rsid w:val="75DE2055"/>
    <w:rsid w:val="75F251AB"/>
    <w:rsid w:val="760E2F2C"/>
    <w:rsid w:val="762952B6"/>
    <w:rsid w:val="764A31F9"/>
    <w:rsid w:val="7650244C"/>
    <w:rsid w:val="76EA4522"/>
    <w:rsid w:val="76ED397C"/>
    <w:rsid w:val="771A0F7D"/>
    <w:rsid w:val="772918F7"/>
    <w:rsid w:val="7730072D"/>
    <w:rsid w:val="77457EB8"/>
    <w:rsid w:val="774D4B46"/>
    <w:rsid w:val="7767095B"/>
    <w:rsid w:val="776A4E3F"/>
    <w:rsid w:val="77CD57C9"/>
    <w:rsid w:val="781452AB"/>
    <w:rsid w:val="787D2D73"/>
    <w:rsid w:val="78A3450E"/>
    <w:rsid w:val="79364554"/>
    <w:rsid w:val="7955162F"/>
    <w:rsid w:val="79B63149"/>
    <w:rsid w:val="79C82C2F"/>
    <w:rsid w:val="79D75F84"/>
    <w:rsid w:val="7A1A5AFA"/>
    <w:rsid w:val="7A2477F3"/>
    <w:rsid w:val="7A4A60E6"/>
    <w:rsid w:val="7AED595A"/>
    <w:rsid w:val="7B033263"/>
    <w:rsid w:val="7B202CDE"/>
    <w:rsid w:val="7B8621F7"/>
    <w:rsid w:val="7BB545F1"/>
    <w:rsid w:val="7BF0357D"/>
    <w:rsid w:val="7C003FC2"/>
    <w:rsid w:val="7C5C40FD"/>
    <w:rsid w:val="7C75347C"/>
    <w:rsid w:val="7C821F38"/>
    <w:rsid w:val="7C893C34"/>
    <w:rsid w:val="7CA70CD4"/>
    <w:rsid w:val="7CD0360A"/>
    <w:rsid w:val="7CE9095E"/>
    <w:rsid w:val="7CF26EAA"/>
    <w:rsid w:val="7D1459CF"/>
    <w:rsid w:val="7D156D26"/>
    <w:rsid w:val="7D20677E"/>
    <w:rsid w:val="7D281FC6"/>
    <w:rsid w:val="7D3C7D45"/>
    <w:rsid w:val="7D8B2E5D"/>
    <w:rsid w:val="7DB1628A"/>
    <w:rsid w:val="7DDB0225"/>
    <w:rsid w:val="7E195D4C"/>
    <w:rsid w:val="7E232EF9"/>
    <w:rsid w:val="7E4B5223"/>
    <w:rsid w:val="7E515BFA"/>
    <w:rsid w:val="7E612A26"/>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5">
    <w:name w:val="heading 2"/>
    <w:basedOn w:val="1"/>
    <w:next w:val="1"/>
    <w:link w:val="50"/>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51"/>
    <w:qFormat/>
    <w:uiPriority w:val="99"/>
    <w:pPr>
      <w:jc w:val="left"/>
      <w:outlineLvl w:val="2"/>
    </w:pPr>
    <w:rPr>
      <w:rFonts w:ascii="宋体" w:hAnsi="宋体"/>
      <w:b/>
      <w:kern w:val="0"/>
      <w:sz w:val="27"/>
      <w:szCs w:val="27"/>
    </w:rPr>
  </w:style>
  <w:style w:type="paragraph" w:styleId="7">
    <w:name w:val="heading 4"/>
    <w:basedOn w:val="1"/>
    <w:next w:val="1"/>
    <w:qFormat/>
    <w:locked/>
    <w:uiPriority w:val="0"/>
    <w:pPr>
      <w:keepNext/>
      <w:keepLines/>
      <w:spacing w:before="20" w:after="20" w:line="360" w:lineRule="auto"/>
      <w:outlineLvl w:val="3"/>
    </w:pPr>
    <w:rPr>
      <w:rFonts w:ascii="Cambria" w:hAnsi="Cambria"/>
      <w:b/>
      <w:bCs/>
      <w:sz w:val="24"/>
      <w:szCs w:val="28"/>
    </w:rPr>
  </w:style>
  <w:style w:type="paragraph" w:styleId="8">
    <w:name w:val="heading 5"/>
    <w:basedOn w:val="1"/>
    <w:next w:val="1"/>
    <w:link w:val="52"/>
    <w:qFormat/>
    <w:locked/>
    <w:uiPriority w:val="0"/>
    <w:pPr>
      <w:keepNext/>
      <w:keepLines/>
      <w:spacing w:before="280" w:after="290" w:line="372" w:lineRule="auto"/>
      <w:outlineLvl w:val="4"/>
    </w:pPr>
    <w:rPr>
      <w:rFonts w:ascii="Calibri" w:hAnsi="Calibri" w:eastAsia="仿宋_GB2312"/>
      <w:b/>
      <w:sz w:val="28"/>
    </w:rPr>
  </w:style>
  <w:style w:type="paragraph" w:styleId="9">
    <w:name w:val="heading 6"/>
    <w:basedOn w:val="1"/>
    <w:next w:val="1"/>
    <w:link w:val="53"/>
    <w:qFormat/>
    <w:locked/>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54"/>
    <w:qFormat/>
    <w:locked/>
    <w:uiPriority w:val="0"/>
    <w:pPr>
      <w:keepNext/>
      <w:keepLines/>
      <w:spacing w:before="240" w:after="64" w:line="317" w:lineRule="auto"/>
      <w:outlineLvl w:val="6"/>
    </w:pPr>
    <w:rPr>
      <w:rFonts w:ascii="Calibri" w:hAnsi="Calibri" w:eastAsia="仿宋_GB2312"/>
      <w:b/>
      <w:sz w:val="24"/>
    </w:rPr>
  </w:style>
  <w:style w:type="paragraph" w:styleId="11">
    <w:name w:val="heading 8"/>
    <w:basedOn w:val="1"/>
    <w:next w:val="1"/>
    <w:link w:val="55"/>
    <w:qFormat/>
    <w:locked/>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56"/>
    <w:qFormat/>
    <w:locked/>
    <w:uiPriority w:val="0"/>
    <w:pPr>
      <w:keepNext/>
      <w:keepLines/>
      <w:spacing w:before="240" w:after="64" w:line="317"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unhideWhenUsed/>
    <w:qFormat/>
    <w:locked/>
    <w:uiPriority w:val="99"/>
    <w:pPr>
      <w:ind w:firstLine="420" w:firstLineChars="200"/>
    </w:pPr>
  </w:style>
  <w:style w:type="paragraph" w:customStyle="1" w:styleId="3">
    <w:name w:val="*正文"/>
    <w:basedOn w:val="1"/>
    <w:qFormat/>
    <w:uiPriority w:val="0"/>
    <w:pPr>
      <w:spacing w:line="360" w:lineRule="auto"/>
      <w:ind w:firstLine="482"/>
    </w:pPr>
    <w:rPr>
      <w:rFonts w:cs="仿宋_GB2312"/>
      <w:sz w:val="28"/>
    </w:rPr>
  </w:style>
  <w:style w:type="paragraph" w:styleId="13">
    <w:name w:val="toc 7"/>
    <w:basedOn w:val="1"/>
    <w:next w:val="1"/>
    <w:qFormat/>
    <w:locked/>
    <w:uiPriority w:val="99"/>
    <w:pPr>
      <w:ind w:left="2520" w:leftChars="1200"/>
    </w:pPr>
    <w:rPr>
      <w:sz w:val="24"/>
    </w:rPr>
  </w:style>
  <w:style w:type="paragraph" w:styleId="14">
    <w:name w:val="Normal Indent"/>
    <w:basedOn w:val="1"/>
    <w:qFormat/>
    <w:locked/>
    <w:uiPriority w:val="0"/>
    <w:pPr>
      <w:ind w:firstLine="420" w:firstLineChars="200"/>
    </w:pPr>
  </w:style>
  <w:style w:type="paragraph" w:styleId="15">
    <w:name w:val="annotation text"/>
    <w:basedOn w:val="1"/>
    <w:link w:val="57"/>
    <w:qFormat/>
    <w:locked/>
    <w:uiPriority w:val="99"/>
    <w:pPr>
      <w:jc w:val="left"/>
    </w:pPr>
    <w:rPr>
      <w:rFonts w:ascii="Calibri" w:hAnsi="Calibri"/>
      <w:kern w:val="0"/>
      <w:sz w:val="20"/>
    </w:rPr>
  </w:style>
  <w:style w:type="paragraph" w:styleId="16">
    <w:name w:val="Body Text"/>
    <w:basedOn w:val="1"/>
    <w:next w:val="1"/>
    <w:link w:val="58"/>
    <w:semiHidden/>
    <w:qFormat/>
    <w:locked/>
    <w:uiPriority w:val="99"/>
    <w:pPr>
      <w:spacing w:after="120"/>
    </w:pPr>
    <w:rPr>
      <w:rFonts w:ascii="Calibri" w:hAnsi="Calibri"/>
      <w:sz w:val="24"/>
    </w:rPr>
  </w:style>
  <w:style w:type="paragraph" w:styleId="17">
    <w:name w:val="Body Text Indent"/>
    <w:basedOn w:val="1"/>
    <w:next w:val="1"/>
    <w:unhideWhenUsed/>
    <w:qFormat/>
    <w:locked/>
    <w:uiPriority w:val="99"/>
    <w:pPr>
      <w:spacing w:after="120"/>
      <w:ind w:left="420" w:leftChars="200"/>
    </w:pPr>
  </w:style>
  <w:style w:type="paragraph" w:styleId="18">
    <w:name w:val="Block Text"/>
    <w:basedOn w:val="1"/>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9">
    <w:name w:val="toc 5"/>
    <w:basedOn w:val="1"/>
    <w:next w:val="1"/>
    <w:qFormat/>
    <w:locked/>
    <w:uiPriority w:val="99"/>
    <w:pPr>
      <w:ind w:left="1680" w:leftChars="800"/>
    </w:pPr>
    <w:rPr>
      <w:sz w:val="24"/>
    </w:rPr>
  </w:style>
  <w:style w:type="paragraph" w:styleId="20">
    <w:name w:val="toc 3"/>
    <w:basedOn w:val="1"/>
    <w:next w:val="1"/>
    <w:qFormat/>
    <w:uiPriority w:val="99"/>
    <w:pPr>
      <w:ind w:left="840" w:leftChars="400"/>
    </w:pPr>
  </w:style>
  <w:style w:type="paragraph" w:styleId="21">
    <w:name w:val="Plain Text"/>
    <w:basedOn w:val="1"/>
    <w:link w:val="59"/>
    <w:qFormat/>
    <w:locked/>
    <w:uiPriority w:val="0"/>
    <w:rPr>
      <w:rFonts w:ascii="宋体" w:hAnsi="宋体"/>
      <w:color w:val="000000"/>
      <w:kern w:val="1"/>
      <w:szCs w:val="20"/>
    </w:rPr>
  </w:style>
  <w:style w:type="paragraph" w:styleId="22">
    <w:name w:val="toc 8"/>
    <w:basedOn w:val="1"/>
    <w:next w:val="1"/>
    <w:qFormat/>
    <w:locked/>
    <w:uiPriority w:val="99"/>
    <w:pPr>
      <w:ind w:left="2940" w:leftChars="1400"/>
    </w:pPr>
    <w:rPr>
      <w:sz w:val="24"/>
    </w:rPr>
  </w:style>
  <w:style w:type="paragraph" w:styleId="23">
    <w:name w:val="Body Text Indent 2"/>
    <w:basedOn w:val="1"/>
    <w:qFormat/>
    <w:locked/>
    <w:uiPriority w:val="0"/>
    <w:pPr>
      <w:spacing w:after="120" w:line="480" w:lineRule="auto"/>
      <w:ind w:left="420" w:leftChars="200"/>
    </w:pPr>
  </w:style>
  <w:style w:type="paragraph" w:styleId="24">
    <w:name w:val="Balloon Text"/>
    <w:basedOn w:val="1"/>
    <w:link w:val="60"/>
    <w:qFormat/>
    <w:uiPriority w:val="99"/>
    <w:rPr>
      <w:rFonts w:ascii="Calibri" w:hAnsi="Calibri"/>
      <w:sz w:val="18"/>
      <w:szCs w:val="18"/>
    </w:rPr>
  </w:style>
  <w:style w:type="paragraph" w:styleId="25">
    <w:name w:val="footer"/>
    <w:basedOn w:val="1"/>
    <w:link w:val="61"/>
    <w:qFormat/>
    <w:uiPriority w:val="0"/>
    <w:pPr>
      <w:tabs>
        <w:tab w:val="center" w:pos="4153"/>
        <w:tab w:val="right" w:pos="8306"/>
      </w:tabs>
      <w:snapToGrid w:val="0"/>
      <w:jc w:val="left"/>
    </w:pPr>
    <w:rPr>
      <w:rFonts w:ascii="Calibri" w:hAnsi="Calibri"/>
      <w:sz w:val="24"/>
    </w:rPr>
  </w:style>
  <w:style w:type="paragraph" w:styleId="26">
    <w:name w:val="header"/>
    <w:basedOn w:val="1"/>
    <w:link w:val="6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7">
    <w:name w:val="toc 1"/>
    <w:basedOn w:val="1"/>
    <w:next w:val="1"/>
    <w:qFormat/>
    <w:uiPriority w:val="99"/>
  </w:style>
  <w:style w:type="paragraph" w:styleId="28">
    <w:name w:val="toc 4"/>
    <w:basedOn w:val="1"/>
    <w:next w:val="1"/>
    <w:qFormat/>
    <w:locked/>
    <w:uiPriority w:val="99"/>
    <w:pPr>
      <w:ind w:left="1260" w:leftChars="600"/>
    </w:pPr>
    <w:rPr>
      <w:sz w:val="24"/>
    </w:rPr>
  </w:style>
  <w:style w:type="paragraph" w:styleId="29">
    <w:name w:val="toc 6"/>
    <w:basedOn w:val="1"/>
    <w:next w:val="1"/>
    <w:qFormat/>
    <w:locked/>
    <w:uiPriority w:val="99"/>
    <w:pPr>
      <w:ind w:left="2100" w:leftChars="1000"/>
    </w:pPr>
    <w:rPr>
      <w:sz w:val="24"/>
    </w:rPr>
  </w:style>
  <w:style w:type="paragraph" w:styleId="30">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31">
    <w:name w:val="toc 9"/>
    <w:basedOn w:val="1"/>
    <w:next w:val="1"/>
    <w:qFormat/>
    <w:locked/>
    <w:uiPriority w:val="99"/>
    <w:pPr>
      <w:ind w:left="3360" w:leftChars="1600"/>
    </w:pPr>
    <w:rPr>
      <w:sz w:val="24"/>
    </w:rPr>
  </w:style>
  <w:style w:type="paragraph" w:styleId="32">
    <w:name w:val="Body Text 2"/>
    <w:basedOn w:val="1"/>
    <w:link w:val="63"/>
    <w:unhideWhenUsed/>
    <w:qFormat/>
    <w:locked/>
    <w:uiPriority w:val="99"/>
    <w:pPr>
      <w:spacing w:after="120" w:line="480" w:lineRule="auto"/>
    </w:pPr>
    <w:rPr>
      <w:szCs w:val="22"/>
    </w:rPr>
  </w:style>
  <w:style w:type="paragraph" w:styleId="33">
    <w:name w:val="Normal (Web)"/>
    <w:basedOn w:val="1"/>
    <w:link w:val="64"/>
    <w:qFormat/>
    <w:uiPriority w:val="0"/>
    <w:pPr>
      <w:jc w:val="left"/>
    </w:pPr>
    <w:rPr>
      <w:rFonts w:ascii="Calibri" w:hAnsi="Calibri"/>
      <w:kern w:val="0"/>
      <w:sz w:val="24"/>
    </w:rPr>
  </w:style>
  <w:style w:type="paragraph" w:styleId="34">
    <w:name w:val="annotation subject"/>
    <w:basedOn w:val="15"/>
    <w:next w:val="15"/>
    <w:link w:val="65"/>
    <w:semiHidden/>
    <w:qFormat/>
    <w:locked/>
    <w:uiPriority w:val="99"/>
    <w:rPr>
      <w:b/>
      <w:bCs/>
    </w:rPr>
  </w:style>
  <w:style w:type="paragraph" w:styleId="35">
    <w:name w:val="Body Text First Indent"/>
    <w:basedOn w:val="16"/>
    <w:next w:val="2"/>
    <w:unhideWhenUsed/>
    <w:qFormat/>
    <w:locked/>
    <w:uiPriority w:val="99"/>
    <w:pPr>
      <w:tabs>
        <w:tab w:val="left" w:pos="1277"/>
      </w:tabs>
      <w:ind w:firstLine="420" w:firstLineChars="100"/>
    </w:pPr>
  </w:style>
  <w:style w:type="table" w:styleId="37">
    <w:name w:val="Table Grid"/>
    <w:basedOn w:val="3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cs="Times New Roman"/>
      <w:b/>
    </w:rPr>
  </w:style>
  <w:style w:type="character" w:styleId="40">
    <w:name w:val="page number"/>
    <w:qFormat/>
    <w:locked/>
    <w:uiPriority w:val="99"/>
    <w:rPr>
      <w:rFonts w:cs="Times New Roman"/>
    </w:rPr>
  </w:style>
  <w:style w:type="character" w:styleId="41">
    <w:name w:val="FollowedHyperlink"/>
    <w:qFormat/>
    <w:uiPriority w:val="99"/>
    <w:rPr>
      <w:rFonts w:cs="Times New Roman"/>
      <w:color w:val="551A8B"/>
      <w:u w:val="none"/>
    </w:rPr>
  </w:style>
  <w:style w:type="character" w:styleId="42">
    <w:name w:val="HTML Definition"/>
    <w:qFormat/>
    <w:uiPriority w:val="99"/>
    <w:rPr>
      <w:rFonts w:cs="Times New Roman"/>
      <w:i/>
    </w:rPr>
  </w:style>
  <w:style w:type="character" w:styleId="43">
    <w:name w:val="Hyperlink"/>
    <w:qFormat/>
    <w:uiPriority w:val="99"/>
    <w:rPr>
      <w:rFonts w:cs="Times New Roman"/>
      <w:color w:val="0000EE"/>
      <w:u w:val="none"/>
    </w:rPr>
  </w:style>
  <w:style w:type="character" w:styleId="44">
    <w:name w:val="HTML Code"/>
    <w:qFormat/>
    <w:uiPriority w:val="99"/>
    <w:rPr>
      <w:rFonts w:ascii="monospace" w:hAnsi="monospace" w:cs="monospace"/>
      <w:sz w:val="21"/>
      <w:szCs w:val="21"/>
    </w:rPr>
  </w:style>
  <w:style w:type="character" w:styleId="45">
    <w:name w:val="annotation reference"/>
    <w:qFormat/>
    <w:locked/>
    <w:uiPriority w:val="99"/>
    <w:rPr>
      <w:rFonts w:cs="Times New Roman"/>
      <w:sz w:val="21"/>
      <w:szCs w:val="21"/>
    </w:rPr>
  </w:style>
  <w:style w:type="character" w:styleId="46">
    <w:name w:val="HTML Keyboard"/>
    <w:qFormat/>
    <w:uiPriority w:val="99"/>
    <w:rPr>
      <w:rFonts w:ascii="monospace" w:hAnsi="monospace" w:cs="monospace"/>
      <w:sz w:val="21"/>
      <w:szCs w:val="21"/>
    </w:rPr>
  </w:style>
  <w:style w:type="character" w:styleId="47">
    <w:name w:val="HTML Sample"/>
    <w:qFormat/>
    <w:uiPriority w:val="99"/>
    <w:rPr>
      <w:rFonts w:ascii="monospace" w:hAnsi="monospace" w:cs="monospace"/>
      <w:sz w:val="21"/>
      <w:szCs w:val="21"/>
    </w:rPr>
  </w:style>
  <w:style w:type="paragraph" w:customStyle="1" w:styleId="4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9">
    <w:name w:val="标题 1 字符"/>
    <w:link w:val="4"/>
    <w:qFormat/>
    <w:locked/>
    <w:uiPriority w:val="99"/>
    <w:rPr>
      <w:rFonts w:ascii="Calibri" w:hAnsi="Calibri" w:eastAsia="微软雅黑" w:cs="Times New Roman"/>
      <w:b/>
      <w:bCs/>
      <w:kern w:val="44"/>
      <w:sz w:val="44"/>
      <w:szCs w:val="44"/>
    </w:rPr>
  </w:style>
  <w:style w:type="character" w:customStyle="1" w:styleId="50">
    <w:name w:val="标题 2 字符"/>
    <w:link w:val="5"/>
    <w:qFormat/>
    <w:locked/>
    <w:uiPriority w:val="99"/>
    <w:rPr>
      <w:rFonts w:ascii="Calibri Light" w:hAnsi="Calibri Light" w:eastAsia="宋体" w:cs="Times New Roman"/>
      <w:b/>
      <w:bCs/>
      <w:kern w:val="2"/>
      <w:sz w:val="32"/>
      <w:szCs w:val="32"/>
    </w:rPr>
  </w:style>
  <w:style w:type="character" w:customStyle="1" w:styleId="51">
    <w:name w:val="标题 3 字符"/>
    <w:link w:val="6"/>
    <w:qFormat/>
    <w:locked/>
    <w:uiPriority w:val="99"/>
    <w:rPr>
      <w:rFonts w:ascii="宋体" w:hAnsi="宋体" w:eastAsia="宋体" w:cs="Times New Roman"/>
      <w:b/>
      <w:sz w:val="27"/>
      <w:szCs w:val="27"/>
    </w:rPr>
  </w:style>
  <w:style w:type="character" w:customStyle="1" w:styleId="52">
    <w:name w:val="标题 5 字符"/>
    <w:link w:val="8"/>
    <w:semiHidden/>
    <w:qFormat/>
    <w:uiPriority w:val="0"/>
    <w:rPr>
      <w:rFonts w:ascii="Calibri" w:hAnsi="Calibri" w:eastAsia="仿宋_GB2312" w:cs="Times New Roman"/>
      <w:b/>
      <w:kern w:val="2"/>
      <w:sz w:val="28"/>
      <w:szCs w:val="24"/>
    </w:rPr>
  </w:style>
  <w:style w:type="character" w:customStyle="1" w:styleId="53">
    <w:name w:val="标题 6 字符"/>
    <w:link w:val="9"/>
    <w:semiHidden/>
    <w:qFormat/>
    <w:uiPriority w:val="0"/>
    <w:rPr>
      <w:rFonts w:ascii="Arial" w:hAnsi="Arial" w:eastAsia="黑体" w:cs="Times New Roman"/>
      <w:b/>
      <w:kern w:val="2"/>
      <w:sz w:val="24"/>
      <w:szCs w:val="24"/>
    </w:rPr>
  </w:style>
  <w:style w:type="character" w:customStyle="1" w:styleId="54">
    <w:name w:val="标题 7 字符"/>
    <w:link w:val="10"/>
    <w:semiHidden/>
    <w:qFormat/>
    <w:uiPriority w:val="0"/>
    <w:rPr>
      <w:rFonts w:ascii="Calibri" w:hAnsi="Calibri" w:eastAsia="仿宋_GB2312" w:cs="Times New Roman"/>
      <w:b/>
      <w:kern w:val="2"/>
      <w:sz w:val="24"/>
      <w:szCs w:val="24"/>
    </w:rPr>
  </w:style>
  <w:style w:type="character" w:customStyle="1" w:styleId="55">
    <w:name w:val="标题 8 字符"/>
    <w:link w:val="11"/>
    <w:semiHidden/>
    <w:qFormat/>
    <w:uiPriority w:val="0"/>
    <w:rPr>
      <w:rFonts w:ascii="Arial" w:hAnsi="Arial" w:eastAsia="黑体" w:cs="Times New Roman"/>
      <w:kern w:val="2"/>
      <w:sz w:val="24"/>
      <w:szCs w:val="24"/>
    </w:rPr>
  </w:style>
  <w:style w:type="character" w:customStyle="1" w:styleId="56">
    <w:name w:val="标题 9 字符"/>
    <w:link w:val="12"/>
    <w:semiHidden/>
    <w:qFormat/>
    <w:uiPriority w:val="0"/>
    <w:rPr>
      <w:rFonts w:ascii="Arial" w:hAnsi="Arial" w:eastAsia="黑体" w:cs="Times New Roman"/>
      <w:kern w:val="2"/>
      <w:sz w:val="21"/>
      <w:szCs w:val="24"/>
    </w:rPr>
  </w:style>
  <w:style w:type="character" w:customStyle="1" w:styleId="57">
    <w:name w:val="批注文字 字符"/>
    <w:link w:val="15"/>
    <w:qFormat/>
    <w:uiPriority w:val="99"/>
    <w:rPr>
      <w:rFonts w:ascii="Calibri" w:hAnsi="Calibri"/>
      <w:szCs w:val="24"/>
    </w:rPr>
  </w:style>
  <w:style w:type="character" w:customStyle="1" w:styleId="58">
    <w:name w:val="正文文本 字符"/>
    <w:link w:val="16"/>
    <w:semiHidden/>
    <w:qFormat/>
    <w:uiPriority w:val="99"/>
    <w:rPr>
      <w:rFonts w:ascii="Calibri" w:hAnsi="Calibri"/>
      <w:kern w:val="2"/>
      <w:sz w:val="24"/>
      <w:szCs w:val="24"/>
    </w:rPr>
  </w:style>
  <w:style w:type="character" w:customStyle="1" w:styleId="59">
    <w:name w:val="纯文本 字符"/>
    <w:link w:val="21"/>
    <w:qFormat/>
    <w:uiPriority w:val="0"/>
    <w:rPr>
      <w:rFonts w:ascii="宋体" w:hAnsi="宋体" w:cs="Courier New"/>
      <w:color w:val="000000"/>
      <w:kern w:val="1"/>
      <w:sz w:val="21"/>
    </w:rPr>
  </w:style>
  <w:style w:type="character" w:customStyle="1" w:styleId="60">
    <w:name w:val="批注框文本 字符"/>
    <w:link w:val="24"/>
    <w:qFormat/>
    <w:locked/>
    <w:uiPriority w:val="99"/>
    <w:rPr>
      <w:rFonts w:ascii="Calibri" w:hAnsi="Calibri" w:eastAsia="宋体" w:cs="Times New Roman"/>
      <w:kern w:val="2"/>
      <w:sz w:val="18"/>
      <w:szCs w:val="18"/>
    </w:rPr>
  </w:style>
  <w:style w:type="character" w:customStyle="1" w:styleId="61">
    <w:name w:val="页脚 字符"/>
    <w:link w:val="25"/>
    <w:qFormat/>
    <w:locked/>
    <w:uiPriority w:val="0"/>
    <w:rPr>
      <w:rFonts w:ascii="Calibri" w:hAnsi="Calibri" w:eastAsia="宋体" w:cs="Times New Roman"/>
      <w:kern w:val="2"/>
      <w:sz w:val="24"/>
      <w:szCs w:val="24"/>
    </w:rPr>
  </w:style>
  <w:style w:type="character" w:customStyle="1" w:styleId="62">
    <w:name w:val="页眉 字符"/>
    <w:link w:val="26"/>
    <w:qFormat/>
    <w:locked/>
    <w:uiPriority w:val="99"/>
    <w:rPr>
      <w:rFonts w:ascii="Calibri" w:hAnsi="Calibri" w:cs="Times New Roman"/>
      <w:sz w:val="18"/>
      <w:szCs w:val="18"/>
    </w:rPr>
  </w:style>
  <w:style w:type="character" w:customStyle="1" w:styleId="63">
    <w:name w:val="正文文本 2 字符"/>
    <w:link w:val="32"/>
    <w:semiHidden/>
    <w:qFormat/>
    <w:uiPriority w:val="99"/>
    <w:rPr>
      <w:kern w:val="2"/>
      <w:sz w:val="21"/>
      <w:szCs w:val="22"/>
    </w:rPr>
  </w:style>
  <w:style w:type="character" w:customStyle="1" w:styleId="64">
    <w:name w:val="普通(网站) 字符"/>
    <w:link w:val="33"/>
    <w:qFormat/>
    <w:locked/>
    <w:uiPriority w:val="0"/>
    <w:rPr>
      <w:rFonts w:ascii="Calibri" w:hAnsi="Calibri" w:eastAsia="宋体" w:cs="Times New Roman"/>
      <w:sz w:val="24"/>
      <w:szCs w:val="24"/>
    </w:rPr>
  </w:style>
  <w:style w:type="character" w:customStyle="1" w:styleId="65">
    <w:name w:val="批注主题 字符"/>
    <w:link w:val="34"/>
    <w:semiHidden/>
    <w:qFormat/>
    <w:uiPriority w:val="99"/>
    <w:rPr>
      <w:rFonts w:ascii="Calibri" w:hAnsi="Calibri"/>
      <w:b/>
      <w:bCs/>
      <w:szCs w:val="24"/>
    </w:rPr>
  </w:style>
  <w:style w:type="character" w:customStyle="1" w:styleId="66">
    <w:name w:val="editinput"/>
    <w:qFormat/>
    <w:uiPriority w:val="99"/>
    <w:rPr>
      <w:rFonts w:cs="Times New Roman"/>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apple-converted-space"/>
    <w:qFormat/>
    <w:uiPriority w:val="0"/>
  </w:style>
  <w:style w:type="character" w:customStyle="1" w:styleId="69">
    <w:name w:val="列表段落 字符"/>
    <w:link w:val="70"/>
    <w:qFormat/>
    <w:locked/>
    <w:uiPriority w:val="0"/>
    <w:rPr>
      <w:rFonts w:ascii="Calibri" w:hAnsi="Calibri"/>
      <w:sz w:val="24"/>
      <w:szCs w:val="24"/>
    </w:rPr>
  </w:style>
  <w:style w:type="paragraph" w:styleId="70">
    <w:name w:val="List Paragraph"/>
    <w:basedOn w:val="1"/>
    <w:link w:val="69"/>
    <w:qFormat/>
    <w:uiPriority w:val="0"/>
    <w:pPr>
      <w:ind w:firstLine="420" w:firstLineChars="200"/>
    </w:pPr>
    <w:rPr>
      <w:rFonts w:ascii="Calibri" w:hAnsi="Calibri"/>
      <w:kern w:val="0"/>
      <w:sz w:val="24"/>
    </w:rPr>
  </w:style>
  <w:style w:type="character" w:customStyle="1" w:styleId="71">
    <w:name w:val="样式2 Char"/>
    <w:link w:val="72"/>
    <w:qFormat/>
    <w:locked/>
    <w:uiPriority w:val="99"/>
    <w:rPr>
      <w:rFonts w:ascii="微软雅黑" w:hAnsi="微软雅黑" w:eastAsia="微软雅黑" w:cs="宋体"/>
      <w:color w:val="222222"/>
      <w:sz w:val="31"/>
      <w:szCs w:val="31"/>
    </w:rPr>
  </w:style>
  <w:style w:type="paragraph" w:customStyle="1" w:styleId="72">
    <w:name w:val="样式2"/>
    <w:basedOn w:val="33"/>
    <w:link w:val="71"/>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3">
    <w:name w:val="样式3 Char"/>
    <w:link w:val="74"/>
    <w:qFormat/>
    <w:locked/>
    <w:uiPriority w:val="99"/>
    <w:rPr>
      <w:rFonts w:ascii="微软雅黑" w:hAnsi="微软雅黑" w:eastAsia="微软雅黑" w:cs="宋体"/>
      <w:color w:val="222222"/>
      <w:sz w:val="36"/>
      <w:szCs w:val="36"/>
    </w:rPr>
  </w:style>
  <w:style w:type="paragraph" w:customStyle="1" w:styleId="74">
    <w:name w:val="样式3"/>
    <w:basedOn w:val="72"/>
    <w:link w:val="73"/>
    <w:qFormat/>
    <w:uiPriority w:val="99"/>
    <w:rPr>
      <w:sz w:val="36"/>
      <w:szCs w:val="36"/>
    </w:rPr>
  </w:style>
  <w:style w:type="character" w:customStyle="1" w:styleId="75">
    <w:name w:val="font21"/>
    <w:qFormat/>
    <w:uiPriority w:val="0"/>
    <w:rPr>
      <w:rFonts w:hint="eastAsia" w:ascii="宋体" w:hAnsi="宋体" w:eastAsia="宋体" w:cs="宋体"/>
      <w:color w:val="000000"/>
      <w:sz w:val="22"/>
      <w:szCs w:val="22"/>
      <w:u w:val="none"/>
    </w:rPr>
  </w:style>
  <w:style w:type="character" w:customStyle="1" w:styleId="76">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7">
    <w:name w:val="纯文本 Char"/>
    <w:semiHidden/>
    <w:qFormat/>
    <w:uiPriority w:val="99"/>
    <w:rPr>
      <w:rFonts w:ascii="宋体" w:hAnsi="Courier New" w:cs="Courier New"/>
      <w:kern w:val="2"/>
      <w:sz w:val="21"/>
      <w:szCs w:val="21"/>
    </w:rPr>
  </w:style>
  <w:style w:type="character" w:customStyle="1" w:styleId="78">
    <w:name w:val="样式1 Char"/>
    <w:link w:val="79"/>
    <w:qFormat/>
    <w:locked/>
    <w:uiPriority w:val="99"/>
    <w:rPr>
      <w:rFonts w:ascii="微软雅黑" w:hAnsi="微软雅黑" w:eastAsia="微软雅黑" w:cs="宋体"/>
      <w:color w:val="222222"/>
      <w:sz w:val="43"/>
      <w:szCs w:val="43"/>
    </w:rPr>
  </w:style>
  <w:style w:type="paragraph" w:customStyle="1" w:styleId="79">
    <w:name w:val="样式1"/>
    <w:basedOn w:val="33"/>
    <w:link w:val="78"/>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80">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1">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2">
    <w:name w:val="列出段落1"/>
    <w:basedOn w:val="1"/>
    <w:qFormat/>
    <w:uiPriority w:val="99"/>
    <w:pPr>
      <w:ind w:firstLine="420" w:firstLineChars="200"/>
    </w:pPr>
    <w:rPr>
      <w:szCs w:val="20"/>
    </w:rPr>
  </w:style>
  <w:style w:type="paragraph" w:customStyle="1" w:styleId="83">
    <w:name w:val="首行缩进"/>
    <w:basedOn w:val="1"/>
    <w:qFormat/>
    <w:uiPriority w:val="0"/>
    <w:pPr>
      <w:spacing w:line="360" w:lineRule="auto"/>
      <w:ind w:left="210" w:leftChars="100" w:firstLine="420" w:firstLineChars="200"/>
    </w:pPr>
    <w:rPr>
      <w:rFonts w:ascii="宋体" w:hAnsi="宋体"/>
    </w:rPr>
  </w:style>
  <w:style w:type="paragraph" w:customStyle="1" w:styleId="84">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5">
    <w:name w:val="_Style 19"/>
    <w:basedOn w:val="1"/>
    <w:next w:val="1"/>
    <w:qFormat/>
    <w:uiPriority w:val="99"/>
    <w:pPr>
      <w:pBdr>
        <w:bottom w:val="single" w:color="auto" w:sz="6" w:space="1"/>
      </w:pBdr>
      <w:jc w:val="center"/>
    </w:pPr>
    <w:rPr>
      <w:rFonts w:ascii="Arial"/>
      <w:vanish/>
      <w:sz w:val="16"/>
    </w:rPr>
  </w:style>
  <w:style w:type="paragraph" w:customStyle="1" w:styleId="86">
    <w:name w:val="inx_text23"/>
    <w:basedOn w:val="1"/>
    <w:qFormat/>
    <w:uiPriority w:val="99"/>
    <w:pPr>
      <w:spacing w:before="135" w:line="345" w:lineRule="atLeast"/>
      <w:jc w:val="center"/>
    </w:pPr>
    <w:rPr>
      <w:color w:val="FFFFFF"/>
      <w:kern w:val="0"/>
      <w:sz w:val="24"/>
    </w:rPr>
  </w:style>
  <w:style w:type="paragraph" w:customStyle="1" w:styleId="87">
    <w:name w:val="inx_text11"/>
    <w:basedOn w:val="1"/>
    <w:qFormat/>
    <w:uiPriority w:val="99"/>
    <w:pPr>
      <w:spacing w:before="45" w:line="375" w:lineRule="atLeast"/>
      <w:jc w:val="right"/>
    </w:pPr>
    <w:rPr>
      <w:color w:val="666666"/>
      <w:kern w:val="0"/>
      <w:szCs w:val="21"/>
    </w:rPr>
  </w:style>
  <w:style w:type="paragraph" w:customStyle="1" w:styleId="8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9">
    <w:name w:val="_Style 20"/>
    <w:basedOn w:val="1"/>
    <w:next w:val="1"/>
    <w:qFormat/>
    <w:uiPriority w:val="99"/>
    <w:pPr>
      <w:pBdr>
        <w:top w:val="single" w:color="auto" w:sz="6" w:space="1"/>
      </w:pBdr>
      <w:jc w:val="center"/>
    </w:pPr>
    <w:rPr>
      <w:rFonts w:ascii="Arial"/>
      <w:vanish/>
      <w:sz w:val="16"/>
    </w:rPr>
  </w:style>
  <w:style w:type="paragraph" w:customStyle="1" w:styleId="90">
    <w:name w:val="pag_text2"/>
    <w:basedOn w:val="1"/>
    <w:qFormat/>
    <w:uiPriority w:val="99"/>
    <w:pPr>
      <w:spacing w:line="570" w:lineRule="atLeast"/>
      <w:ind w:left="150"/>
      <w:jc w:val="left"/>
    </w:pPr>
    <w:rPr>
      <w:color w:val="444444"/>
      <w:kern w:val="0"/>
      <w:sz w:val="22"/>
      <w:szCs w:val="22"/>
    </w:rPr>
  </w:style>
  <w:style w:type="paragraph" w:customStyle="1" w:styleId="91">
    <w:name w:val="TOC Heading1"/>
    <w:basedOn w:val="4"/>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2">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3">
    <w:name w:val="inx_text24"/>
    <w:basedOn w:val="1"/>
    <w:qFormat/>
    <w:uiPriority w:val="99"/>
    <w:pPr>
      <w:spacing w:line="300" w:lineRule="atLeast"/>
      <w:jc w:val="center"/>
    </w:pPr>
    <w:rPr>
      <w:color w:val="444444"/>
      <w:kern w:val="0"/>
      <w:sz w:val="19"/>
      <w:szCs w:val="19"/>
    </w:rPr>
  </w:style>
  <w:style w:type="paragraph" w:customStyle="1" w:styleId="94">
    <w:name w:val="规划正文"/>
    <w:basedOn w:val="1"/>
    <w:qFormat/>
    <w:uiPriority w:val="99"/>
    <w:pPr>
      <w:spacing w:beforeLines="100" w:line="360" w:lineRule="auto"/>
      <w:ind w:firstLine="200" w:firstLineChars="200"/>
      <w:jc w:val="left"/>
    </w:pPr>
    <w:rPr>
      <w:rFonts w:ascii="Arial" w:hAnsi="Arial" w:eastAsia="仿宋_GB2312"/>
      <w:bCs/>
      <w:sz w:val="28"/>
    </w:rPr>
  </w:style>
  <w:style w:type="paragraph" w:customStyle="1" w:styleId="95">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6">
    <w:name w:val="Fließtext"/>
    <w:basedOn w:val="1"/>
    <w:qFormat/>
    <w:uiPriority w:val="99"/>
    <w:pPr>
      <w:overflowPunct w:val="0"/>
      <w:autoSpaceDE w:val="0"/>
      <w:autoSpaceDN w:val="0"/>
      <w:adjustRightInd w:val="0"/>
      <w:textAlignment w:val="baseline"/>
    </w:pPr>
    <w:rPr>
      <w:kern w:val="28"/>
      <w:szCs w:val="20"/>
    </w:rPr>
  </w:style>
  <w:style w:type="paragraph" w:customStyle="1" w:styleId="97">
    <w:name w:val="Table Paragraph"/>
    <w:basedOn w:val="1"/>
    <w:qFormat/>
    <w:uiPriority w:val="1"/>
    <w:rPr>
      <w:rFonts w:ascii="宋体" w:hAnsi="宋体" w:cs="宋体"/>
    </w:rPr>
  </w:style>
  <w:style w:type="paragraph" w:customStyle="1" w:styleId="98">
    <w:name w:val="pag_text"/>
    <w:basedOn w:val="1"/>
    <w:qFormat/>
    <w:uiPriority w:val="99"/>
    <w:pPr>
      <w:spacing w:line="570" w:lineRule="atLeast"/>
      <w:ind w:left="90"/>
      <w:jc w:val="left"/>
    </w:pPr>
    <w:rPr>
      <w:color w:val="444444"/>
      <w:kern w:val="0"/>
      <w:sz w:val="22"/>
      <w:szCs w:val="22"/>
    </w:rPr>
  </w:style>
  <w:style w:type="paragraph" w:customStyle="1" w:styleId="99">
    <w:name w:val="inx_text"/>
    <w:basedOn w:val="1"/>
    <w:qFormat/>
    <w:uiPriority w:val="99"/>
    <w:pPr>
      <w:spacing w:line="450" w:lineRule="atLeast"/>
      <w:jc w:val="left"/>
    </w:pPr>
    <w:rPr>
      <w:color w:val="AAAAAA"/>
      <w:kern w:val="0"/>
      <w:szCs w:val="21"/>
    </w:rPr>
  </w:style>
  <w:style w:type="paragraph" w:customStyle="1" w:styleId="100">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1">
    <w:name w:val="普通(网站)1"/>
    <w:basedOn w:val="1"/>
    <w:qFormat/>
    <w:uiPriority w:val="0"/>
    <w:pPr>
      <w:spacing w:beforeAutospacing="1" w:afterAutospacing="1" w:line="400" w:lineRule="exact"/>
      <w:ind w:firstLine="880" w:firstLineChars="200"/>
      <w:jc w:val="left"/>
    </w:pPr>
    <w:rPr>
      <w:rFonts w:ascii="Calibri" w:hAnsi="Calibri" w:eastAsia="仿宋_GB2312"/>
      <w:kern w:val="0"/>
      <w:sz w:val="24"/>
    </w:rPr>
  </w:style>
  <w:style w:type="paragraph" w:customStyle="1" w:styleId="102">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3">
    <w:name w:val="pag_text11"/>
    <w:basedOn w:val="1"/>
    <w:qFormat/>
    <w:uiPriority w:val="99"/>
    <w:pPr>
      <w:spacing w:line="570" w:lineRule="atLeast"/>
      <w:ind w:left="150"/>
      <w:jc w:val="left"/>
    </w:pPr>
    <w:rPr>
      <w:color w:val="444444"/>
      <w:kern w:val="0"/>
      <w:sz w:val="22"/>
      <w:szCs w:val="22"/>
    </w:rPr>
  </w:style>
  <w:style w:type="paragraph" w:customStyle="1" w:styleId="104">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5">
    <w:name w:val="p0"/>
    <w:basedOn w:val="1"/>
    <w:qFormat/>
    <w:uiPriority w:val="0"/>
    <w:pPr>
      <w:widowControl/>
    </w:pPr>
    <w:rPr>
      <w:kern w:val="0"/>
      <w:szCs w:val="21"/>
    </w:rPr>
  </w:style>
  <w:style w:type="character" w:customStyle="1" w:styleId="106">
    <w:name w:val="font31"/>
    <w:basedOn w:val="38"/>
    <w:qFormat/>
    <w:uiPriority w:val="0"/>
    <w:rPr>
      <w:rFonts w:hint="eastAsia" w:ascii="宋体" w:hAnsi="宋体" w:eastAsia="宋体" w:cs="宋体"/>
      <w:color w:val="000000"/>
      <w:sz w:val="20"/>
      <w:szCs w:val="20"/>
      <w:u w:val="none"/>
    </w:rPr>
  </w:style>
  <w:style w:type="character" w:customStyle="1" w:styleId="107">
    <w:name w:val="NormalCharacter"/>
    <w:qFormat/>
    <w:uiPriority w:val="0"/>
    <w:rPr>
      <w:rFonts w:ascii="Times New Roman" w:hAnsi="Times New Roman" w:eastAsia="宋体" w:cs="Times New Roman"/>
      <w:kern w:val="2"/>
      <w:sz w:val="21"/>
      <w:szCs w:val="24"/>
      <w:lang w:val="en-US" w:eastAsia="zh-CN" w:bidi="ar-SA"/>
    </w:rPr>
  </w:style>
  <w:style w:type="paragraph" w:customStyle="1" w:styleId="10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9">
    <w:name w:val="font91"/>
    <w:basedOn w:val="3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68</Pages>
  <Words>34990</Words>
  <Characters>36452</Characters>
  <Lines>283</Lines>
  <Paragraphs>79</Paragraphs>
  <TotalTime>2</TotalTime>
  <ScaleCrop>false</ScaleCrop>
  <LinksUpToDate>false</LinksUpToDate>
  <CharactersWithSpaces>39493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2022-12-08T10:17:24Z</dcterms:modified>
  <dc:title>福建省政府采购项目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92605AE1B26A407385C8A6E0EFDE6AE0</vt:lpwstr>
  </property>
</Properties>
</file>