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both"/>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sz w:val="52"/>
          <w:szCs w:val="5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sz w:val="52"/>
          <w:szCs w:val="5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sz w:val="72"/>
          <w:szCs w:val="72"/>
          <w14:textFill>
            <w14:solidFill>
              <w14:schemeClr w14:val="tx1"/>
            </w14:solidFill>
          </w14:textFill>
        </w:rPr>
      </w:pPr>
      <w:r>
        <w:rPr>
          <w:rFonts w:hint="eastAsia" w:ascii="仿宋" w:hAnsi="仿宋" w:eastAsia="仿宋" w:cs="仿宋"/>
          <w:b/>
          <w:color w:val="000000" w:themeColor="text1"/>
          <w:sz w:val="72"/>
          <w:szCs w:val="72"/>
          <w14:textFill>
            <w14:solidFill>
              <w14:schemeClr w14:val="tx1"/>
            </w14:solidFill>
          </w14:textFill>
        </w:rPr>
        <w:t>竞争性谈判文件</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000000" w:themeColor="text1"/>
          <w:sz w:val="30"/>
          <w:szCs w:val="30"/>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tLeast"/>
        <w:ind w:left="2306" w:leftChars="429" w:hanging="1405" w:hangingChars="500"/>
        <w:jc w:val="both"/>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w:t>
      </w:r>
      <w:r>
        <w:rPr>
          <w:rFonts w:hint="eastAsia" w:ascii="仿宋" w:hAnsi="仿宋" w:eastAsia="仿宋" w:cs="仿宋"/>
          <w:b/>
          <w:color w:val="000000" w:themeColor="text1"/>
          <w:sz w:val="28"/>
          <w:szCs w:val="28"/>
          <w:lang w:eastAsia="zh-CN"/>
          <w14:textFill>
            <w14:solidFill>
              <w14:schemeClr w14:val="tx1"/>
            </w14:solidFill>
          </w14:textFill>
        </w:rPr>
        <w:t>主校区学生公寓走廊及卫生间吊顶板采购（三次）</w:t>
      </w:r>
    </w:p>
    <w:p>
      <w:pPr>
        <w:keepNext w:val="0"/>
        <w:keepLines w:val="0"/>
        <w:pageBreakBefore w:val="0"/>
        <w:kinsoku/>
        <w:wordWrap/>
        <w:overflowPunct/>
        <w:topLinePunct w:val="0"/>
        <w:autoSpaceDE/>
        <w:autoSpaceDN/>
        <w:bidi w:val="0"/>
        <w:adjustRightInd/>
        <w:snapToGrid/>
        <w:spacing w:line="360" w:lineRule="atLeast"/>
        <w:ind w:left="2306" w:leftChars="429" w:hanging="1405" w:hangingChars="500"/>
        <w:jc w:val="both"/>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项目编号：</w:t>
      </w:r>
      <w:r>
        <w:rPr>
          <w:rFonts w:hint="eastAsia" w:ascii="仿宋" w:hAnsi="仿宋" w:eastAsia="仿宋" w:cs="仿宋"/>
          <w:b/>
          <w:color w:val="000000" w:themeColor="text1"/>
          <w:sz w:val="28"/>
          <w:szCs w:val="28"/>
          <w:lang w:val="en-US" w:eastAsia="zh-CN"/>
          <w14:textFill>
            <w14:solidFill>
              <w14:schemeClr w14:val="tx1"/>
            </w14:solidFill>
          </w14:textFill>
        </w:rPr>
        <w:t>WHZCTP2023011-2</w:t>
      </w:r>
    </w:p>
    <w:p>
      <w:pPr>
        <w:keepNext w:val="0"/>
        <w:keepLines w:val="0"/>
        <w:pageBreakBefore w:val="0"/>
        <w:kinsoku/>
        <w:wordWrap/>
        <w:overflowPunct/>
        <w:topLinePunct w:val="0"/>
        <w:autoSpaceDE/>
        <w:autoSpaceDN/>
        <w:bidi w:val="0"/>
        <w:adjustRightInd/>
        <w:snapToGrid/>
        <w:spacing w:line="360" w:lineRule="atLeast"/>
        <w:ind w:left="2306" w:leftChars="429" w:hanging="1405" w:hangingChars="5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采购人：</w:t>
      </w:r>
      <w:r>
        <w:rPr>
          <w:rFonts w:hint="eastAsia" w:ascii="仿宋" w:hAnsi="仿宋" w:eastAsia="仿宋" w:cs="仿宋"/>
          <w:b/>
          <w:color w:val="000000" w:themeColor="text1"/>
          <w:sz w:val="28"/>
          <w:szCs w:val="28"/>
          <w:lang w:eastAsia="zh-CN"/>
          <w14:textFill>
            <w14:solidFill>
              <w14:schemeClr w14:val="tx1"/>
            </w14:solidFill>
          </w14:textFill>
        </w:rPr>
        <w:t>泉州师范学院</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color w:val="000000" w:themeColor="text1"/>
          <w:sz w:val="30"/>
          <w:szCs w:val="30"/>
          <w14:textFill>
            <w14:solidFill>
              <w14:schemeClr w14:val="tx1"/>
            </w14:solidFill>
          </w14:textFill>
        </w:rPr>
      </w:pPr>
    </w:p>
    <w:p>
      <w:pPr>
        <w:pStyle w:val="19"/>
        <w:rPr>
          <w:rFonts w:ascii="仿宋" w:hAnsi="仿宋" w:eastAsia="仿宋" w:cs="仿宋"/>
          <w:color w:val="000000" w:themeColor="text1"/>
          <w:sz w:val="30"/>
          <w:szCs w:val="30"/>
          <w14:textFill>
            <w14:solidFill>
              <w14:schemeClr w14:val="tx1"/>
            </w14:solidFill>
          </w14:textFill>
        </w:rPr>
      </w:pPr>
    </w:p>
    <w:p>
      <w:pPr>
        <w:pStyle w:val="19"/>
        <w:ind w:left="0" w:leftChars="0" w:firstLine="0" w:firstLineChars="0"/>
        <w:rPr>
          <w:rFonts w:ascii="仿宋" w:hAnsi="仿宋" w:eastAsia="仿宋" w:cs="仿宋"/>
          <w:color w:val="000000" w:themeColor="text1"/>
          <w:sz w:val="30"/>
          <w:szCs w:val="30"/>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仿宋" w:hAnsi="仿宋" w:eastAsia="仿宋" w:cs="仿宋"/>
          <w:b/>
          <w:bCs/>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14:textFill>
            <w14:solidFill>
              <w14:schemeClr w14:val="tx1"/>
            </w14:solidFill>
          </w14:textFill>
        </w:rPr>
        <w:t>福建省维恒项目管理有限公司</w:t>
      </w:r>
    </w:p>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Style w:val="23"/>
          <w:rFonts w:hint="eastAsia" w:ascii="仿宋" w:hAnsi="仿宋" w:eastAsia="仿宋" w:cs="仿宋"/>
          <w:bCs/>
          <w:color w:val="000000" w:themeColor="text1"/>
          <w:sz w:val="28"/>
          <w:szCs w:val="28"/>
          <w14:textFill>
            <w14:solidFill>
              <w14:schemeClr w14:val="tx1"/>
            </w14:solidFill>
          </w14:textFill>
        </w:rPr>
      </w:pPr>
      <w:r>
        <w:rPr>
          <w:rStyle w:val="23"/>
          <w:rFonts w:hint="eastAsia" w:ascii="仿宋" w:hAnsi="仿宋" w:eastAsia="仿宋" w:cs="仿宋"/>
          <w:bCs/>
          <w:color w:val="000000" w:themeColor="text1"/>
          <w:sz w:val="28"/>
          <w:szCs w:val="28"/>
          <w:u w:val="none"/>
          <w14:textFill>
            <w14:solidFill>
              <w14:schemeClr w14:val="tx1"/>
            </w14:solidFill>
          </w14:textFill>
        </w:rPr>
        <w:t>202</w:t>
      </w:r>
      <w:r>
        <w:rPr>
          <w:rStyle w:val="23"/>
          <w:rFonts w:hint="eastAsia" w:ascii="仿宋" w:hAnsi="仿宋" w:eastAsia="仿宋" w:cs="仿宋"/>
          <w:bCs/>
          <w:color w:val="000000" w:themeColor="text1"/>
          <w:sz w:val="28"/>
          <w:szCs w:val="28"/>
          <w:u w:val="none"/>
          <w:lang w:val="en-US" w:eastAsia="zh-CN"/>
          <w14:textFill>
            <w14:solidFill>
              <w14:schemeClr w14:val="tx1"/>
            </w14:solidFill>
          </w14:textFill>
        </w:rPr>
        <w:t>3</w:t>
      </w:r>
      <w:r>
        <w:rPr>
          <w:rStyle w:val="23"/>
          <w:rFonts w:hint="eastAsia" w:ascii="仿宋" w:hAnsi="仿宋" w:eastAsia="仿宋" w:cs="仿宋"/>
          <w:bCs/>
          <w:color w:val="000000" w:themeColor="text1"/>
          <w:sz w:val="28"/>
          <w:szCs w:val="28"/>
          <w:u w:val="none"/>
          <w14:textFill>
            <w14:solidFill>
              <w14:schemeClr w14:val="tx1"/>
            </w14:solidFill>
          </w14:textFill>
        </w:rPr>
        <w:t>年</w:t>
      </w:r>
      <w:r>
        <w:rPr>
          <w:rStyle w:val="23"/>
          <w:rFonts w:hint="eastAsia" w:ascii="仿宋" w:hAnsi="仿宋" w:eastAsia="仿宋" w:cs="仿宋"/>
          <w:bCs/>
          <w:color w:val="000000" w:themeColor="text1"/>
          <w:sz w:val="28"/>
          <w:szCs w:val="28"/>
          <w:u w:val="none"/>
          <w:lang w:val="en-US" w:eastAsia="zh-CN"/>
          <w14:textFill>
            <w14:solidFill>
              <w14:schemeClr w14:val="tx1"/>
            </w14:solidFill>
          </w14:textFill>
        </w:rPr>
        <w:t>07</w:t>
      </w:r>
      <w:r>
        <w:rPr>
          <w:rStyle w:val="23"/>
          <w:rFonts w:hint="eastAsia" w:ascii="仿宋" w:hAnsi="仿宋" w:eastAsia="仿宋" w:cs="仿宋"/>
          <w:bCs/>
          <w:color w:val="000000" w:themeColor="text1"/>
          <w:sz w:val="28"/>
          <w:szCs w:val="28"/>
          <w:u w:val="none"/>
          <w14:textFill>
            <w14:solidFill>
              <w14:schemeClr w14:val="tx1"/>
            </w14:solidFill>
          </w14:textFill>
        </w:rPr>
        <w:t>月</w:t>
      </w:r>
    </w:p>
    <w:p>
      <w:pPr>
        <w:pStyle w:val="19"/>
        <w:keepNext w:val="0"/>
        <w:keepLines w:val="0"/>
        <w:pageBreakBefore w:val="0"/>
        <w:kinsoku/>
        <w:wordWrap/>
        <w:overflowPunct/>
        <w:topLinePunct w:val="0"/>
        <w:autoSpaceDE/>
        <w:autoSpaceDN/>
        <w:bidi w:val="0"/>
        <w:adjustRightInd/>
        <w:snapToGrid/>
        <w:spacing w:line="360" w:lineRule="atLeast"/>
        <w:textAlignment w:val="auto"/>
        <w:rPr>
          <w:rStyle w:val="23"/>
          <w:rFonts w:hint="eastAsia" w:ascii="仿宋" w:hAnsi="仿宋" w:eastAsia="仿宋" w:cs="仿宋"/>
          <w:bCs/>
          <w:color w:val="000000" w:themeColor="text1"/>
          <w:sz w:val="30"/>
          <w:szCs w:val="30"/>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textAlignment w:val="auto"/>
        <w:rPr>
          <w:rStyle w:val="23"/>
          <w:rFonts w:hint="eastAsia" w:ascii="仿宋" w:hAnsi="仿宋" w:eastAsia="仿宋" w:cs="仿宋"/>
          <w:bCs/>
          <w:color w:val="000000" w:themeColor="text1"/>
          <w:sz w:val="30"/>
          <w:szCs w:val="30"/>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仿宋" w:hAnsi="仿宋" w:eastAsia="仿宋" w:cs="Times New Roman"/>
          <w:b/>
          <w:color w:val="000000" w:themeColor="text1"/>
          <w:kern w:val="0"/>
          <w:sz w:val="30"/>
          <w:szCs w:val="30"/>
          <w14:textFill>
            <w14:solidFill>
              <w14:schemeClr w14:val="tx1"/>
            </w14:solidFill>
          </w14:textFill>
        </w:rPr>
        <w:id w:val="147475581"/>
        <w:docPartObj>
          <w:docPartGallery w:val="Table of Contents"/>
          <w:docPartUnique/>
        </w:docPartObj>
      </w:sdtPr>
      <w:sdtEndPr>
        <w:rPr>
          <w:rFonts w:hint="eastAsia" w:ascii="仿宋" w:hAnsi="仿宋" w:eastAsia="仿宋" w:cs="仿宋"/>
          <w:b/>
          <w:bCs/>
          <w:color w:val="000000" w:themeColor="text1"/>
          <w:kern w:val="0"/>
          <w:sz w:val="24"/>
          <w:szCs w:val="24"/>
          <w14:textFill>
            <w14:solidFill>
              <w14:schemeClr w14:val="tx1"/>
            </w14:solidFill>
          </w14:textFill>
        </w:rPr>
      </w:sdtEndPr>
      <w:sdtContent>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目录</w:t>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Style w:val="23"/>
              <w:rFonts w:hint="eastAsia" w:ascii="仿宋" w:hAnsi="仿宋" w:eastAsia="仿宋" w:cs="仿宋"/>
              <w:color w:val="000000" w:themeColor="text1"/>
              <w:sz w:val="21"/>
              <w:szCs w:val="21"/>
              <w14:textFill>
                <w14:solidFill>
                  <w14:schemeClr w14:val="tx1"/>
                </w14:solidFill>
              </w14:textFill>
            </w:rPr>
            <w:fldChar w:fldCharType="begin"/>
          </w:r>
          <w:r>
            <w:rPr>
              <w:rStyle w:val="23"/>
              <w:rFonts w:hint="eastAsia" w:ascii="仿宋" w:hAnsi="仿宋" w:eastAsia="仿宋" w:cs="仿宋"/>
              <w:bCs/>
              <w:color w:val="000000" w:themeColor="text1"/>
              <w:sz w:val="21"/>
              <w:szCs w:val="21"/>
              <w14:textFill>
                <w14:solidFill>
                  <w14:schemeClr w14:val="tx1"/>
                </w14:solidFill>
              </w14:textFill>
            </w:rPr>
            <w:instrText xml:space="preserve">TOC \o "1-1" \h \u </w:instrText>
          </w:r>
          <w:r>
            <w:rPr>
              <w:rStyle w:val="23"/>
              <w:rFonts w:hint="eastAsia" w:ascii="仿宋" w:hAnsi="仿宋" w:eastAsia="仿宋" w:cs="仿宋"/>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_Toc1742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第一章</w:t>
          </w:r>
          <w:r>
            <w:rPr>
              <w:rFonts w:hint="eastAsia" w:ascii="仿宋" w:hAnsi="仿宋" w:eastAsia="仿宋" w:cs="仿宋"/>
              <w:b/>
              <w:bCs/>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1"/>
              <w14:textFill>
                <w14:solidFill>
                  <w14:schemeClr w14:val="tx1"/>
                </w14:solidFill>
              </w14:textFill>
            </w:rPr>
            <w:t>采购公告/采购邀请书</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_Toc1742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1</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_Toc19603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第二章</w:t>
          </w:r>
          <w:r>
            <w:rPr>
              <w:rFonts w:hint="eastAsia" w:ascii="仿宋" w:hAnsi="仿宋" w:eastAsia="仿宋" w:cs="仿宋"/>
              <w:b/>
              <w:bCs/>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1"/>
              <w14:textFill>
                <w14:solidFill>
                  <w14:schemeClr w14:val="tx1"/>
                </w14:solidFill>
              </w14:textFill>
            </w:rPr>
            <w:t>竞争性谈判须知</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_Toc19603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3</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_Toc30981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第1节 竞争性谈判须知前附表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_Toc30981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_Toc6619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第2节  竞争性谈判须知</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_Toc6619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_Toc9861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第三章</w:t>
          </w:r>
          <w:r>
            <w:rPr>
              <w:rFonts w:hint="eastAsia" w:ascii="仿宋" w:hAnsi="仿宋" w:eastAsia="仿宋" w:cs="仿宋"/>
              <w:b/>
              <w:bCs/>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1"/>
              <w14:textFill>
                <w14:solidFill>
                  <w14:schemeClr w14:val="tx1"/>
                </w14:solidFill>
              </w14:textFill>
            </w:rPr>
            <w:t>采购内容及要求</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_Toc9861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23</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_Toc19961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kern w:val="44"/>
              <w:sz w:val="21"/>
              <w:szCs w:val="21"/>
              <w:lang w:val="en-US" w:eastAsia="zh-CN" w:bidi="ar-SA"/>
              <w14:textFill>
                <w14:solidFill>
                  <w14:schemeClr w14:val="tx1"/>
                </w14:solidFill>
              </w14:textFill>
            </w:rPr>
            <w:t>第四章 合同主要条款及格式</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_Toc19961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28</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_Toc24181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kern w:val="44"/>
              <w:sz w:val="21"/>
              <w:szCs w:val="21"/>
              <w:lang w:val="en-US" w:eastAsia="zh-CN" w:bidi="ar-SA"/>
              <w14:textFill>
                <w14:solidFill>
                  <w14:schemeClr w14:val="tx1"/>
                </w14:solidFill>
              </w14:textFill>
            </w:rPr>
            <w:t>第五章  首次响应文件格式</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_Toc24181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32</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_Toc2789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kern w:val="44"/>
              <w:sz w:val="21"/>
              <w:szCs w:val="21"/>
              <w:lang w:val="en-US" w:eastAsia="zh-CN" w:bidi="ar-SA"/>
              <w14:textFill>
                <w14:solidFill>
                  <w14:schemeClr w14:val="tx1"/>
                </w14:solidFill>
              </w14:textFill>
            </w:rPr>
            <w:t>附件1 谈判响应声明</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_Toc2789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35</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_Toc21661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附件2 报价一览表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_Toc21661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37</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_Toc4171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附件2-1 详细报价书</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_Toc4171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38</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_Toc16623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  资格证明文件</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_Toc16623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39</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_Toc14697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附件3-1 参加竞争性谈判的声明函</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_Toc14697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39</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_Toc20604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附件3-2 供应商的资格声明</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_Toc20604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40</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_Toc27306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附件3-3 单位负责人授权书</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_Toc27306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41</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_Toc6944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附件3-4 营业执照等证明文件</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_Toc6944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42</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_Toc29999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附件3-5 财务状况报告</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_Toc29999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43</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_Toc11101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附件3-6 依法缴纳税收证明材料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_Toc11101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45</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_Toc26546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附件3-7 依法缴纳社会保障资金证明材料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_Toc26546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46</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_Toc21056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附件3-8 具备履行合同所必需设备和专业技术能力证明材料声明函</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_Toc21056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47</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_Toc16227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附件3-9 信用记录查询结果</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_Toc16227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48</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_Toc3911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附件3-10 联合体协议</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_Toc3911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49</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_Toc16549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附件3-11分包意向协议（若有）</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_Toc16549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51</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_Toc21664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附件3-12 参加采购活动前三年内在经营活动中没有重大违法记录书面声明</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_Toc21664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52</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_Toc16096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附件3-13 其它资格证明文件</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_Toc16096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53</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_Toc29243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附件4 谈判保证金凭证</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_Toc29243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54</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_Toc5061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附件5：技术、服务和商务响应表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_Toc5061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55</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_Toc1666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附件5-1：技术和服务要求响应表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_Toc1666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55</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_Toc18862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附件5-2 商务条件和其它事项响应表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_Toc18862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56</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_Toc2482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附件6 相关技术、商务、服务响应承诺及资料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_Toc2482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57</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_Toc23041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附件7 供应商提交符合政府采购政策的证明材料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_Toc23041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58</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_Toc28974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附件7-1-1 中小企业声明函（如果有的话）</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_Toc28974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58</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_Toc10184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附件7-1-2 残疾人福利性单位声明函（如果有的话）</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_Toc10184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60</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_Toc4679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附件7-1-3 监狱企业证明材料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_Toc4679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61</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_Toc24532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附件7-2优先类节能产品、环境标志产品价格扣除证明材料（如果有的话）</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_Toc24532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62</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_Toc26690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附件8 要求作为响应文件组成部分的其他内容（若有）</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_Toc26690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63</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7"/>
            <w:keepNext w:val="0"/>
            <w:keepLines w:val="0"/>
            <w:pageBreakBefore w:val="0"/>
            <w:widowControl/>
            <w:kinsoku/>
            <w:wordWrap/>
            <w:overflowPunct/>
            <w:topLinePunct w:val="0"/>
            <w:autoSpaceDE/>
            <w:autoSpaceDN/>
            <w:bidi w:val="0"/>
            <w:adjustRightInd/>
            <w:snapToGrid/>
            <w:spacing w:beforeAutospacing="0" w:afterAutospacing="0" w:line="320" w:lineRule="atLeast"/>
            <w:textAlignment w:val="auto"/>
            <w:rPr>
              <w:rFonts w:hint="eastAsia" w:ascii="仿宋" w:hAnsi="仿宋" w:eastAsia="仿宋" w:cs="仿宋"/>
              <w:bCs/>
              <w:color w:val="000000" w:themeColor="text1"/>
              <w:kern w:val="2"/>
              <w:sz w:val="24"/>
              <w:szCs w:val="24"/>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fldChar w:fldCharType="end"/>
          </w:r>
        </w:p>
      </w:sdtContent>
    </w:sdt>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注：本采购文件（不含封面、目录）共</w:t>
      </w:r>
      <w:r>
        <w:rPr>
          <w:rFonts w:hint="eastAsia" w:ascii="仿宋" w:hAnsi="仿宋" w:eastAsia="仿宋" w:cs="仿宋"/>
          <w:b/>
          <w:color w:val="000000" w:themeColor="text1"/>
          <w:u w:val="single"/>
          <w:lang w:val="en-US" w:eastAsia="zh-CN"/>
          <w14:textFill>
            <w14:solidFill>
              <w14:schemeClr w14:val="tx1"/>
            </w14:solidFill>
          </w14:textFill>
        </w:rPr>
        <w:t>63</w:t>
      </w:r>
      <w:r>
        <w:rPr>
          <w:rFonts w:hint="eastAsia" w:ascii="仿宋" w:hAnsi="仿宋" w:eastAsia="仿宋" w:cs="仿宋"/>
          <w:color w:val="000000" w:themeColor="text1"/>
          <w14:textFill>
            <w14:solidFill>
              <w14:schemeClr w14:val="tx1"/>
            </w14:solidFill>
          </w14:textFill>
        </w:rPr>
        <w:t>页，请供应商领取采购文件时自行核对，如发现缺、损等情况，自领取采购文件之日起二日内向福建省维恒项目管理有限公司提出，否则，由此造成的一切后果由供应商自负。</w:t>
      </w:r>
    </w:p>
    <w:p>
      <w:pPr>
        <w:keepNext w:val="0"/>
        <w:keepLines w:val="0"/>
        <w:pageBreakBefore w:val="0"/>
        <w:kinsoku/>
        <w:wordWrap/>
        <w:overflowPunct/>
        <w:topLinePunct w:val="0"/>
        <w:autoSpaceDE/>
        <w:autoSpaceDN/>
        <w:bidi w:val="0"/>
        <w:adjustRightInd/>
        <w:snapToGrid/>
        <w:spacing w:line="360" w:lineRule="atLeast"/>
        <w:textAlignment w:val="auto"/>
        <w:rPr>
          <w:rStyle w:val="23"/>
          <w:rFonts w:ascii="仿宋" w:hAnsi="仿宋" w:eastAsia="仿宋" w:cs="仿宋"/>
          <w:bCs/>
          <w:color w:val="000000" w:themeColor="text1"/>
          <w:sz w:val="24"/>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Style w:val="23"/>
          <w:rFonts w:hint="eastAsia" w:ascii="仿宋" w:hAnsi="仿宋" w:eastAsia="仿宋" w:cs="仿宋"/>
          <w:color w:val="000000" w:themeColor="text1"/>
          <w:sz w:val="30"/>
          <w:szCs w:val="30"/>
          <w14:textFill>
            <w14:solidFill>
              <w14:schemeClr w14:val="tx1"/>
            </w14:solidFill>
          </w14:textFill>
        </w:rPr>
      </w:pPr>
      <w:bookmarkStart w:id="0" w:name="_Toc4388"/>
      <w:bookmarkStart w:id="1" w:name="_Toc1742"/>
      <w:r>
        <w:rPr>
          <w:rStyle w:val="23"/>
          <w:rFonts w:hint="eastAsia" w:ascii="仿宋" w:hAnsi="仿宋" w:eastAsia="仿宋" w:cs="仿宋"/>
          <w:color w:val="000000" w:themeColor="text1"/>
          <w:sz w:val="30"/>
          <w:szCs w:val="30"/>
          <w14:textFill>
            <w14:solidFill>
              <w14:schemeClr w14:val="tx1"/>
            </w14:solidFill>
          </w14:textFill>
        </w:rPr>
        <w:t>第一章</w:t>
      </w:r>
      <w:r>
        <w:rPr>
          <w:rStyle w:val="23"/>
          <w:rFonts w:hint="eastAsia" w:ascii="仿宋" w:hAnsi="仿宋" w:eastAsia="仿宋" w:cs="仿宋"/>
          <w:color w:val="000000" w:themeColor="text1"/>
          <w:sz w:val="30"/>
          <w:szCs w:val="30"/>
          <w:lang w:val="en-US" w:eastAsia="zh-CN"/>
          <w14:textFill>
            <w14:solidFill>
              <w14:schemeClr w14:val="tx1"/>
            </w14:solidFill>
          </w14:textFill>
        </w:rPr>
        <w:t xml:space="preserve"> </w:t>
      </w:r>
      <w:bookmarkEnd w:id="0"/>
      <w:r>
        <w:rPr>
          <w:rStyle w:val="23"/>
          <w:rFonts w:hint="eastAsia" w:ascii="仿宋" w:hAnsi="仿宋" w:eastAsia="仿宋" w:cs="仿宋"/>
          <w:color w:val="000000" w:themeColor="text1"/>
          <w:sz w:val="30"/>
          <w:szCs w:val="30"/>
          <w14:textFill>
            <w14:solidFill>
              <w14:schemeClr w14:val="tx1"/>
            </w14:solidFill>
          </w14:textFill>
        </w:rPr>
        <w:t>采购公告/采购邀请书</w:t>
      </w:r>
      <w:bookmarkEnd w:id="1"/>
    </w:p>
    <w:p>
      <w:pPr>
        <w:bidi w:val="0"/>
        <w:jc w:val="center"/>
        <w:rPr>
          <w:rStyle w:val="23"/>
          <w:rFonts w:hint="eastAsia" w:ascii="仿宋" w:hAnsi="仿宋" w:eastAsia="仿宋" w:cs="仿宋"/>
          <w:color w:val="000000" w:themeColor="text1"/>
          <w:szCs w:val="30"/>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竞争性谈判采购公告</w:t>
      </w:r>
    </w:p>
    <w:p>
      <w:pPr>
        <w:keepNext w:val="0"/>
        <w:keepLines w:val="0"/>
        <w:pageBreakBefore w:val="0"/>
        <w:kinsoku/>
        <w:wordWrap/>
        <w:overflowPunct/>
        <w:topLinePunct w:val="0"/>
        <w:autoSpaceDE/>
        <w:autoSpaceDN/>
        <w:bidi w:val="0"/>
        <w:adjustRightInd/>
        <w:snapToGrid/>
        <w:spacing w:line="360" w:lineRule="atLeast"/>
        <w:ind w:firstLine="482" w:firstLineChars="200"/>
        <w:textAlignment w:val="auto"/>
        <w:rPr>
          <w:rFonts w:hint="eastAsia" w:ascii="仿宋" w:hAnsi="仿宋" w:eastAsia="仿宋" w:cs="仿宋"/>
          <w:color w:val="000000" w:themeColor="text1"/>
          <w:kern w:val="0"/>
          <w:sz w:val="24"/>
          <w:shd w:val="clear" w:color="auto" w:fill="FFFFFF"/>
          <w14:textFill>
            <w14:solidFill>
              <w14:schemeClr w14:val="tx1"/>
            </w14:solidFill>
          </w14:textFill>
        </w:rPr>
      </w:pPr>
      <w:r>
        <w:rPr>
          <w:rFonts w:hint="eastAsia" w:ascii="仿宋" w:hAnsi="仿宋" w:eastAsia="仿宋" w:cs="仿宋"/>
          <w:b/>
          <w:color w:val="000000" w:themeColor="text1"/>
          <w:kern w:val="0"/>
          <w:sz w:val="24"/>
          <w:u w:val="single"/>
          <w:shd w:val="clear" w:color="auto" w:fill="FFFFFF"/>
          <w14:textFill>
            <w14:solidFill>
              <w14:schemeClr w14:val="tx1"/>
            </w14:solidFill>
          </w14:textFill>
        </w:rPr>
        <w:t>福建省维恒项目管理有限公司</w:t>
      </w:r>
      <w:r>
        <w:rPr>
          <w:rFonts w:hint="eastAsia" w:ascii="仿宋" w:hAnsi="仿宋" w:eastAsia="仿宋" w:cs="仿宋"/>
          <w:color w:val="000000" w:themeColor="text1"/>
          <w:kern w:val="0"/>
          <w:sz w:val="24"/>
          <w:shd w:val="clear" w:color="auto" w:fill="FFFFFF"/>
          <w14:textFill>
            <w14:solidFill>
              <w14:schemeClr w14:val="tx1"/>
            </w14:solidFill>
          </w14:textFill>
        </w:rPr>
        <w:t>受</w:t>
      </w:r>
      <w:r>
        <w:rPr>
          <w:rFonts w:hint="eastAsia" w:ascii="仿宋" w:hAnsi="仿宋" w:eastAsia="仿宋" w:cs="仿宋"/>
          <w:b/>
          <w:bCs/>
          <w:color w:val="000000" w:themeColor="text1"/>
          <w:kern w:val="0"/>
          <w:sz w:val="24"/>
          <w:u w:val="single"/>
          <w:shd w:val="clear" w:color="auto" w:fill="FFFFFF"/>
          <w:lang w:eastAsia="zh-CN"/>
          <w14:textFill>
            <w14:solidFill>
              <w14:schemeClr w14:val="tx1"/>
            </w14:solidFill>
          </w14:textFill>
        </w:rPr>
        <w:t>泉州师范学院</w:t>
      </w:r>
      <w:r>
        <w:rPr>
          <w:rFonts w:hint="eastAsia" w:ascii="仿宋" w:hAnsi="仿宋" w:eastAsia="仿宋" w:cs="仿宋"/>
          <w:color w:val="000000" w:themeColor="text1"/>
          <w:kern w:val="0"/>
          <w:sz w:val="24"/>
          <w:shd w:val="clear" w:color="auto" w:fill="FFFFFF"/>
          <w14:textFill>
            <w14:solidFill>
              <w14:schemeClr w14:val="tx1"/>
            </w14:solidFill>
          </w14:textFill>
        </w:rPr>
        <w:t>委托，采用</w:t>
      </w:r>
      <w:r>
        <w:rPr>
          <w:rFonts w:hint="eastAsia" w:ascii="仿宋" w:hAnsi="仿宋" w:eastAsia="仿宋" w:cs="仿宋"/>
          <w:b/>
          <w:color w:val="000000" w:themeColor="text1"/>
          <w:kern w:val="0"/>
          <w:sz w:val="24"/>
          <w:u w:val="single"/>
          <w:shd w:val="clear" w:color="auto" w:fill="FFFFFF"/>
          <w14:textFill>
            <w14:solidFill>
              <w14:schemeClr w14:val="tx1"/>
            </w14:solidFill>
          </w14:textFill>
        </w:rPr>
        <w:t>竞争性谈判</w:t>
      </w:r>
      <w:r>
        <w:rPr>
          <w:rFonts w:hint="eastAsia" w:ascii="仿宋" w:hAnsi="仿宋" w:eastAsia="仿宋" w:cs="仿宋"/>
          <w:color w:val="000000" w:themeColor="text1"/>
          <w:kern w:val="0"/>
          <w:sz w:val="24"/>
          <w:shd w:val="clear" w:color="auto" w:fill="FFFFFF"/>
          <w14:textFill>
            <w14:solidFill>
              <w14:schemeClr w14:val="tx1"/>
            </w14:solidFill>
          </w14:textFill>
        </w:rPr>
        <w:t>方式组织</w:t>
      </w:r>
      <w:r>
        <w:rPr>
          <w:rFonts w:hint="eastAsia" w:ascii="仿宋" w:hAnsi="仿宋" w:eastAsia="仿宋" w:cs="仿宋"/>
          <w:b/>
          <w:bCs/>
          <w:color w:val="000000" w:themeColor="text1"/>
          <w:kern w:val="0"/>
          <w:sz w:val="24"/>
          <w:u w:val="single"/>
          <w:shd w:val="clear" w:color="auto" w:fill="FFFFFF"/>
          <w:lang w:eastAsia="zh-CN"/>
          <w14:textFill>
            <w14:solidFill>
              <w14:schemeClr w14:val="tx1"/>
            </w14:solidFill>
          </w14:textFill>
        </w:rPr>
        <w:t>主校区学生公寓走廊及卫生间吊顶板采购（三次）</w:t>
      </w:r>
      <w:r>
        <w:rPr>
          <w:rFonts w:hint="eastAsia" w:ascii="仿宋" w:hAnsi="仿宋" w:eastAsia="仿宋" w:cs="仿宋"/>
          <w:color w:val="000000" w:themeColor="text1"/>
          <w:kern w:val="0"/>
          <w:sz w:val="24"/>
          <w:shd w:val="clear" w:color="auto" w:fill="FFFFFF"/>
          <w14:textFill>
            <w14:solidFill>
              <w14:schemeClr w14:val="tx1"/>
            </w14:solidFill>
          </w14:textFill>
        </w:rPr>
        <w:t>（以下简称：“本项目”）的采购活动，现欢迎国内合格的供应商前来参加。本项目由采购人委托福建省维恒项目管理有限公司开展竞争性谈判活动。</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jc w:val="both"/>
        <w:textAlignment w:val="auto"/>
        <w:rPr>
          <w:rFonts w:hint="eastAsia" w:ascii="仿宋" w:hAnsi="仿宋" w:eastAsia="仿宋" w:cs="仿宋"/>
          <w:color w:val="000000" w:themeColor="text1"/>
          <w:shd w:val="clear" w:color="auto" w:fill="FFFFFF"/>
          <w:lang w:eastAsia="zh-CN"/>
          <w14:textFill>
            <w14:solidFill>
              <w14:schemeClr w14:val="tx1"/>
            </w14:solidFill>
          </w14:textFill>
        </w:rPr>
      </w:pPr>
      <w:r>
        <w:rPr>
          <w:rFonts w:hint="eastAsia" w:ascii="仿宋" w:hAnsi="仿宋" w:eastAsia="仿宋" w:cs="仿宋"/>
          <w:color w:val="000000" w:themeColor="text1"/>
          <w:shd w:val="clear" w:color="auto" w:fill="FFFFFF"/>
          <w14:textFill>
            <w14:solidFill>
              <w14:schemeClr w14:val="tx1"/>
            </w14:solidFill>
          </w14:textFill>
        </w:rPr>
        <w:t>1.项目名称：</w:t>
      </w:r>
      <w:r>
        <w:rPr>
          <w:rFonts w:hint="eastAsia" w:ascii="仿宋" w:hAnsi="仿宋" w:eastAsia="仿宋" w:cs="仿宋"/>
          <w:color w:val="000000" w:themeColor="text1"/>
          <w:shd w:val="clear" w:color="auto" w:fill="FFFFFF"/>
          <w:lang w:eastAsia="zh-CN"/>
          <w14:textFill>
            <w14:solidFill>
              <w14:schemeClr w14:val="tx1"/>
            </w14:solidFill>
          </w14:textFill>
        </w:rPr>
        <w:t>主校区学生公寓走廊及卫生间吊顶板采购（三次）</w:t>
      </w:r>
      <w:r>
        <w:rPr>
          <w:rFonts w:hint="eastAsia" w:ascii="仿宋" w:hAnsi="仿宋" w:eastAsia="仿宋" w:cs="仿宋"/>
          <w:color w:val="000000" w:themeColor="text1"/>
          <w:shd w:val="clear" w:color="auto" w:fill="FFFFFF"/>
          <w:lang w:val="en-US" w:eastAsia="zh-CN"/>
          <w14:textFill>
            <w14:solidFill>
              <w14:schemeClr w14:val="tx1"/>
            </w14:solidFill>
          </w14:textFill>
        </w:rPr>
        <w:t xml:space="preserve">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jc w:val="both"/>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hd w:val="clear" w:color="auto" w:fill="FFFFFF"/>
          <w14:textFill>
            <w14:solidFill>
              <w14:schemeClr w14:val="tx1"/>
            </w14:solidFill>
          </w14:textFill>
        </w:rPr>
        <w:t>2.项目编号：</w:t>
      </w:r>
      <w:r>
        <w:rPr>
          <w:rFonts w:hint="eastAsia" w:ascii="仿宋" w:hAnsi="仿宋" w:eastAsia="仿宋" w:cs="仿宋"/>
          <w:color w:val="000000" w:themeColor="text1"/>
          <w:shd w:val="clear" w:color="auto" w:fill="FFFFFF"/>
          <w:lang w:val="en-US" w:eastAsia="zh-CN"/>
          <w14:textFill>
            <w14:solidFill>
              <w14:schemeClr w14:val="tx1"/>
            </w14:solidFill>
          </w14:textFill>
        </w:rPr>
        <w:t xml:space="preserve">WHZCTP2023011-2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3.采购内容及要求：</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《采购标的一览表》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ind w:firstLine="6240" w:firstLineChars="26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金额单位：人民币元 </w:t>
      </w:r>
    </w:p>
    <w:tbl>
      <w:tblPr>
        <w:tblStyle w:val="20"/>
        <w:tblW w:w="542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45"/>
        <w:gridCol w:w="587"/>
        <w:gridCol w:w="2219"/>
        <w:gridCol w:w="587"/>
        <w:gridCol w:w="643"/>
        <w:gridCol w:w="1225"/>
        <w:gridCol w:w="1249"/>
        <w:gridCol w:w="755"/>
        <w:gridCol w:w="13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4" w:hRule="atLeast"/>
          <w:tblHeader/>
          <w:jc w:val="center"/>
        </w:trPr>
        <w:tc>
          <w:tcPr>
            <w:tcW w:w="347"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合同包</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品目号</w:t>
            </w:r>
          </w:p>
        </w:tc>
        <w:tc>
          <w:tcPr>
            <w:tcW w:w="119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采购标的</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允许进口</w:t>
            </w:r>
          </w:p>
        </w:tc>
        <w:tc>
          <w:tcPr>
            <w:tcW w:w="34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数量</w:t>
            </w:r>
          </w:p>
        </w:tc>
        <w:tc>
          <w:tcPr>
            <w:tcW w:w="659"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val="0"/>
                <w:color w:val="000000" w:themeColor="text1"/>
                <w:kern w:val="0"/>
                <w:sz w:val="21"/>
                <w:szCs w:val="21"/>
                <w14:textFill>
                  <w14:solidFill>
                    <w14:schemeClr w14:val="tx1"/>
                  </w14:solidFill>
                </w14:textFill>
              </w:rPr>
            </w:pPr>
            <w:r>
              <w:rPr>
                <w:rFonts w:ascii="仿宋" w:hAnsi="仿宋" w:eastAsia="仿宋" w:cs="宋体"/>
                <w:b/>
                <w:bCs w:val="0"/>
                <w:color w:val="000000" w:themeColor="text1"/>
                <w:kern w:val="0"/>
                <w:sz w:val="21"/>
                <w:szCs w:val="21"/>
                <w14:textFill>
                  <w14:solidFill>
                    <w14:schemeClr w14:val="tx1"/>
                  </w14:solidFill>
                </w14:textFill>
              </w:rPr>
              <w:t>品目号预算</w:t>
            </w:r>
          </w:p>
        </w:tc>
        <w:tc>
          <w:tcPr>
            <w:tcW w:w="672"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val="0"/>
                <w:color w:val="000000" w:themeColor="text1"/>
                <w:kern w:val="0"/>
                <w:sz w:val="21"/>
                <w:szCs w:val="21"/>
                <w14:textFill>
                  <w14:solidFill>
                    <w14:schemeClr w14:val="tx1"/>
                  </w14:solidFill>
                </w14:textFill>
              </w:rPr>
            </w:pPr>
            <w:r>
              <w:rPr>
                <w:rFonts w:ascii="仿宋" w:hAnsi="仿宋" w:eastAsia="仿宋" w:cs="宋体"/>
                <w:b/>
                <w:bCs w:val="0"/>
                <w:color w:val="000000" w:themeColor="text1"/>
                <w:kern w:val="0"/>
                <w:sz w:val="21"/>
                <w:szCs w:val="21"/>
                <w14:textFill>
                  <w14:solidFill>
                    <w14:schemeClr w14:val="tx1"/>
                  </w14:solidFill>
                </w14:textFill>
              </w:rPr>
              <w:t>合同包预算</w:t>
            </w:r>
          </w:p>
        </w:tc>
        <w:tc>
          <w:tcPr>
            <w:tcW w:w="40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谈判保证金</w:t>
            </w:r>
          </w:p>
        </w:tc>
        <w:tc>
          <w:tcPr>
            <w:tcW w:w="740"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cs="宋体"/>
                <w:b/>
                <w:color w:val="000000" w:themeColor="text1"/>
                <w:kern w:val="0"/>
                <w:sz w:val="21"/>
                <w:szCs w:val="21"/>
                <w14:textFill>
                  <w14:solidFill>
                    <w14:schemeClr w14:val="tx1"/>
                  </w14:solidFill>
                </w14:textFill>
              </w:rPr>
              <w:t>中小企业划分标准所属行业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347"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1</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w:t>
            </w:r>
          </w:p>
        </w:tc>
        <w:tc>
          <w:tcPr>
            <w:tcW w:w="119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themeColor="text1"/>
                <w:kern w:val="0"/>
                <w:sz w:val="24"/>
                <w:szCs w:val="24"/>
                <w:lang w:eastAsia="zh-CN"/>
                <w14:textFill>
                  <w14:solidFill>
                    <w14:schemeClr w14:val="tx1"/>
                  </w14:solidFill>
                </w14:textFill>
              </w:rPr>
            </w:pPr>
            <w:r>
              <w:rPr>
                <w:rFonts w:hint="eastAsia" w:ascii="仿宋" w:hAnsi="仿宋" w:eastAsia="仿宋" w:cs="宋体"/>
                <w:color w:val="000000" w:themeColor="text1"/>
                <w:kern w:val="0"/>
                <w:sz w:val="24"/>
                <w:szCs w:val="24"/>
                <w:lang w:eastAsia="zh-CN"/>
                <w14:textFill>
                  <w14:solidFill>
                    <w14:schemeClr w14:val="tx1"/>
                  </w14:solidFill>
                </w14:textFill>
              </w:rPr>
              <w:t>主校区学生公寓走廊及卫生间吊顶板采购（三次）</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否</w:t>
            </w:r>
          </w:p>
        </w:tc>
        <w:tc>
          <w:tcPr>
            <w:tcW w:w="34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1项</w:t>
            </w:r>
          </w:p>
        </w:tc>
        <w:tc>
          <w:tcPr>
            <w:tcW w:w="659"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250000.00</w:t>
            </w:r>
          </w:p>
        </w:tc>
        <w:tc>
          <w:tcPr>
            <w:tcW w:w="672"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250000.00</w:t>
            </w:r>
          </w:p>
        </w:tc>
        <w:tc>
          <w:tcPr>
            <w:tcW w:w="406"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w:t>
            </w:r>
          </w:p>
        </w:tc>
        <w:tc>
          <w:tcPr>
            <w:tcW w:w="740"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零售业</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4.采购项目需要落实的政府采购政策：节能产品和环境标志产品，适用于（合同包1），按照《关于调整优化节能产品、环境标志产品政府采购执行机制的通知》(财库〔2019〕9号) 执行</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小型、微型企业，适用于合同包1。监狱企业，适用于合同包1。促进残疾人就业，适用于合同包1。信用记录，适用于合同包1，按照下列规定执行：</w:t>
      </w:r>
      <w:r>
        <w:rPr>
          <w:rFonts w:hint="eastAsia" w:ascii="仿宋" w:hAnsi="仿宋" w:eastAsia="仿宋" w:cs="仿宋"/>
          <w:color w:val="000000" w:themeColor="text1"/>
          <w:kern w:val="0"/>
          <w:sz w:val="24"/>
          <w:lang w:eastAsia="zh-CN"/>
          <w14:textFill>
            <w14:solidFill>
              <w14:schemeClr w14:val="tx1"/>
            </w14:solidFill>
          </w14:textFill>
        </w:rPr>
        <w:t>供应商</w:t>
      </w:r>
      <w:r>
        <w:rPr>
          <w:rFonts w:hint="eastAsia" w:ascii="仿宋" w:hAnsi="仿宋" w:eastAsia="仿宋" w:cs="仿宋"/>
          <w:color w:val="000000" w:themeColor="text1"/>
          <w:kern w:val="0"/>
          <w:sz w:val="24"/>
          <w14:textFill>
            <w14:solidFill>
              <w14:schemeClr w14:val="tx1"/>
            </w14:solidFill>
          </w14:textFill>
        </w:rPr>
        <w:t>不得被列入财政部政府采购严重违法失信行为记录名单，不得被人民法院列入生效的失信被执行人名单,不得被税务机关列入重大税收违法案件当事人名单。</w:t>
      </w: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应在</w:t>
      </w:r>
      <w:r>
        <w:rPr>
          <w:rFonts w:hint="eastAsia" w:ascii="仿宋" w:hAnsi="仿宋" w:eastAsia="仿宋" w:cs="仿宋"/>
          <w:color w:val="000000" w:themeColor="text1"/>
          <w:kern w:val="0"/>
          <w:sz w:val="24"/>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文件要求的截止时点前分别通过“信用中国”网站（www.creditchina.gov.cn）、中国政府采购网（www.ccgp.gov.cn）查询并打印相应的信用记录（以下简称：“</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提供的查询结果”），</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提供的查询结果应为其通过上述网站获取的信用信息查询结果原始页面的打印件（或截图）。（2）查询结果的审查：①由</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小组通过上述网站查询并打印</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信用记录（以下简称：“</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小组的查询结果”）。②</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提供的查询结果与</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小组的查询结果不一致的，以</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小组的查询结果为准。③因上述网站原因导致</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小组无法查询</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信用记录的（</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小组应将通过上述网站查询</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信用记录时的原始页面打印后随</w:t>
      </w:r>
      <w:r>
        <w:rPr>
          <w:rFonts w:hint="eastAsia" w:ascii="仿宋" w:hAnsi="仿宋" w:eastAsia="仿宋" w:cs="仿宋"/>
          <w:color w:val="000000" w:themeColor="text1"/>
          <w:kern w:val="0"/>
          <w:sz w:val="24"/>
          <w:lang w:eastAsia="zh-CN"/>
          <w14:textFill>
            <w14:solidFill>
              <w14:schemeClr w14:val="tx1"/>
            </w14:solidFill>
          </w14:textFill>
        </w:rPr>
        <w:t>采购</w:t>
      </w:r>
      <w:r>
        <w:rPr>
          <w:rFonts w:hint="eastAsia" w:ascii="仿宋" w:hAnsi="仿宋" w:eastAsia="仿宋" w:cs="仿宋"/>
          <w:color w:val="000000" w:themeColor="text1"/>
          <w:kern w:val="0"/>
          <w:sz w:val="24"/>
          <w14:textFill>
            <w14:solidFill>
              <w14:schemeClr w14:val="tx1"/>
            </w14:solidFill>
          </w14:textFill>
        </w:rPr>
        <w:t>文件</w:t>
      </w:r>
      <w:r>
        <w:rPr>
          <w:rFonts w:ascii="仿宋" w:hAnsi="仿宋" w:eastAsia="仿宋" w:cs="仿宋"/>
          <w:color w:val="000000" w:themeColor="text1"/>
          <w:kern w:val="0"/>
          <w:sz w:val="24"/>
          <w14:textFill>
            <w14:solidFill>
              <w14:schemeClr w14:val="tx1"/>
            </w14:solidFill>
          </w14:textFill>
        </w:rPr>
        <w:t>一并存档），以</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提供的查询结果为准。④查询结果存在</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应被拒绝参与政府采购活动相关信息的，其资格审查不合格。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r>
        <w:rPr>
          <w:rFonts w:hint="eastAsia" w:ascii="仿宋" w:hAnsi="仿宋" w:eastAsia="仿宋" w:cs="仿宋"/>
          <w:b/>
          <w:color w:val="000000" w:themeColor="text1"/>
          <w:kern w:val="0"/>
          <w:sz w:val="24"/>
          <w14:textFill>
            <w14:solidFill>
              <w14:schemeClr w14:val="tx1"/>
            </w14:solidFill>
          </w14:textFill>
        </w:rPr>
        <w:t>供应商的资格要求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5.1法定条件：符合《中华人民共和国政府采购法》第二十二条第一款规定的条件。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5.2特定条件：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包：1</w:t>
      </w:r>
    </w:p>
    <w:tbl>
      <w:tblPr>
        <w:tblStyle w:val="2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3"/>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3" w:type="dxa"/>
          </w:tcPr>
          <w:p>
            <w:pPr>
              <w:pStyle w:val="17"/>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明细</w:t>
            </w:r>
          </w:p>
        </w:tc>
        <w:tc>
          <w:tcPr>
            <w:tcW w:w="4956" w:type="dxa"/>
          </w:tcPr>
          <w:p>
            <w:pPr>
              <w:pStyle w:val="17"/>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3" w:type="dxa"/>
            <w:vAlign w:val="center"/>
          </w:tcPr>
          <w:p>
            <w:pPr>
              <w:widowControl/>
              <w:jc w:val="both"/>
              <w:rPr>
                <w:rFonts w:ascii="仿宋" w:hAnsi="仿宋" w:eastAsia="仿宋" w:cs="仿宋"/>
                <w:b w:val="0"/>
                <w:bCs/>
                <w:color w:val="000000" w:themeColor="text1"/>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落实政府采购政策的证明材料（专门面向中小企业采购）</w:t>
            </w:r>
          </w:p>
        </w:tc>
        <w:tc>
          <w:tcPr>
            <w:tcW w:w="4956" w:type="dxa"/>
            <w:vAlign w:val="center"/>
          </w:tcPr>
          <w:p>
            <w:pPr>
              <w:widowControl/>
              <w:ind w:right="-101" w:rightChars="-48"/>
              <w:jc w:val="both"/>
              <w:rPr>
                <w:rFonts w:ascii="仿宋" w:hAnsi="仿宋" w:eastAsia="仿宋" w:cs="仿宋"/>
                <w:b w:val="0"/>
                <w:bCs/>
                <w:color w:val="000000" w:themeColor="text1"/>
                <w14:textFill>
                  <w14:solidFill>
                    <w14:schemeClr w14:val="tx1"/>
                  </w14:solidFill>
                </w14:textFill>
              </w:rPr>
            </w:pPr>
            <w:r>
              <w:rPr>
                <w:rFonts w:ascii="仿宋" w:hAnsi="仿宋" w:eastAsia="仿宋" w:cs="仿宋"/>
                <w:b w:val="0"/>
                <w:bCs/>
                <w:color w:val="000000" w:themeColor="text1"/>
                <w:sz w:val="24"/>
                <w:szCs w:val="24"/>
                <w14:textFill>
                  <w14:solidFill>
                    <w14:schemeClr w14:val="tx1"/>
                  </w14:solidFill>
                </w14:textFill>
              </w:rPr>
              <w:t>本采购包为专门面向中小企业采购，投标人须提供中小企业声明函。监狱企业、残疾人福利性单位视同小型、微型企业。</w:t>
            </w:r>
          </w:p>
        </w:tc>
      </w:tr>
    </w:tbl>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5.3是否接受联合体形式的响应谈判：不接受</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※根据上述资格要求，供应商响应文件中应提交的“资格证明文件”相关规定和资料要求，详见竞争性谈判须知前附表和谈判文件第五章。</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6.供应商报名期限：</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02</w:t>
      </w:r>
      <w:r>
        <w:rPr>
          <w:rFonts w:hint="eastAsia" w:ascii="仿宋" w:hAnsi="仿宋" w:eastAsia="仿宋" w:cs="仿宋"/>
          <w:color w:val="000000" w:themeColor="text1"/>
          <w:kern w:val="0"/>
          <w:sz w:val="24"/>
          <w14:textFill>
            <w14:solidFill>
              <w14:schemeClr w14:val="tx1"/>
            </w14:solidFill>
          </w14:textFill>
        </w:rPr>
        <w:t>日至</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07</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color w:val="000000" w:themeColor="text1"/>
          <w:kern w:val="0"/>
          <w:sz w:val="24"/>
          <w14:textFill>
            <w14:solidFill>
              <w14:schemeClr w14:val="tx1"/>
            </w14:solidFill>
          </w14:textFill>
        </w:rPr>
        <w:t>止。欲接受邀请参加谈判的供应商请在上述期限内的工作时间（北京时间）每天上午8:30—12:00时，下午14:30—17:30时。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6.1如果采购过程中有发出更正公告，采购人将根据实际情况确定是否延长报名期限，则报名截止时间以更正公告中的约定为准。</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7.获取采购文件时间、地点、方式：</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7.1采购文件的提供期限：</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02</w:t>
      </w:r>
      <w:r>
        <w:rPr>
          <w:rFonts w:hint="eastAsia" w:ascii="仿宋" w:hAnsi="仿宋" w:eastAsia="仿宋" w:cs="仿宋"/>
          <w:color w:val="000000" w:themeColor="text1"/>
          <w:kern w:val="0"/>
          <w:sz w:val="24"/>
          <w14:textFill>
            <w14:solidFill>
              <w14:schemeClr w14:val="tx1"/>
            </w14:solidFill>
          </w14:textFill>
        </w:rPr>
        <w:t>日至</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07</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color w:val="000000" w:themeColor="text1"/>
          <w:kern w:val="0"/>
          <w:sz w:val="24"/>
          <w14:textFill>
            <w14:solidFill>
              <w14:schemeClr w14:val="tx1"/>
            </w14:solidFill>
          </w14:textFill>
        </w:rPr>
        <w:t>止。欲接受邀请参加谈判的供应商请在上述期限内的工作时间（北京时间）每天上午8:30—12:00时，下午14:30—17:30时。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7.2获取采购文件地点及方式：到福建省维恒项目管理有限公司（</w:t>
      </w:r>
      <w:r>
        <w:rPr>
          <w:rFonts w:hint="eastAsia" w:ascii="仿宋" w:hAnsi="仿宋" w:eastAsia="仿宋" w:cs="仿宋"/>
          <w:color w:val="000000" w:themeColor="text1"/>
          <w:kern w:val="0"/>
          <w:sz w:val="24"/>
          <w:lang w:eastAsia="zh-CN"/>
          <w14:textFill>
            <w14:solidFill>
              <w14:schemeClr w14:val="tx1"/>
            </w14:solidFill>
          </w14:textFill>
        </w:rPr>
        <w:t>福建省泉州市丰泽区城东街道前头社区安吉南路970号星光耀广场18幢2726室</w:t>
      </w:r>
      <w:r>
        <w:rPr>
          <w:rFonts w:hint="eastAsia" w:ascii="仿宋" w:hAnsi="仿宋" w:eastAsia="仿宋" w:cs="仿宋"/>
          <w:color w:val="000000" w:themeColor="text1"/>
          <w:kern w:val="0"/>
          <w:sz w:val="24"/>
          <w14:textFill>
            <w14:solidFill>
              <w14:schemeClr w14:val="tx1"/>
            </w14:solidFill>
          </w14:textFill>
        </w:rPr>
        <w:t>）现场购买或通过QQ邮箱（</w:t>
      </w:r>
      <w:r>
        <w:rPr>
          <w:rFonts w:hint="eastAsia" w:ascii="仿宋" w:hAnsi="仿宋" w:eastAsia="仿宋" w:cs="仿宋"/>
          <w:color w:val="000000" w:themeColor="text1"/>
          <w:kern w:val="0"/>
          <w:sz w:val="24"/>
          <w:lang w:val="en-US" w:eastAsia="zh-CN"/>
          <w14:textFill>
            <w14:solidFill>
              <w14:schemeClr w14:val="tx1"/>
            </w14:solidFill>
          </w14:textFill>
        </w:rPr>
        <w:t>2843255830</w:t>
      </w:r>
      <w:r>
        <w:rPr>
          <w:rFonts w:hint="eastAsia" w:ascii="仿宋" w:hAnsi="仿宋" w:eastAsia="仿宋" w:cs="仿宋"/>
          <w:color w:val="000000" w:themeColor="text1"/>
          <w:kern w:val="0"/>
          <w:sz w:val="24"/>
          <w14:textFill>
            <w14:solidFill>
              <w14:schemeClr w14:val="tx1"/>
            </w14:solidFill>
          </w14:textFill>
        </w:rPr>
        <w:t>@qq.com）报名方式获取采购文件。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8.采购文件售价：300元，如需邮寄另加50元，售后不退。没有按约定购买采购文件的供应商，谈判将被拒绝。   </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9.响应文件递交截止时间及地点：</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9.1响应文件递交截止时间：</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color w:val="000000" w:themeColor="text1"/>
          <w:kern w:val="0"/>
          <w:sz w:val="24"/>
          <w:u w:val="single"/>
          <w:lang w:val="en-US" w:eastAsia="zh-CN"/>
          <w14:textFill>
            <w14:solidFill>
              <w14:schemeClr w14:val="tx1"/>
            </w14:solidFill>
          </w14:textFill>
        </w:rPr>
        <w:t>15</w:t>
      </w:r>
      <w:r>
        <w:rPr>
          <w:rFonts w:hint="eastAsia" w:ascii="仿宋" w:hAnsi="仿宋" w:eastAsia="仿宋" w:cs="仿宋"/>
          <w:color w:val="000000" w:themeColor="text1"/>
          <w:kern w:val="0"/>
          <w:sz w:val="24"/>
          <w14:textFill>
            <w14:solidFill>
              <w14:schemeClr w14:val="tx1"/>
            </w14:solidFill>
          </w14:textFill>
        </w:rPr>
        <w:t>时</w:t>
      </w:r>
      <w:r>
        <w:rPr>
          <w:rFonts w:hint="eastAsia" w:ascii="仿宋" w:hAnsi="仿宋" w:eastAsia="仿宋" w:cs="仿宋"/>
          <w:color w:val="000000" w:themeColor="text1"/>
          <w:kern w:val="0"/>
          <w:sz w:val="24"/>
          <w:u w:val="single"/>
          <w:lang w:val="en-US" w:eastAsia="zh-CN"/>
          <w14:textFill>
            <w14:solidFill>
              <w14:schemeClr w14:val="tx1"/>
            </w14:solidFill>
          </w14:textFill>
        </w:rPr>
        <w:t>30</w:t>
      </w:r>
      <w:r>
        <w:rPr>
          <w:rFonts w:hint="eastAsia" w:ascii="仿宋" w:hAnsi="仿宋" w:eastAsia="仿宋" w:cs="仿宋"/>
          <w:color w:val="000000" w:themeColor="text1"/>
          <w:kern w:val="0"/>
          <w:sz w:val="24"/>
          <w14:textFill>
            <w14:solidFill>
              <w14:schemeClr w14:val="tx1"/>
            </w14:solidFill>
          </w14:textFill>
        </w:rPr>
        <w:t>分</w:t>
      </w:r>
      <w:r>
        <w:rPr>
          <w:rFonts w:hint="eastAsia" w:ascii="仿宋" w:hAnsi="仿宋" w:eastAsia="仿宋" w:cs="仿宋"/>
          <w:color w:val="000000" w:themeColor="text1"/>
          <w:kern w:val="0"/>
          <w:sz w:val="24"/>
          <w14:textFill>
            <w14:solidFill>
              <w14:schemeClr w14:val="tx1"/>
            </w14:solidFill>
          </w14:textFill>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9.2响应文件递交地点：福建省维恒项目管理有限公司开标大厅（地址：</w:t>
      </w:r>
      <w:r>
        <w:rPr>
          <w:rFonts w:hint="eastAsia" w:ascii="仿宋" w:hAnsi="仿宋" w:eastAsia="仿宋" w:cs="仿宋"/>
          <w:color w:val="000000" w:themeColor="text1"/>
          <w:kern w:val="0"/>
          <w:sz w:val="24"/>
          <w:lang w:eastAsia="zh-CN"/>
          <w14:textFill>
            <w14:solidFill>
              <w14:schemeClr w14:val="tx1"/>
            </w14:solidFill>
          </w14:textFill>
        </w:rPr>
        <w:t>福建省泉州市丰泽区城东街道前头社区安吉南路970号星光耀广场18幢2726室</w:t>
      </w:r>
      <w:r>
        <w:rPr>
          <w:rFonts w:hint="eastAsia" w:ascii="仿宋" w:hAnsi="仿宋" w:eastAsia="仿宋" w:cs="仿宋"/>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9.3供应商应在此之前将密封的首次响应文件送达本章第9条载明的地点，逾期送达的或不符合规定的响应文件将被拒绝接收。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10.谈判时间及地点：</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10.1谈判时间：</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color w:val="000000" w:themeColor="text1"/>
          <w:kern w:val="0"/>
          <w:sz w:val="24"/>
          <w:u w:val="single"/>
          <w:lang w:val="en-US" w:eastAsia="zh-CN"/>
          <w14:textFill>
            <w14:solidFill>
              <w14:schemeClr w14:val="tx1"/>
            </w14:solidFill>
          </w14:textFill>
        </w:rPr>
        <w:t>15</w:t>
      </w:r>
      <w:r>
        <w:rPr>
          <w:rFonts w:hint="eastAsia" w:ascii="仿宋" w:hAnsi="仿宋" w:eastAsia="仿宋" w:cs="仿宋"/>
          <w:color w:val="000000" w:themeColor="text1"/>
          <w:kern w:val="0"/>
          <w:sz w:val="24"/>
          <w14:textFill>
            <w14:solidFill>
              <w14:schemeClr w14:val="tx1"/>
            </w14:solidFill>
          </w14:textFill>
        </w:rPr>
        <w:t>时</w:t>
      </w:r>
      <w:r>
        <w:rPr>
          <w:rFonts w:hint="eastAsia" w:ascii="仿宋" w:hAnsi="仿宋" w:eastAsia="仿宋" w:cs="仿宋"/>
          <w:color w:val="000000" w:themeColor="text1"/>
          <w:kern w:val="0"/>
          <w:sz w:val="24"/>
          <w:u w:val="single"/>
          <w:lang w:val="en-US" w:eastAsia="zh-CN"/>
          <w14:textFill>
            <w14:solidFill>
              <w14:schemeClr w14:val="tx1"/>
            </w14:solidFill>
          </w14:textFill>
        </w:rPr>
        <w:t>30</w:t>
      </w:r>
      <w:r>
        <w:rPr>
          <w:rFonts w:hint="eastAsia" w:ascii="仿宋" w:hAnsi="仿宋" w:eastAsia="仿宋" w:cs="仿宋"/>
          <w:color w:val="000000" w:themeColor="text1"/>
          <w:kern w:val="0"/>
          <w:sz w:val="24"/>
          <w14:textFill>
            <w14:solidFill>
              <w14:schemeClr w14:val="tx1"/>
            </w14:solidFill>
          </w14:textFill>
        </w:rPr>
        <w:t>分</w:t>
      </w:r>
      <w:r>
        <w:rPr>
          <w:rFonts w:hint="eastAsia" w:ascii="仿宋" w:hAnsi="仿宋" w:eastAsia="仿宋" w:cs="仿宋"/>
          <w:color w:val="000000" w:themeColor="text1"/>
          <w:kern w:val="0"/>
          <w:sz w:val="24"/>
          <w14:textFill>
            <w14:solidFill>
              <w14:schemeClr w14:val="tx1"/>
            </w14:solidFill>
          </w14:textFill>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10.2谈判地点：福建省维恒项目管理有限公司开标大厅（地址：</w:t>
      </w:r>
      <w:r>
        <w:rPr>
          <w:rFonts w:hint="eastAsia" w:ascii="仿宋" w:hAnsi="仿宋" w:eastAsia="仿宋" w:cs="仿宋"/>
          <w:color w:val="000000" w:themeColor="text1"/>
          <w:kern w:val="0"/>
          <w:sz w:val="24"/>
          <w:lang w:eastAsia="zh-CN"/>
          <w14:textFill>
            <w14:solidFill>
              <w14:schemeClr w14:val="tx1"/>
            </w14:solidFill>
          </w14:textFill>
        </w:rPr>
        <w:t>福建省泉州市丰泽区城东街道前头社区安吉南路970号星光耀广场18幢2726室</w:t>
      </w:r>
      <w:r>
        <w:rPr>
          <w:rFonts w:hint="eastAsia" w:ascii="仿宋" w:hAnsi="仿宋" w:eastAsia="仿宋" w:cs="仿宋"/>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11.竞争性谈判公告期限：自政府采购信息发布媒体公告之日起3个工作日。</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12.采购人：</w:t>
      </w:r>
      <w:r>
        <w:rPr>
          <w:rFonts w:hint="eastAsia" w:ascii="仿宋" w:hAnsi="仿宋" w:eastAsia="仿宋" w:cs="仿宋"/>
          <w:color w:val="000000" w:themeColor="text1"/>
          <w:kern w:val="0"/>
          <w:sz w:val="24"/>
          <w:lang w:eastAsia="zh-CN"/>
          <w14:textFill>
            <w14:solidFill>
              <w14:schemeClr w14:val="tx1"/>
            </w14:solidFill>
          </w14:textFill>
        </w:rPr>
        <w:t>泉州师范学院</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址：</w:t>
      </w:r>
      <w:r>
        <w:rPr>
          <w:rFonts w:hint="eastAsia" w:ascii="仿宋" w:hAnsi="仿宋" w:eastAsia="仿宋" w:cs="仿宋"/>
          <w:color w:val="000000" w:themeColor="text1"/>
          <w:kern w:val="0"/>
          <w:sz w:val="24"/>
          <w:lang w:eastAsia="zh-CN"/>
          <w14:textFill>
            <w14:solidFill>
              <w14:schemeClr w14:val="tx1"/>
            </w14:solidFill>
          </w14:textFill>
        </w:rPr>
        <w:t>泉州市丰泽区东海大街398号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Helvetica"/>
          <w:color w:val="000000" w:themeColor="text1"/>
          <w:kern w:val="0"/>
          <w:sz w:val="24"/>
          <w:lang w:eastAsia="zh-CN"/>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s="仿宋"/>
          <w:color w:val="000000" w:themeColor="text1"/>
          <w:kern w:val="0"/>
          <w:sz w:val="24"/>
          <w:lang w:val="en-US" w:eastAsia="zh-CN"/>
          <w14:textFill>
            <w14:solidFill>
              <w14:schemeClr w14:val="tx1"/>
            </w14:solidFill>
          </w14:textFill>
        </w:rPr>
        <w:t xml:space="preserve">杨老师  </w:t>
      </w: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ascii="仿宋" w:hAnsi="仿宋" w:eastAsia="仿宋" w:cs="仿宋"/>
          <w:color w:val="000000" w:themeColor="text1"/>
          <w:kern w:val="0"/>
          <w:sz w:val="24"/>
          <w14:textFill>
            <w14:solidFill>
              <w14:schemeClr w14:val="tx1"/>
            </w14:solidFill>
          </w14:textFill>
        </w:rPr>
        <w:t>联系方法：</w:t>
      </w:r>
      <w:r>
        <w:rPr>
          <w:rFonts w:hint="eastAsia" w:ascii="仿宋" w:hAnsi="仿宋" w:eastAsia="仿宋" w:cs="仿宋"/>
          <w:color w:val="000000" w:themeColor="text1"/>
          <w:kern w:val="0"/>
          <w:sz w:val="24"/>
          <w:lang w:val="en-US" w:eastAsia="zh-CN"/>
          <w14:textFill>
            <w14:solidFill>
              <w14:schemeClr w14:val="tx1"/>
            </w14:solidFill>
          </w14:textFill>
        </w:rPr>
        <w:t xml:space="preserve">18959798163 </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13.代理机构：福建省维恒项目管理有限公司</w:t>
      </w:r>
    </w:p>
    <w:p>
      <w:pPr>
        <w:keepNext w:val="0"/>
        <w:keepLines w:val="0"/>
        <w:pageBreakBefore w:val="0"/>
        <w:kinsoku/>
        <w:wordWrap/>
        <w:overflowPunct/>
        <w:topLinePunct w:val="0"/>
        <w:autoSpaceDE/>
        <w:autoSpaceDN/>
        <w:bidi w:val="0"/>
        <w:adjustRightInd/>
        <w:snapToGrid/>
        <w:spacing w:line="360" w:lineRule="exact"/>
        <w:ind w:firstLine="600" w:firstLineChars="250"/>
        <w:textAlignment w:val="auto"/>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址：</w:t>
      </w:r>
      <w:r>
        <w:rPr>
          <w:rFonts w:hint="eastAsia" w:ascii="仿宋" w:hAnsi="仿宋" w:eastAsia="仿宋" w:cs="仿宋"/>
          <w:color w:val="000000" w:themeColor="text1"/>
          <w:kern w:val="0"/>
          <w:sz w:val="24"/>
          <w:lang w:eastAsia="zh-CN"/>
          <w14:textFill>
            <w14:solidFill>
              <w14:schemeClr w14:val="tx1"/>
            </w14:solidFill>
          </w14:textFill>
        </w:rPr>
        <w:t>福建省泉州市丰泽区城东街道前头社区安吉南路970号星光耀广场18幢2726室</w:t>
      </w:r>
    </w:p>
    <w:p>
      <w:pPr>
        <w:keepNext w:val="0"/>
        <w:keepLines w:val="0"/>
        <w:pageBreakBefore w:val="0"/>
        <w:kinsoku/>
        <w:wordWrap/>
        <w:overflowPunct/>
        <w:topLinePunct w:val="0"/>
        <w:autoSpaceDE/>
        <w:autoSpaceDN/>
        <w:bidi w:val="0"/>
        <w:adjustRightInd/>
        <w:snapToGrid/>
        <w:spacing w:line="360" w:lineRule="exact"/>
        <w:ind w:firstLine="600" w:firstLineChars="25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s="仿宋"/>
          <w:color w:val="000000" w:themeColor="text1"/>
          <w:kern w:val="0"/>
          <w:sz w:val="24"/>
          <w:lang w:eastAsia="zh-CN"/>
          <w14:textFill>
            <w14:solidFill>
              <w14:schemeClr w14:val="tx1"/>
            </w14:solidFill>
          </w14:textFill>
        </w:rPr>
        <w:t>周永红</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联系方法：0595-28801009</w:t>
      </w:r>
      <w:bookmarkStart w:id="2" w:name="_Toc27330"/>
    </w:p>
    <w:p>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000000" w:themeColor="text1"/>
          <w:kern w:val="0"/>
          <w:sz w:val="24"/>
          <w:lang w:val="en-US" w:eastAsia="zh-CN"/>
          <w14:textFill>
            <w14:solidFill>
              <w14:schemeClr w14:val="tx1"/>
            </w14:solidFill>
          </w14:textFill>
        </w:rPr>
      </w:pPr>
      <w:bookmarkStart w:id="47" w:name="_GoBack"/>
      <w:bookmarkEnd w:id="47"/>
    </w:p>
    <w:p>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2023年08月02日</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ascii="仿宋" w:hAnsi="仿宋" w:eastAsia="仿宋" w:cs="仿宋"/>
          <w:color w:val="000000" w:themeColor="text1"/>
          <w:sz w:val="30"/>
          <w:szCs w:val="30"/>
          <w14:textFill>
            <w14:solidFill>
              <w14:schemeClr w14:val="tx1"/>
            </w14:solidFill>
          </w14:textFill>
        </w:rPr>
      </w:pPr>
      <w:bookmarkStart w:id="3" w:name="_Toc19603"/>
      <w:r>
        <w:rPr>
          <w:rStyle w:val="23"/>
          <w:rFonts w:hint="eastAsia" w:ascii="仿宋" w:hAnsi="仿宋" w:eastAsia="仿宋" w:cs="仿宋"/>
          <w:color w:val="000000" w:themeColor="text1"/>
          <w:sz w:val="30"/>
          <w:szCs w:val="30"/>
          <w14:textFill>
            <w14:solidFill>
              <w14:schemeClr w14:val="tx1"/>
            </w14:solidFill>
          </w14:textFill>
        </w:rPr>
        <w:t>第二章</w:t>
      </w:r>
      <w:r>
        <w:rPr>
          <w:rStyle w:val="23"/>
          <w:rFonts w:hint="eastAsia" w:ascii="仿宋" w:hAnsi="仿宋" w:eastAsia="仿宋" w:cs="仿宋"/>
          <w:color w:val="000000" w:themeColor="text1"/>
          <w:sz w:val="30"/>
          <w:szCs w:val="30"/>
          <w:lang w:val="en-US" w:eastAsia="zh-CN"/>
          <w14:textFill>
            <w14:solidFill>
              <w14:schemeClr w14:val="tx1"/>
            </w14:solidFill>
          </w14:textFill>
        </w:rPr>
        <w:t xml:space="preserve"> </w:t>
      </w:r>
      <w:r>
        <w:rPr>
          <w:rStyle w:val="23"/>
          <w:rFonts w:hint="eastAsia" w:ascii="仿宋" w:hAnsi="仿宋" w:eastAsia="仿宋" w:cs="仿宋"/>
          <w:color w:val="000000" w:themeColor="text1"/>
          <w:sz w:val="30"/>
          <w:szCs w:val="30"/>
          <w14:textFill>
            <w14:solidFill>
              <w14:schemeClr w14:val="tx1"/>
            </w14:solidFill>
          </w14:textFill>
        </w:rPr>
        <w:t>竞争性谈判须知</w:t>
      </w:r>
      <w:bookmarkEnd w:id="2"/>
      <w:bookmarkEnd w:id="3"/>
    </w:p>
    <w:p>
      <w:pPr>
        <w:pStyle w:val="17"/>
        <w:widowControl/>
        <w:spacing w:before="75" w:beforeAutospacing="0" w:after="75" w:afterAutospacing="0"/>
        <w:jc w:val="center"/>
        <w:outlineLvl w:val="0"/>
        <w:rPr>
          <w:rStyle w:val="23"/>
          <w:rFonts w:hint="eastAsia" w:ascii="仿宋" w:hAnsi="仿宋" w:eastAsia="仿宋" w:cs="仿宋"/>
          <w:color w:val="000000" w:themeColor="text1"/>
          <w14:textFill>
            <w14:solidFill>
              <w14:schemeClr w14:val="tx1"/>
            </w14:solidFill>
          </w14:textFill>
        </w:rPr>
      </w:pPr>
      <w:bookmarkStart w:id="4" w:name="_Toc32725"/>
      <w:bookmarkStart w:id="5" w:name="_Toc30981"/>
      <w:r>
        <w:rPr>
          <w:rStyle w:val="23"/>
          <w:rFonts w:hint="eastAsia" w:ascii="仿宋" w:hAnsi="仿宋" w:eastAsia="仿宋" w:cs="仿宋"/>
          <w:color w:val="000000" w:themeColor="text1"/>
          <w14:textFill>
            <w14:solidFill>
              <w14:schemeClr w14:val="tx1"/>
            </w14:solidFill>
          </w14:textFill>
        </w:rPr>
        <w:t>第1节 竞争性谈判须知前附表</w:t>
      </w:r>
      <w:bookmarkEnd w:id="4"/>
      <w:bookmarkEnd w:id="5"/>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482"/>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竞争性谈判须知前附表是对竞争性谈判须知的补充和细化，二者如有矛盾，以前附表中的要求和规定为准。</w:t>
      </w:r>
    </w:p>
    <w:tbl>
      <w:tblPr>
        <w:tblStyle w:val="20"/>
        <w:tblW w:w="9919"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93"/>
        <w:gridCol w:w="1064"/>
        <w:gridCol w:w="81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项号</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条款号</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3.2.1</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供应商的资格要求</w:t>
            </w:r>
            <w:r>
              <w:rPr>
                <w:rFonts w:hint="eastAsia" w:ascii="仿宋" w:hAnsi="仿宋" w:eastAsia="仿宋" w:cs="仿宋"/>
                <w:color w:val="000000" w:themeColor="text1"/>
                <w:sz w:val="22"/>
                <w:szCs w:val="22"/>
                <w14:textFill>
                  <w14:solidFill>
                    <w14:schemeClr w14:val="tx1"/>
                  </w14:solidFill>
                </w14:textFill>
              </w:rPr>
              <w:t>：见谈判文件第一章“采购公告/采购邀请书”</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资格证明文件资料要求：</w:t>
            </w:r>
          </w:p>
          <w:tbl>
            <w:tblPr>
              <w:tblStyle w:val="20"/>
              <w:tblW w:w="7966" w:type="dxa"/>
              <w:tblInd w:w="-5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1"/>
              <w:gridCol w:w="1549"/>
              <w:gridCol w:w="57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000000" w:themeColor="text1"/>
                      <w:sz w:val="20"/>
                      <w:szCs w:val="22"/>
                      <w14:textFill>
                        <w14:solidFill>
                          <w14:schemeClr w14:val="tx1"/>
                        </w14:solidFill>
                      </w14:textFill>
                    </w:rPr>
                  </w:pPr>
                  <w:r>
                    <w:rPr>
                      <w:rFonts w:hint="eastAsia" w:ascii="仿宋" w:hAnsi="仿宋" w:eastAsia="仿宋" w:cs="仿宋"/>
                      <w:b/>
                      <w:bCs/>
                      <w:color w:val="000000" w:themeColor="text1"/>
                      <w:sz w:val="20"/>
                      <w:szCs w:val="22"/>
                      <w:lang w:val="en-US" w:eastAsia="zh-CN"/>
                      <w14:textFill>
                        <w14:solidFill>
                          <w14:schemeClr w14:val="tx1"/>
                        </w14:solidFill>
                      </w14:textFill>
                    </w:rPr>
                    <w:t>序号</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000000" w:themeColor="text1"/>
                      <w:sz w:val="20"/>
                      <w:szCs w:val="22"/>
                      <w14:textFill>
                        <w14:solidFill>
                          <w14:schemeClr w14:val="tx1"/>
                        </w14:solidFill>
                      </w14:textFill>
                    </w:rPr>
                  </w:pPr>
                  <w:r>
                    <w:rPr>
                      <w:rFonts w:hint="eastAsia" w:ascii="仿宋" w:hAnsi="仿宋" w:eastAsia="仿宋" w:cs="仿宋"/>
                      <w:b/>
                      <w:bCs/>
                      <w:color w:val="000000" w:themeColor="text1"/>
                      <w:sz w:val="20"/>
                      <w:szCs w:val="22"/>
                      <w:lang w:val="en-US" w:eastAsia="zh-CN"/>
                      <w14:textFill>
                        <w14:solidFill>
                          <w14:schemeClr w14:val="tx1"/>
                        </w14:solidFill>
                      </w14:textFill>
                    </w:rPr>
                    <w:t>资格审查要求概况</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000000" w:themeColor="text1"/>
                      <w:sz w:val="20"/>
                      <w:szCs w:val="22"/>
                      <w14:textFill>
                        <w14:solidFill>
                          <w14:schemeClr w14:val="tx1"/>
                        </w14:solidFill>
                      </w14:textFill>
                    </w:rPr>
                  </w:pPr>
                  <w:r>
                    <w:rPr>
                      <w:rFonts w:hint="eastAsia" w:ascii="仿宋" w:hAnsi="仿宋" w:eastAsia="仿宋" w:cs="仿宋"/>
                      <w:b/>
                      <w:bCs/>
                      <w:color w:val="000000" w:themeColor="text1"/>
                      <w:sz w:val="20"/>
                      <w:szCs w:val="22"/>
                      <w:lang w:val="en-US" w:eastAsia="zh-CN"/>
                      <w14:textFill>
                        <w14:solidFill>
                          <w14:schemeClr w14:val="tx1"/>
                        </w14:solidFill>
                      </w14:textFill>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1</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谈判响应声明</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详见声明函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2</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单位负责人授权书</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3</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营业执照等证明文件</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4</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提供财务状况报告（财务报告、或资信证明）</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5</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依法缴纳税收证明材料</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6</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依法缴纳社会保障资金证明材料</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7</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具备履行合同所必需设备和专业技术能力的声明函(若有)</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8</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参加采购活动前三年内在经营活动中没有重大违法记录的声明</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9</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中小企业声明函（以资格条件落实中小企业扶持政策时适用 ）</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10</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信用记录查询结果</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11</w:t>
                  </w:r>
                </w:p>
              </w:tc>
              <w:tc>
                <w:tcPr>
                  <w:tcW w:w="15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联合体协议（若有）</w:t>
                  </w:r>
                </w:p>
              </w:tc>
              <w:tc>
                <w:tcPr>
                  <w:tcW w:w="5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0"/>
                      <w:szCs w:val="22"/>
                      <w:lang w:val="en-US" w:eastAsia="zh-CN"/>
                      <w14:textFill>
                        <w14:solidFill>
                          <w14:schemeClr w14:val="tx1"/>
                        </w14:solidFill>
                      </w14:textFill>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440" w:firstLineChars="200"/>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特定资格条件：</w:t>
            </w:r>
          </w:p>
          <w:tbl>
            <w:tblPr>
              <w:tblStyle w:val="20"/>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4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49" w:type="dxa"/>
                </w:tcPr>
                <w:p>
                  <w:pPr>
                    <w:pStyle w:val="17"/>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14:textFill>
                        <w14:solidFill>
                          <w14:schemeClr w14:val="tx1"/>
                        </w14:solidFill>
                      </w14:textFill>
                    </w:rPr>
                    <w:t>明细</w:t>
                  </w:r>
                </w:p>
              </w:tc>
              <w:tc>
                <w:tcPr>
                  <w:tcW w:w="4999" w:type="dxa"/>
                </w:tcPr>
                <w:p>
                  <w:pPr>
                    <w:pStyle w:val="17"/>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color w:val="000000" w:themeColor="text1"/>
                      <w:sz w:val="20"/>
                      <w:szCs w:val="20"/>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849" w:type="dxa"/>
                  <w:vAlign w:val="center"/>
                </w:tcPr>
                <w:p>
                  <w:pPr>
                    <w:widowControl/>
                    <w:spacing w:line="240" w:lineRule="auto"/>
                    <w:jc w:val="both"/>
                    <w:rPr>
                      <w:rFonts w:ascii="仿宋" w:hAnsi="仿宋" w:eastAsia="仿宋" w:cs="仿宋"/>
                      <w:b w:val="0"/>
                      <w:bCs/>
                      <w:color w:val="000000" w:themeColor="text1"/>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落实政府采购政策的证明材料（专门面向中小企业采购）</w:t>
                  </w:r>
                </w:p>
              </w:tc>
              <w:tc>
                <w:tcPr>
                  <w:tcW w:w="4999" w:type="dxa"/>
                  <w:vAlign w:val="center"/>
                </w:tcPr>
                <w:p>
                  <w:pPr>
                    <w:widowControl/>
                    <w:spacing w:line="240" w:lineRule="auto"/>
                    <w:ind w:right="-101" w:rightChars="-48"/>
                    <w:jc w:val="both"/>
                    <w:rPr>
                      <w:rFonts w:ascii="仿宋" w:hAnsi="仿宋" w:eastAsia="仿宋" w:cs="仿宋"/>
                      <w:b w:val="0"/>
                      <w:bCs/>
                      <w:color w:val="000000" w:themeColor="text1"/>
                      <w:sz w:val="20"/>
                      <w:szCs w:val="20"/>
                      <w14:textFill>
                        <w14:solidFill>
                          <w14:schemeClr w14:val="tx1"/>
                        </w14:solidFill>
                      </w14:textFill>
                    </w:rPr>
                  </w:pPr>
                  <w:r>
                    <w:rPr>
                      <w:rFonts w:ascii="仿宋" w:hAnsi="仿宋" w:eastAsia="仿宋" w:cs="仿宋"/>
                      <w:b w:val="0"/>
                      <w:bCs/>
                      <w:color w:val="000000" w:themeColor="text1"/>
                      <w:sz w:val="20"/>
                      <w:szCs w:val="20"/>
                      <w14:textFill>
                        <w14:solidFill>
                          <w14:schemeClr w14:val="tx1"/>
                        </w14:solidFill>
                      </w14:textFill>
                    </w:rPr>
                    <w:t>本采购包为专门面向中小企业采购，投标人须提供中小企业声明函。监狱企业、残疾人福利性单位视同小型、微型企业。</w:t>
                  </w:r>
                </w:p>
              </w:tc>
            </w:tr>
          </w:tbl>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color w:val="000000" w:themeColor="text1"/>
                <w:sz w:val="22"/>
                <w:szCs w:val="22"/>
                <w:shd w:val="clear" w:color="auto" w:fill="FFFFFF"/>
                <w14:textFill>
                  <w14:solidFill>
                    <w14:schemeClr w14:val="tx1"/>
                  </w14:solidFill>
                </w14:textFill>
              </w:rPr>
            </w:pPr>
            <w:r>
              <w:rPr>
                <w:rStyle w:val="23"/>
                <w:rFonts w:hint="eastAsia" w:ascii="仿宋" w:hAnsi="仿宋" w:eastAsia="仿宋" w:cs="仿宋"/>
                <w:color w:val="000000" w:themeColor="text1"/>
                <w:sz w:val="22"/>
                <w:szCs w:val="22"/>
                <w:shd w:val="clear" w:color="auto" w:fill="FFFFFF"/>
                <w14:textFill>
                  <w14:solidFill>
                    <w14:schemeClr w14:val="tx1"/>
                  </w14:solidFill>
                </w14:textFill>
              </w:rPr>
              <w:t>包1</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（3）谈判保证金</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※备注说明</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①供应商应根据自身实际情况提供上述资格要求的证明材料，格式可参考谈判文件第五章提供。</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②供应商提供的相应证明材料复印件均应符合：内容完整、清晰、整洁，并由供应商加盖其单位公章。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3.2.2</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是否接受联合体形式的响应谈判：</w:t>
            </w:r>
            <w:r>
              <w:rPr>
                <w:rFonts w:hint="eastAsia" w:ascii="仿宋" w:hAnsi="仿宋" w:eastAsia="仿宋" w:cs="仿宋"/>
                <w:color w:val="000000" w:themeColor="text1"/>
                <w:sz w:val="22"/>
                <w:szCs w:val="22"/>
                <w14:textFill>
                  <w14:solidFill>
                    <w14:schemeClr w14:val="tx1"/>
                  </w14:solidFill>
                </w14:textFill>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9.1</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响应文件有效期：</w:t>
            </w:r>
            <w:r>
              <w:rPr>
                <w:rFonts w:hint="eastAsia" w:ascii="仿宋" w:hAnsi="仿宋" w:eastAsia="仿宋" w:cs="仿宋"/>
                <w:color w:val="000000" w:themeColor="text1"/>
                <w:sz w:val="22"/>
                <w:szCs w:val="22"/>
                <w14:textFill>
                  <w14:solidFill>
                    <w14:schemeClr w14:val="tx1"/>
                  </w14:solidFill>
                </w14:textFill>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4</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10.1</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提交谈判保证金：</w:t>
            </w:r>
            <w:r>
              <w:rPr>
                <w:rStyle w:val="23"/>
                <w:rFonts w:hint="eastAsia" w:ascii="仿宋" w:hAnsi="仿宋" w:eastAsia="仿宋" w:cs="仿宋"/>
                <w:b w:val="0"/>
                <w:color w:val="000000" w:themeColor="text1"/>
                <w:sz w:val="22"/>
                <w:szCs w:val="22"/>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5</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10.3.1</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谈判保证金退还的其它要求：</w:t>
            </w:r>
            <w:r>
              <w:rPr>
                <w:rFonts w:hint="eastAsia" w:ascii="仿宋" w:hAnsi="仿宋" w:eastAsia="仿宋" w:cs="仿宋"/>
                <w:color w:val="000000" w:themeColor="text1"/>
                <w:sz w:val="22"/>
                <w:szCs w:val="22"/>
                <w14:textFill>
                  <w14:solidFill>
                    <w14:schemeClr w14:val="tx1"/>
                  </w14:solidFill>
                </w14:textFill>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6</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11.1</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响应文件的份数</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（1）纸质响应文件 </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220" w:firstLineChars="100"/>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①响应文件正本</w:t>
            </w:r>
            <w:r>
              <w:rPr>
                <w:rFonts w:hint="eastAsia" w:ascii="仿宋" w:hAnsi="仿宋" w:eastAsia="仿宋" w:cs="仿宋"/>
                <w:color w:val="000000" w:themeColor="text1"/>
                <w:sz w:val="22"/>
                <w:szCs w:val="22"/>
                <w:u w:val="single"/>
                <w14:textFill>
                  <w14:solidFill>
                    <w14:schemeClr w14:val="tx1"/>
                  </w14:solidFill>
                </w14:textFill>
              </w:rPr>
              <w:t>1</w:t>
            </w:r>
            <w:r>
              <w:rPr>
                <w:rFonts w:hint="eastAsia" w:ascii="仿宋" w:hAnsi="仿宋" w:eastAsia="仿宋" w:cs="仿宋"/>
                <w:color w:val="000000" w:themeColor="text1"/>
                <w:sz w:val="22"/>
                <w:szCs w:val="22"/>
                <w14:textFill>
                  <w14:solidFill>
                    <w14:schemeClr w14:val="tx1"/>
                  </w14:solidFill>
                </w14:textFill>
              </w:rPr>
              <w:t>份、副本</w:t>
            </w:r>
            <w:r>
              <w:rPr>
                <w:rFonts w:hint="eastAsia" w:ascii="仿宋" w:hAnsi="仿宋" w:eastAsia="仿宋" w:cs="仿宋"/>
                <w:color w:val="000000" w:themeColor="text1"/>
                <w:sz w:val="22"/>
                <w:szCs w:val="22"/>
                <w:u w:val="single"/>
                <w14:textFill>
                  <w14:solidFill>
                    <w14:schemeClr w14:val="tx1"/>
                  </w14:solidFill>
                </w14:textFill>
              </w:rPr>
              <w:t>2</w:t>
            </w:r>
            <w:r>
              <w:rPr>
                <w:rFonts w:hint="eastAsia" w:ascii="仿宋" w:hAnsi="仿宋" w:eastAsia="仿宋" w:cs="仿宋"/>
                <w:color w:val="000000" w:themeColor="text1"/>
                <w:sz w:val="22"/>
                <w:szCs w:val="22"/>
                <w14:textFill>
                  <w14:solidFill>
                    <w14:schemeClr w14:val="tx1"/>
                  </w14:solidFill>
                </w14:textFill>
              </w:rPr>
              <w:t>份。</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220" w:firstLineChars="100"/>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②可读介质（光盘或U盘）</w:t>
            </w:r>
            <w:r>
              <w:rPr>
                <w:rFonts w:hint="eastAsia" w:ascii="仿宋" w:hAnsi="仿宋" w:eastAsia="仿宋" w:cs="仿宋"/>
                <w:color w:val="000000" w:themeColor="text1"/>
                <w:sz w:val="22"/>
                <w:szCs w:val="22"/>
                <w:u w:val="single"/>
                <w14:textFill>
                  <w14:solidFill>
                    <w14:schemeClr w14:val="tx1"/>
                  </w14:solidFill>
                </w14:textFill>
              </w:rPr>
              <w:t>1</w:t>
            </w:r>
            <w:r>
              <w:rPr>
                <w:rFonts w:hint="eastAsia" w:ascii="仿宋" w:hAnsi="仿宋" w:eastAsia="仿宋" w:cs="仿宋"/>
                <w:color w:val="000000" w:themeColor="text1"/>
                <w:sz w:val="22"/>
                <w:szCs w:val="22"/>
                <w14:textFill>
                  <w14:solidFill>
                    <w14:schemeClr w14:val="tx1"/>
                  </w14:solidFill>
                </w14:textFill>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7</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12.1</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b/>
                <w:color w:val="000000" w:themeColor="text1"/>
                <w:sz w:val="22"/>
                <w:szCs w:val="22"/>
                <w14:textFill>
                  <w14:solidFill>
                    <w14:schemeClr w14:val="tx1"/>
                  </w14:solidFill>
                </w14:textFill>
              </w:rPr>
              <w:t>密封及其标记的具体形式：</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r>
              <w:rPr>
                <w:rFonts w:ascii="仿宋" w:hAnsi="仿宋" w:eastAsia="仿宋" w:cs="仿宋"/>
                <w:color w:val="000000" w:themeColor="text1"/>
                <w:sz w:val="20"/>
                <w:szCs w:val="20"/>
                <w14:textFill>
                  <w14:solidFill>
                    <w14:schemeClr w14:val="tx1"/>
                  </w14:solidFill>
                </w14:textFill>
              </w:rPr>
              <w:t>全部投标响应文件（包括正本、副本及可读介质）应胶装成册并密封，否则投标将被拒绝。</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（2）密封的外包装应至少标记“项目名称、招标编号、所投合同包、投标人的全称、（  ）部分”等内容，否则造成投标文件误投、遗漏或提前拆封的，</w:t>
            </w:r>
            <w:r>
              <w:rPr>
                <w:rFonts w:hint="eastAsia" w:ascii="仿宋" w:hAnsi="仿宋" w:eastAsia="仿宋" w:cs="仿宋"/>
                <w:color w:val="000000" w:themeColor="text1"/>
                <w:sz w:val="20"/>
                <w:szCs w:val="20"/>
                <w:u w:val="single"/>
                <w14:textFill>
                  <w14:solidFill>
                    <w14:schemeClr w14:val="tx1"/>
                  </w14:solidFill>
                </w14:textFill>
              </w:rPr>
              <w:t>福建省维恒项目管理有限公司</w:t>
            </w:r>
            <w:r>
              <w:rPr>
                <w:rFonts w:hint="eastAsia" w:ascii="仿宋" w:hAnsi="仿宋" w:eastAsia="仿宋" w:cs="仿宋"/>
                <w:color w:val="000000" w:themeColor="text1"/>
                <w:sz w:val="20"/>
                <w:szCs w:val="20"/>
                <w14:textFill>
                  <w14:solidFill>
                    <w14:schemeClr w14:val="tx1"/>
                  </w14:solidFill>
                </w14:textFill>
              </w:rPr>
              <w:t>不承担责任。</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其他：全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8</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12.3</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b/>
                <w:color w:val="000000" w:themeColor="text1"/>
                <w:sz w:val="22"/>
                <w:szCs w:val="22"/>
                <w14:textFill>
                  <w14:solidFill>
                    <w14:schemeClr w14:val="tx1"/>
                  </w14:solidFill>
                </w14:textFill>
              </w:rPr>
              <w:t>允许散装或活页装订的内容或材料：</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（1）响应文件的补充、修改或撤回；</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9</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14.4</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1"/>
                <w:szCs w:val="21"/>
                <w14:textFill>
                  <w14:solidFill>
                    <w14:schemeClr w14:val="tx1"/>
                  </w14:solidFill>
                </w14:textFill>
              </w:rPr>
            </w:pPr>
            <w:r>
              <w:rPr>
                <w:rStyle w:val="23"/>
                <w:rFonts w:hint="eastAsia" w:ascii="仿宋" w:hAnsi="仿宋" w:eastAsia="仿宋" w:cs="仿宋"/>
                <w:color w:val="000000" w:themeColor="text1"/>
                <w:sz w:val="21"/>
                <w:szCs w:val="21"/>
                <w14:textFill>
                  <w14:solidFill>
                    <w14:schemeClr w14:val="tx1"/>
                  </w14:solidFill>
                </w14:textFill>
              </w:rPr>
              <w:t>谈判过程中可能发生实质性变动的内容：</w:t>
            </w:r>
            <w:r>
              <w:rPr>
                <w:rFonts w:hint="eastAsia" w:ascii="仿宋" w:hAnsi="仿宋" w:eastAsia="仿宋" w:cs="仿宋"/>
                <w:color w:val="000000" w:themeColor="text1"/>
                <w:sz w:val="21"/>
                <w:szCs w:val="21"/>
                <w14:textFill>
                  <w14:solidFill>
                    <w14:schemeClr w14:val="tx1"/>
                  </w14:solidFill>
                </w14:textFill>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22.2</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信息公告指定媒体（以下简称：“指定媒体”）：中国政府采购网（网址</w:t>
            </w:r>
            <w:r>
              <w:rPr>
                <w:color w:val="000000" w:themeColor="text1"/>
                <w:sz w:val="18"/>
                <w:szCs w:val="21"/>
                <w14:textFill>
                  <w14:solidFill>
                    <w14:schemeClr w14:val="tx1"/>
                  </w14:solidFill>
                </w14:textFill>
              </w:rPr>
              <w:fldChar w:fldCharType="begin"/>
            </w:r>
            <w:r>
              <w:rPr>
                <w:color w:val="000000" w:themeColor="text1"/>
                <w:sz w:val="18"/>
                <w:szCs w:val="21"/>
                <w14:textFill>
                  <w14:solidFill>
                    <w14:schemeClr w14:val="tx1"/>
                  </w14:solidFill>
                </w14:textFill>
              </w:rPr>
              <w:instrText xml:space="preserve"> HYPERLINK "http://www.ccgp.gov.cn/" </w:instrText>
            </w:r>
            <w:r>
              <w:rPr>
                <w:color w:val="000000" w:themeColor="text1"/>
                <w:sz w:val="18"/>
                <w:szCs w:val="21"/>
                <w14:textFill>
                  <w14:solidFill>
                    <w14:schemeClr w14:val="tx1"/>
                  </w14:solidFill>
                </w14:textFill>
              </w:rPr>
              <w:fldChar w:fldCharType="separate"/>
            </w:r>
            <w:r>
              <w:rPr>
                <w:rStyle w:val="26"/>
                <w:rFonts w:hint="eastAsia" w:ascii="仿宋" w:hAnsi="仿宋" w:eastAsia="仿宋"/>
                <w:color w:val="000000" w:themeColor="text1"/>
                <w:sz w:val="21"/>
                <w:szCs w:val="21"/>
                <w14:textFill>
                  <w14:solidFill>
                    <w14:schemeClr w14:val="tx1"/>
                  </w14:solidFill>
                </w14:textFill>
              </w:rPr>
              <w:t>http://www.ccgp.gov.cn</w:t>
            </w:r>
            <w:r>
              <w:rPr>
                <w:rStyle w:val="26"/>
                <w:rFonts w:hint="eastAsia" w:ascii="仿宋" w:hAnsi="仿宋" w:eastAsia="仿宋"/>
                <w:color w:val="000000" w:themeColor="text1"/>
                <w:sz w:val="21"/>
                <w:szCs w:val="21"/>
                <w14:textFill>
                  <w14:solidFill>
                    <w14:schemeClr w14:val="tx1"/>
                  </w14:solidFill>
                </w14:textFill>
              </w:rPr>
              <w:fldChar w:fldCharType="end"/>
            </w:r>
            <w:r>
              <w:rPr>
                <w:rFonts w:hint="eastAsia" w:ascii="仿宋" w:hAnsi="仿宋" w:eastAsia="仿宋"/>
                <w:color w:val="000000" w:themeColor="text1"/>
                <w:sz w:val="21"/>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11</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23.1</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1"/>
                <w:szCs w:val="21"/>
                <w14:textFill>
                  <w14:solidFill>
                    <w14:schemeClr w14:val="tx1"/>
                  </w14:solidFill>
                </w14:textFill>
              </w:rPr>
              <w:t>本项目监督管理部门：</w:t>
            </w:r>
            <w:r>
              <w:rPr>
                <w:rStyle w:val="23"/>
                <w:rFonts w:hint="eastAsia" w:ascii="仿宋" w:hAnsi="仿宋" w:eastAsia="仿宋" w:cs="仿宋"/>
                <w:color w:val="000000" w:themeColor="text1"/>
                <w:sz w:val="21"/>
                <w:szCs w:val="21"/>
                <w:lang w:val="en-US" w:eastAsia="zh-CN"/>
                <w14:textFill>
                  <w14:solidFill>
                    <w14:schemeClr w14:val="tx1"/>
                  </w14:solidFill>
                </w14:textFill>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12</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w:t>
            </w:r>
            <w:r>
              <w:rPr>
                <w:rFonts w:hint="eastAsia" w:ascii="仿宋" w:hAnsi="仿宋" w:eastAsia="仿宋" w:cs="仿宋"/>
                <w:color w:val="000000" w:themeColor="text1"/>
                <w:sz w:val="22"/>
                <w:szCs w:val="22"/>
                <w:lang w:val="en-US" w:eastAsia="zh-CN"/>
                <w14:textFill>
                  <w14:solidFill>
                    <w14:schemeClr w14:val="tx1"/>
                  </w14:solidFill>
                </w14:textFill>
              </w:rPr>
              <w:t>5</w:t>
            </w:r>
            <w:r>
              <w:rPr>
                <w:rFonts w:hint="eastAsia" w:ascii="仿宋" w:hAnsi="仿宋" w:eastAsia="仿宋" w:cs="仿宋"/>
                <w:color w:val="000000" w:themeColor="text1"/>
                <w:sz w:val="22"/>
                <w:szCs w:val="22"/>
                <w14:textFill>
                  <w14:solidFill>
                    <w14:schemeClr w14:val="tx1"/>
                  </w14:solidFill>
                </w14:textFill>
              </w:rPr>
              <w:t>.1</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color w:val="000000" w:themeColor="text1"/>
                <w:kern w:val="0"/>
                <w:sz w:val="20"/>
                <w:szCs w:val="22"/>
                <w14:textFill>
                  <w14:solidFill>
                    <w14:schemeClr w14:val="tx1"/>
                  </w14:solidFill>
                </w14:textFill>
              </w:rPr>
            </w:pPr>
            <w:r>
              <w:rPr>
                <w:rStyle w:val="23"/>
                <w:rFonts w:hint="eastAsia" w:ascii="仿宋" w:hAnsi="仿宋" w:eastAsia="仿宋" w:cs="仿宋"/>
                <w:b/>
                <w:bCs w:val="0"/>
                <w:color w:val="000000" w:themeColor="text1"/>
                <w:sz w:val="21"/>
                <w:szCs w:val="21"/>
                <w14:textFill>
                  <w14:solidFill>
                    <w14:schemeClr w14:val="tx1"/>
                  </w14:solidFill>
                </w14:textFill>
              </w:rPr>
              <w:t>履约保证金：</w:t>
            </w:r>
            <w:r>
              <w:rPr>
                <w:rFonts w:hint="eastAsia" w:ascii="仿宋" w:hAnsi="仿宋" w:eastAsia="仿宋" w:cs="仿宋"/>
                <w:b/>
                <w:bCs w:val="0"/>
                <w:color w:val="000000" w:themeColor="text1"/>
                <w:kern w:val="0"/>
                <w:sz w:val="21"/>
                <w:szCs w:val="21"/>
                <w:lang w:eastAsia="zh-CN"/>
                <w14:textFill>
                  <w14:solidFill>
                    <w14:schemeClr w14:val="tx1"/>
                  </w14:solidFill>
                </w14:textFill>
              </w:rPr>
              <w:t>是</w:t>
            </w:r>
            <w:r>
              <w:rPr>
                <w:rFonts w:hint="eastAsia" w:ascii="仿宋" w:hAnsi="仿宋" w:eastAsia="仿宋" w:cs="仿宋"/>
                <w:b/>
                <w:bCs w:val="0"/>
                <w:color w:val="000000" w:themeColor="text1"/>
                <w:kern w:val="0"/>
                <w:sz w:val="21"/>
                <w:szCs w:val="21"/>
                <w14:textFill>
                  <w14:solidFill>
                    <w14:schemeClr w14:val="tx1"/>
                  </w14:solidFill>
                </w14:textFill>
              </w:rPr>
              <w:t>。</w:t>
            </w:r>
            <w:r>
              <w:rPr>
                <w:rFonts w:hint="eastAsia" w:ascii="仿宋" w:hAnsi="仿宋" w:eastAsia="仿宋" w:cs="仿宋"/>
                <w:b/>
                <w:bCs w:val="0"/>
                <w:color w:val="000000" w:themeColor="text1"/>
                <w:kern w:val="0"/>
                <w:sz w:val="21"/>
                <w:szCs w:val="21"/>
                <w:lang w:eastAsia="zh-CN"/>
                <w14:textFill>
                  <w14:solidFill>
                    <w14:schemeClr w14:val="tx1"/>
                  </w14:solidFill>
                </w14:textFill>
              </w:rPr>
              <w:t>说明：</w:t>
            </w:r>
            <w:r>
              <w:rPr>
                <w:rFonts w:hint="eastAsia" w:ascii="仿宋" w:hAnsi="仿宋" w:eastAsia="仿宋" w:cs="仿宋"/>
                <w:b/>
                <w:bCs w:val="0"/>
                <w:color w:val="000000" w:themeColor="text1"/>
                <w:kern w:val="0"/>
                <w:sz w:val="21"/>
                <w:szCs w:val="21"/>
                <w:lang w:val="en-US" w:eastAsia="zh-CN"/>
                <w14:textFill>
                  <w14:solidFill>
                    <w14:schemeClr w14:val="tx1"/>
                  </w14:solidFill>
                </w14:textFill>
              </w:rPr>
              <w:t>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13</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w:t>
            </w:r>
          </w:p>
        </w:tc>
        <w:tc>
          <w:tcPr>
            <w:tcW w:w="81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2"/>
                <w:szCs w:val="22"/>
                <w14:textFill>
                  <w14:solidFill>
                    <w14:schemeClr w14:val="tx1"/>
                  </w14:solidFill>
                </w14:textFill>
              </w:rPr>
            </w:pPr>
            <w:r>
              <w:rPr>
                <w:rStyle w:val="23"/>
                <w:rFonts w:hint="eastAsia" w:ascii="仿宋" w:hAnsi="仿宋" w:eastAsia="仿宋" w:cs="仿宋"/>
                <w:color w:val="000000" w:themeColor="text1"/>
                <w:sz w:val="22"/>
                <w:szCs w:val="22"/>
                <w14:textFill>
                  <w14:solidFill>
                    <w14:schemeClr w14:val="tx1"/>
                  </w14:solidFill>
                </w14:textFill>
              </w:rPr>
              <w:t>根据采购项目特点或政策需要补充的其他新增内容：</w:t>
            </w:r>
          </w:p>
          <w:p>
            <w:pPr>
              <w:pStyle w:val="1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b w:val="0"/>
                <w:bCs/>
                <w:color w:val="000000" w:themeColor="text1"/>
                <w:sz w:val="20"/>
                <w:szCs w:val="20"/>
                <w14:textFill>
                  <w14:solidFill>
                    <w14:schemeClr w14:val="tx1"/>
                  </w14:solidFill>
                </w14:textFill>
              </w:rPr>
            </w:pPr>
            <w:r>
              <w:rPr>
                <w:rStyle w:val="23"/>
                <w:rFonts w:hint="eastAsia" w:ascii="仿宋" w:hAnsi="仿宋" w:eastAsia="仿宋" w:cs="仿宋"/>
                <w:b w:val="0"/>
                <w:bCs/>
                <w:color w:val="000000" w:themeColor="text1"/>
                <w:sz w:val="20"/>
                <w:szCs w:val="20"/>
                <w14:textFill>
                  <w14:solidFill>
                    <w14:schemeClr w14:val="tx1"/>
                  </w14:solidFill>
                </w14:textFill>
              </w:rPr>
              <w:t>本项目代理服务费由</w:t>
            </w:r>
            <w:r>
              <w:rPr>
                <w:rStyle w:val="23"/>
                <w:rFonts w:hint="eastAsia" w:ascii="仿宋" w:hAnsi="仿宋" w:eastAsia="仿宋" w:cs="仿宋"/>
                <w:bCs/>
                <w:color w:val="000000" w:themeColor="text1"/>
                <w:sz w:val="20"/>
                <w:szCs w:val="20"/>
                <w:u w:val="single"/>
                <w14:textFill>
                  <w14:solidFill>
                    <w14:schemeClr w14:val="tx1"/>
                  </w14:solidFill>
                </w14:textFill>
              </w:rPr>
              <w:t>成交供应商</w:t>
            </w:r>
            <w:r>
              <w:rPr>
                <w:rStyle w:val="23"/>
                <w:rFonts w:hint="eastAsia" w:ascii="仿宋" w:hAnsi="仿宋" w:eastAsia="仿宋" w:cs="仿宋"/>
                <w:b w:val="0"/>
                <w:bCs/>
                <w:color w:val="000000" w:themeColor="text1"/>
                <w:sz w:val="20"/>
                <w:szCs w:val="20"/>
                <w14:textFill>
                  <w14:solidFill>
                    <w14:schemeClr w14:val="tx1"/>
                  </w14:solidFill>
                </w14:textFill>
              </w:rPr>
              <w:t>支付。</w:t>
            </w:r>
          </w:p>
          <w:p>
            <w:pPr>
              <w:pStyle w:val="1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b w:val="0"/>
                <w:bCs/>
                <w:color w:val="000000" w:themeColor="text1"/>
                <w:sz w:val="20"/>
                <w:szCs w:val="20"/>
                <w14:textFill>
                  <w14:solidFill>
                    <w14:schemeClr w14:val="tx1"/>
                  </w14:solidFill>
                </w14:textFill>
              </w:rPr>
            </w:pPr>
            <w:r>
              <w:rPr>
                <w:rStyle w:val="23"/>
                <w:rFonts w:hint="eastAsia" w:ascii="仿宋" w:hAnsi="仿宋" w:eastAsia="仿宋" w:cs="仿宋"/>
                <w:b w:val="0"/>
                <w:bCs/>
                <w:color w:val="000000" w:themeColor="text1"/>
                <w:sz w:val="20"/>
                <w:szCs w:val="20"/>
                <w14:textFill>
                  <w14:solidFill>
                    <w14:schemeClr w14:val="tx1"/>
                  </w14:solidFill>
                </w14:textFill>
              </w:rPr>
              <w:t>代理服务费收费标准：本项目的招标代理服务费由成交供应商支付，谈判文件内若有冲突条款的，以本条规定为准。成交供应商须按谈判文件规定向采购代理机构交纳招标代理服务费：①以成交（中标）通知书规定的成交（中标）总金额作为基准按差额定率累进法计算。②收费费率标准</w:t>
            </w:r>
            <w:r>
              <w:rPr>
                <w:rStyle w:val="23"/>
                <w:rFonts w:hint="eastAsia" w:ascii="仿宋" w:hAnsi="仿宋" w:eastAsia="仿宋" w:cs="仿宋"/>
                <w:b w:val="0"/>
                <w:bCs/>
                <w:color w:val="000000" w:themeColor="text1"/>
                <w:sz w:val="20"/>
                <w:szCs w:val="20"/>
                <w:lang w:eastAsia="zh-CN"/>
                <w14:textFill>
                  <w14:solidFill>
                    <w14:schemeClr w14:val="tx1"/>
                  </w14:solidFill>
                </w14:textFill>
              </w:rPr>
              <w:t>参照</w:t>
            </w:r>
            <w:r>
              <w:rPr>
                <w:rStyle w:val="23"/>
                <w:rFonts w:hint="eastAsia" w:ascii="仿宋" w:hAnsi="仿宋" w:eastAsia="仿宋" w:cs="仿宋"/>
                <w:b w:val="0"/>
                <w:bCs/>
                <w:color w:val="000000" w:themeColor="text1"/>
                <w:sz w:val="20"/>
                <w:szCs w:val="20"/>
                <w:lang w:val="en-US" w:eastAsia="zh-CN"/>
                <w14:textFill>
                  <w14:solidFill>
                    <w14:schemeClr w14:val="tx1"/>
                  </w14:solidFill>
                </w14:textFill>
              </w:rPr>
              <w:t>《招标代理服务收费管理暂行办法》（计价格【2002】1980号）</w:t>
            </w:r>
            <w:r>
              <w:rPr>
                <w:rStyle w:val="23"/>
                <w:rFonts w:hint="eastAsia" w:ascii="仿宋" w:hAnsi="仿宋" w:eastAsia="仿宋" w:cs="仿宋"/>
                <w:b w:val="0"/>
                <w:bCs/>
                <w:color w:val="000000" w:themeColor="text1"/>
                <w:sz w:val="20"/>
                <w:szCs w:val="20"/>
                <w14:textFill>
                  <w14:solidFill>
                    <w14:schemeClr w14:val="tx1"/>
                  </w14:solidFill>
                </w14:textFill>
              </w:rPr>
              <w:t>：100万元以下</w:t>
            </w:r>
            <w:r>
              <w:rPr>
                <w:rStyle w:val="23"/>
                <w:rFonts w:hint="eastAsia" w:ascii="仿宋" w:hAnsi="仿宋" w:eastAsia="仿宋" w:cs="仿宋"/>
                <w:b w:val="0"/>
                <w:bCs/>
                <w:color w:val="000000" w:themeColor="text1"/>
                <w:sz w:val="20"/>
                <w:szCs w:val="20"/>
                <w:lang w:eastAsia="zh-CN"/>
                <w14:textFill>
                  <w14:solidFill>
                    <w14:schemeClr w14:val="tx1"/>
                  </w14:solidFill>
                </w14:textFill>
              </w:rPr>
              <w:t>费率</w:t>
            </w:r>
            <w:r>
              <w:rPr>
                <w:rStyle w:val="23"/>
                <w:rFonts w:hint="eastAsia" w:ascii="仿宋" w:hAnsi="仿宋" w:eastAsia="仿宋" w:cs="仿宋"/>
                <w:b w:val="0"/>
                <w:bCs/>
                <w:color w:val="000000" w:themeColor="text1"/>
                <w:sz w:val="20"/>
                <w:szCs w:val="20"/>
                <w14:textFill>
                  <w14:solidFill>
                    <w14:schemeClr w14:val="tx1"/>
                  </w14:solidFill>
                </w14:textFill>
              </w:rPr>
              <w:t>1.5%</w:t>
            </w:r>
            <w:r>
              <w:rPr>
                <w:rStyle w:val="23"/>
                <w:rFonts w:hint="eastAsia" w:ascii="仿宋" w:hAnsi="仿宋" w:eastAsia="仿宋" w:cs="仿宋"/>
                <w:b w:val="0"/>
                <w:bCs/>
                <w:color w:val="000000" w:themeColor="text1"/>
                <w:sz w:val="20"/>
                <w:szCs w:val="20"/>
                <w:lang w:eastAsia="zh-CN"/>
                <w14:textFill>
                  <w14:solidFill>
                    <w14:schemeClr w14:val="tx1"/>
                  </w14:solidFill>
                </w14:textFill>
              </w:rPr>
              <w:t>；如合同包代理服务费不足</w:t>
            </w:r>
            <w:r>
              <w:rPr>
                <w:rStyle w:val="23"/>
                <w:rFonts w:hint="eastAsia" w:ascii="仿宋" w:hAnsi="仿宋" w:eastAsia="仿宋" w:cs="仿宋"/>
                <w:b w:val="0"/>
                <w:bCs/>
                <w:color w:val="000000" w:themeColor="text1"/>
                <w:sz w:val="20"/>
                <w:szCs w:val="20"/>
                <w:lang w:val="en-US" w:eastAsia="zh-CN"/>
                <w14:textFill>
                  <w14:solidFill>
                    <w14:schemeClr w14:val="tx1"/>
                  </w14:solidFill>
                </w14:textFill>
              </w:rPr>
              <w:t>人民币3</w:t>
            </w:r>
            <w:r>
              <w:rPr>
                <w:rStyle w:val="23"/>
                <w:rFonts w:hint="eastAsia" w:ascii="仿宋" w:hAnsi="仿宋" w:eastAsia="仿宋" w:cs="仿宋"/>
                <w:b w:val="0"/>
                <w:bCs/>
                <w:color w:val="000000" w:themeColor="text1"/>
                <w:sz w:val="20"/>
                <w:szCs w:val="20"/>
                <w:lang w:eastAsia="zh-CN"/>
                <w14:textFill>
                  <w14:solidFill>
                    <w14:schemeClr w14:val="tx1"/>
                  </w14:solidFill>
                </w14:textFill>
              </w:rPr>
              <w:t>000元的则按</w:t>
            </w:r>
            <w:r>
              <w:rPr>
                <w:rStyle w:val="23"/>
                <w:rFonts w:hint="eastAsia" w:ascii="仿宋" w:hAnsi="仿宋" w:eastAsia="仿宋" w:cs="仿宋"/>
                <w:b w:val="0"/>
                <w:bCs/>
                <w:color w:val="000000" w:themeColor="text1"/>
                <w:sz w:val="20"/>
                <w:szCs w:val="20"/>
                <w:lang w:val="en-US" w:eastAsia="zh-CN"/>
                <w14:textFill>
                  <w14:solidFill>
                    <w14:schemeClr w14:val="tx1"/>
                  </w14:solidFill>
                </w14:textFill>
              </w:rPr>
              <w:t>人民币3</w:t>
            </w:r>
            <w:r>
              <w:rPr>
                <w:rStyle w:val="23"/>
                <w:rFonts w:hint="eastAsia" w:ascii="仿宋" w:hAnsi="仿宋" w:eastAsia="仿宋" w:cs="仿宋"/>
                <w:b w:val="0"/>
                <w:bCs/>
                <w:color w:val="000000" w:themeColor="text1"/>
                <w:sz w:val="20"/>
                <w:szCs w:val="20"/>
                <w:lang w:eastAsia="zh-CN"/>
                <w14:textFill>
                  <w14:solidFill>
                    <w14:schemeClr w14:val="tx1"/>
                  </w14:solidFill>
                </w14:textFill>
              </w:rPr>
              <w:t>000元收取</w:t>
            </w:r>
            <w:r>
              <w:rPr>
                <w:rStyle w:val="23"/>
                <w:rFonts w:hint="eastAsia" w:ascii="仿宋" w:hAnsi="仿宋" w:eastAsia="仿宋" w:cs="仿宋"/>
                <w:b w:val="0"/>
                <w:bCs/>
                <w:color w:val="000000" w:themeColor="text1"/>
                <w:sz w:val="20"/>
                <w:szCs w:val="20"/>
                <w14:textFill>
                  <w14:solidFill>
                    <w14:schemeClr w14:val="tx1"/>
                  </w14:solidFill>
                </w14:textFill>
              </w:rPr>
              <w:t>。③招标代理服务费的交纳方式：a. 成交供应商应在领取中标</w:t>
            </w:r>
            <w:r>
              <w:rPr>
                <w:rStyle w:val="23"/>
                <w:rFonts w:hint="eastAsia" w:ascii="仿宋" w:hAnsi="仿宋" w:eastAsia="仿宋" w:cs="仿宋"/>
                <w:b w:val="0"/>
                <w:bCs/>
                <w:color w:val="000000" w:themeColor="text1"/>
                <w:sz w:val="20"/>
                <w:szCs w:val="20"/>
                <w:lang w:eastAsia="zh-CN"/>
                <w14:textFill>
                  <w14:solidFill>
                    <w14:schemeClr w14:val="tx1"/>
                  </w14:solidFill>
                </w14:textFill>
              </w:rPr>
              <w:t>（成交）</w:t>
            </w:r>
            <w:r>
              <w:rPr>
                <w:rStyle w:val="23"/>
                <w:rFonts w:hint="eastAsia" w:ascii="仿宋" w:hAnsi="仿宋" w:eastAsia="仿宋" w:cs="仿宋"/>
                <w:b w:val="0"/>
                <w:bCs/>
                <w:color w:val="000000" w:themeColor="text1"/>
                <w:sz w:val="20"/>
                <w:szCs w:val="20"/>
                <w14:textFill>
                  <w14:solidFill>
                    <w14:schemeClr w14:val="tx1"/>
                  </w14:solidFill>
                </w14:textFill>
              </w:rPr>
              <w:t>通知书的同时按规定的标准一次性向采购代理机构缴清招标代理服务费。b. 招标代理服务费以银行转账、电汇、汇票或现金等付款方式</w:t>
            </w:r>
            <w:r>
              <w:rPr>
                <w:rStyle w:val="23"/>
                <w:rFonts w:hint="eastAsia" w:ascii="仿宋" w:hAnsi="仿宋" w:eastAsia="仿宋" w:cs="仿宋"/>
                <w:b w:val="0"/>
                <w:bCs/>
                <w:color w:val="000000" w:themeColor="text1"/>
                <w:sz w:val="20"/>
                <w:szCs w:val="20"/>
                <w:lang w:eastAsia="zh-CN"/>
                <w14:textFill>
                  <w14:solidFill>
                    <w14:schemeClr w14:val="tx1"/>
                  </w14:solidFill>
                </w14:textFill>
              </w:rPr>
              <w:t>缴</w:t>
            </w:r>
            <w:r>
              <w:rPr>
                <w:rStyle w:val="23"/>
                <w:rFonts w:hint="eastAsia" w:ascii="仿宋" w:hAnsi="仿宋" w:eastAsia="仿宋" w:cs="仿宋"/>
                <w:b w:val="0"/>
                <w:bCs/>
                <w:color w:val="000000" w:themeColor="text1"/>
                <w:sz w:val="20"/>
                <w:szCs w:val="20"/>
                <w14:textFill>
                  <w14:solidFill>
                    <w14:schemeClr w14:val="tx1"/>
                  </w14:solidFill>
                </w14:textFill>
              </w:rPr>
              <w:t>纳。招标代理服务费缴交账号：开户名：</w:t>
            </w:r>
            <w:r>
              <w:rPr>
                <w:rStyle w:val="23"/>
                <w:rFonts w:hint="eastAsia" w:ascii="仿宋" w:hAnsi="仿宋" w:eastAsia="仿宋" w:cs="仿宋"/>
                <w:b w:val="0"/>
                <w:bCs/>
                <w:color w:val="000000" w:themeColor="text1"/>
                <w:sz w:val="20"/>
                <w:szCs w:val="20"/>
                <w:lang w:eastAsia="zh-CN"/>
                <w14:textFill>
                  <w14:solidFill>
                    <w14:schemeClr w14:val="tx1"/>
                  </w14:solidFill>
                </w14:textFill>
              </w:rPr>
              <w:t>福建省维恒项目管理有限公司泉州分公司</w:t>
            </w:r>
            <w:r>
              <w:rPr>
                <w:rStyle w:val="23"/>
                <w:rFonts w:hint="eastAsia" w:ascii="仿宋" w:hAnsi="仿宋" w:eastAsia="仿宋" w:cs="仿宋"/>
                <w:b w:val="0"/>
                <w:bCs/>
                <w:color w:val="000000" w:themeColor="text1"/>
                <w:sz w:val="20"/>
                <w:szCs w:val="20"/>
                <w14:textFill>
                  <w14:solidFill>
                    <w14:schemeClr w14:val="tx1"/>
                  </w14:solidFill>
                </w14:textFill>
              </w:rPr>
              <w:t>，开户银行：兴业银行泉州分行，账号：1523 0010 0100 7167 74。</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s="仿宋"/>
                <w:color w:val="000000" w:themeColor="text1"/>
                <w:sz w:val="20"/>
                <w:szCs w:val="20"/>
                <w14:textFill>
                  <w14:solidFill>
                    <w14:schemeClr w14:val="tx1"/>
                  </w14:solidFill>
                </w14:textFill>
              </w:rPr>
            </w:pPr>
            <w:r>
              <w:rPr>
                <w:rStyle w:val="23"/>
                <w:rFonts w:hint="eastAsia" w:ascii="仿宋" w:hAnsi="仿宋" w:eastAsia="仿宋" w:cs="仿宋"/>
                <w:color w:val="000000" w:themeColor="text1"/>
                <w:sz w:val="20"/>
                <w:szCs w:val="20"/>
                <w14:textFill>
                  <w14:solidFill>
                    <w14:schemeClr w14:val="tx1"/>
                  </w14:solidFill>
                </w14:textFill>
              </w:rPr>
              <w:t>（2）其他：</w:t>
            </w:r>
            <w:r>
              <w:rPr>
                <w:rFonts w:hint="eastAsia" w:ascii="仿宋" w:hAnsi="仿宋" w:eastAsia="仿宋" w:cs="仿宋"/>
                <w:color w:val="000000" w:themeColor="text1"/>
                <w:sz w:val="20"/>
                <w:szCs w:val="20"/>
                <w14:textFill>
                  <w14:solidFill>
                    <w14:schemeClr w14:val="tx1"/>
                  </w14:solidFill>
                </w14:textFill>
              </w:rPr>
              <w:t>①</w:t>
            </w:r>
            <w:r>
              <w:rPr>
                <w:rFonts w:ascii="仿宋" w:hAnsi="仿宋" w:eastAsia="仿宋"/>
                <w:color w:val="000000" w:themeColor="text1"/>
                <w:sz w:val="20"/>
                <w:szCs w:val="20"/>
                <w14:textFill>
                  <w14:solidFill>
                    <w14:schemeClr w14:val="tx1"/>
                  </w14:solidFill>
                </w14:textFill>
              </w:rPr>
              <w:t>法定条件中“信用记录查询”的补充说明：由资格审查小组进行查询审查：在资格审查当日资格审查小组通过“信用中国”网站（www.creditchina.gov.cn）、中国政府采购网（www.ccgp.gov.cn）查询并打印投标人信用记录。若发现投标人参加本项目采购活动(投标截止时间止)前三年内被列入失信被执行人名单、重大税收违法案件当事人名单、政府采购严重违法失信行为记录名单，受到政府采购行政处罚（存在被拒绝参与政府采购活动相关信息的），且相关信用惩戒期限未满，以及其他不符合《中华人民共和国政府采购法》第二十二条规定条件的供应商，其资格审查不合格。</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②</w:t>
            </w:r>
            <w:r>
              <w:rPr>
                <w:rFonts w:hint="eastAsia" w:ascii="仿宋" w:hAnsi="仿宋" w:eastAsia="仿宋" w:cs="仿宋"/>
                <w:color w:val="000000" w:themeColor="text1"/>
                <w:sz w:val="20"/>
                <w:szCs w:val="20"/>
                <w:lang w:eastAsia="zh-CN"/>
                <w14:textFill>
                  <w14:solidFill>
                    <w14:schemeClr w14:val="tx1"/>
                  </w14:solidFill>
                </w14:textFill>
              </w:rPr>
              <w:t>供应商</w:t>
            </w:r>
            <w:r>
              <w:rPr>
                <w:rFonts w:hint="eastAsia" w:ascii="仿宋" w:hAnsi="仿宋" w:eastAsia="仿宋" w:cs="仿宋"/>
                <w:color w:val="000000" w:themeColor="text1"/>
                <w:sz w:val="20"/>
                <w:szCs w:val="20"/>
                <w14:textFill>
                  <w14:solidFill>
                    <w14:schemeClr w14:val="tx1"/>
                  </w14:solidFill>
                </w14:textFill>
              </w:rPr>
              <w:t>须按照</w:t>
            </w:r>
            <w:r>
              <w:rPr>
                <w:rFonts w:hint="eastAsia" w:ascii="仿宋" w:hAnsi="仿宋" w:eastAsia="仿宋" w:cs="仿宋"/>
                <w:color w:val="000000" w:themeColor="text1"/>
                <w:sz w:val="20"/>
                <w:szCs w:val="20"/>
                <w:lang w:eastAsia="zh-CN"/>
                <w14:textFill>
                  <w14:solidFill>
                    <w14:schemeClr w14:val="tx1"/>
                  </w14:solidFill>
                </w14:textFill>
              </w:rPr>
              <w:t>谈判</w:t>
            </w:r>
            <w:r>
              <w:rPr>
                <w:rFonts w:hint="eastAsia" w:ascii="仿宋" w:hAnsi="仿宋" w:eastAsia="仿宋" w:cs="仿宋"/>
                <w:color w:val="000000" w:themeColor="text1"/>
                <w:sz w:val="20"/>
                <w:szCs w:val="20"/>
                <w14:textFill>
                  <w14:solidFill>
                    <w14:schemeClr w14:val="tx1"/>
                  </w14:solidFill>
                </w14:textFill>
              </w:rPr>
              <w:t>文件格式要求制作并提供，否则不符合</w:t>
            </w:r>
            <w:r>
              <w:rPr>
                <w:rFonts w:hint="eastAsia" w:ascii="仿宋" w:hAnsi="仿宋" w:eastAsia="仿宋" w:cs="仿宋"/>
                <w:color w:val="000000" w:themeColor="text1"/>
                <w:sz w:val="20"/>
                <w:szCs w:val="20"/>
                <w:lang w:eastAsia="zh-CN"/>
                <w14:textFill>
                  <w14:solidFill>
                    <w14:schemeClr w14:val="tx1"/>
                  </w14:solidFill>
                </w14:textFill>
              </w:rPr>
              <w:t>谈判</w:t>
            </w:r>
            <w:r>
              <w:rPr>
                <w:rFonts w:hint="eastAsia" w:ascii="仿宋" w:hAnsi="仿宋" w:eastAsia="仿宋" w:cs="仿宋"/>
                <w:color w:val="000000" w:themeColor="text1"/>
                <w:sz w:val="20"/>
                <w:szCs w:val="20"/>
                <w14:textFill>
                  <w14:solidFill>
                    <w14:schemeClr w14:val="tx1"/>
                  </w14:solidFill>
                </w14:textFill>
              </w:rPr>
              <w:t>文件将被视为未提供或不满足，资格证明文件不符的，</w:t>
            </w:r>
            <w:r>
              <w:rPr>
                <w:rFonts w:hint="eastAsia" w:ascii="仿宋" w:hAnsi="仿宋" w:eastAsia="仿宋" w:cs="仿宋"/>
                <w:color w:val="000000" w:themeColor="text1"/>
                <w:sz w:val="20"/>
                <w:szCs w:val="20"/>
                <w:lang w:eastAsia="zh-CN"/>
                <w14:textFill>
                  <w14:solidFill>
                    <w14:schemeClr w14:val="tx1"/>
                  </w14:solidFill>
                </w14:textFill>
              </w:rPr>
              <w:t>则</w:t>
            </w:r>
            <w:r>
              <w:rPr>
                <w:rFonts w:hint="eastAsia" w:ascii="仿宋" w:hAnsi="仿宋" w:eastAsia="仿宋" w:cs="仿宋"/>
                <w:color w:val="000000" w:themeColor="text1"/>
                <w:sz w:val="20"/>
                <w:szCs w:val="20"/>
                <w14:textFill>
                  <w14:solidFill>
                    <w14:schemeClr w14:val="tx1"/>
                  </w14:solidFill>
                </w14:textFill>
              </w:rPr>
              <w:t>按无效处理</w:t>
            </w:r>
            <w:r>
              <w:rPr>
                <w:rFonts w:hint="eastAsia" w:ascii="仿宋" w:hAnsi="仿宋" w:eastAsia="仿宋" w:cs="仿宋"/>
                <w:color w:val="000000" w:themeColor="text1"/>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olor w:val="000000" w:themeColor="text1"/>
                <w:sz w:val="20"/>
                <w:szCs w:val="20"/>
                <w:lang w:eastAsia="zh-CN"/>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③</w:t>
            </w:r>
            <w:r>
              <w:rPr>
                <w:rFonts w:hint="eastAsia" w:ascii="仿宋" w:hAnsi="仿宋" w:eastAsia="仿宋"/>
                <w:color w:val="000000" w:themeColor="text1"/>
                <w:sz w:val="20"/>
                <w:szCs w:val="20"/>
                <w:lang w:val="en-US" w:eastAsia="zh-CN"/>
                <w14:textFill>
                  <w14:solidFill>
                    <w14:schemeClr w14:val="tx1"/>
                  </w14:solidFill>
                </w14:textFill>
              </w:rPr>
              <w:t>根据闽财购（2016）67号文，依法直接采用竞争性谈判采购方式流（废）标的货物、服务项目及竞争性磋商采购方式流标的服务项目，未变更采购方式或经过财政部门批准变更采购方式的，在组织新一轮竞争性磋商采购时，采购过程中提交投标文件或者经评审实质性响应招标文件要求的供应商只有两家时，可以直接组织与该两家供应商进行竞争性磋商采购。</w:t>
            </w:r>
            <w:r>
              <w:rPr>
                <w:rFonts w:hint="eastAsia" w:ascii="仿宋" w:hAnsi="仿宋" w:eastAsia="仿宋"/>
                <w:color w:val="000000" w:themeColor="text1"/>
                <w:sz w:val="20"/>
                <w:szCs w:val="20"/>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④</w:t>
            </w:r>
            <w:r>
              <w:rPr>
                <w:rFonts w:ascii="仿宋" w:hAnsi="仿宋" w:eastAsia="仿宋"/>
                <w:color w:val="000000" w:themeColor="text1"/>
                <w:sz w:val="20"/>
                <w:szCs w:val="20"/>
                <w14:textFill>
                  <w14:solidFill>
                    <w14:schemeClr w14:val="tx1"/>
                  </w14:solidFill>
                </w14:textFill>
              </w:rPr>
              <w:t>质疑受理的其它要求</w:t>
            </w:r>
            <w:r>
              <w:rPr>
                <w:rFonts w:hint="eastAsia" w:ascii="仿宋" w:hAnsi="仿宋" w:eastAsia="仿宋"/>
                <w:color w:val="000000" w:themeColor="text1"/>
                <w:sz w:val="20"/>
                <w:szCs w:val="20"/>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0"/>
                <w:szCs w:val="20"/>
                <w14:textFill>
                  <w14:solidFill>
                    <w14:schemeClr w14:val="tx1"/>
                  </w14:solidFill>
                </w14:textFill>
              </w:rPr>
            </w:pPr>
            <w:r>
              <w:rPr>
                <w:rFonts w:ascii="仿宋" w:hAnsi="仿宋" w:eastAsia="仿宋"/>
                <w:color w:val="000000" w:themeColor="text1"/>
                <w:sz w:val="20"/>
                <w:szCs w:val="20"/>
                <w14:textFill>
                  <w14:solidFill>
                    <w14:schemeClr w14:val="tx1"/>
                  </w14:solidFill>
                </w14:textFill>
              </w:rPr>
              <w:t>a</w:t>
            </w:r>
            <w:r>
              <w:rPr>
                <w:rFonts w:hint="eastAsia" w:ascii="仿宋" w:hAnsi="仿宋" w:eastAsia="仿宋"/>
                <w:color w:val="000000" w:themeColor="text1"/>
                <w:sz w:val="20"/>
                <w:szCs w:val="20"/>
                <w14:textFill>
                  <w14:solidFill>
                    <w14:schemeClr w14:val="tx1"/>
                  </w14:solidFill>
                </w14:textFill>
              </w:rPr>
              <w:t>.</w:t>
            </w:r>
            <w:r>
              <w:rPr>
                <w:rFonts w:ascii="仿宋" w:hAnsi="仿宋" w:eastAsia="仿宋"/>
                <w:color w:val="000000" w:themeColor="text1"/>
                <w:sz w:val="20"/>
                <w:szCs w:val="20"/>
                <w14:textFill>
                  <w14:solidFill>
                    <w14:schemeClr w14:val="tx1"/>
                  </w14:solidFill>
                </w14:textFill>
              </w:rPr>
              <w:t>质疑人提交书面质疑的，质疑书还应包括：</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0"/>
                <w:szCs w:val="20"/>
                <w14:textFill>
                  <w14:solidFill>
                    <w14:schemeClr w14:val="tx1"/>
                  </w14:solidFill>
                </w14:textFill>
              </w:rPr>
            </w:pPr>
            <w:r>
              <w:rPr>
                <w:rFonts w:ascii="仿宋" w:hAnsi="仿宋" w:eastAsia="仿宋"/>
                <w:color w:val="000000" w:themeColor="text1"/>
                <w:sz w:val="20"/>
                <w:szCs w:val="20"/>
                <w14:textFill>
                  <w14:solidFill>
                    <w14:schemeClr w14:val="tx1"/>
                  </w14:solidFill>
                </w14:textFill>
              </w:rPr>
              <w:t>a</w:t>
            </w:r>
            <w:r>
              <w:rPr>
                <w:rFonts w:hint="eastAsia" w:ascii="仿宋" w:hAnsi="仿宋" w:eastAsia="仿宋"/>
                <w:color w:val="000000" w:themeColor="text1"/>
                <w:sz w:val="20"/>
                <w:szCs w:val="20"/>
                <w14:textFill>
                  <w14:solidFill>
                    <w14:schemeClr w14:val="tx1"/>
                  </w14:solidFill>
                </w14:textFill>
              </w:rPr>
              <w:t>1.</w:t>
            </w:r>
            <w:r>
              <w:rPr>
                <w:rFonts w:ascii="仿宋" w:hAnsi="仿宋" w:eastAsia="仿宋"/>
                <w:color w:val="000000" w:themeColor="text1"/>
                <w:sz w:val="20"/>
                <w:szCs w:val="20"/>
                <w14:textFill>
                  <w14:solidFill>
                    <w14:schemeClr w14:val="tx1"/>
                  </w14:solidFill>
                </w14:textFill>
              </w:rPr>
              <w:t>质疑人已对本项目进行报名的证明文件（体现报名时间），否则将不被认定为潜在投标人【</w:t>
            </w:r>
            <w:r>
              <w:rPr>
                <w:rFonts w:hint="eastAsia" w:ascii="仿宋" w:hAnsi="仿宋" w:eastAsia="仿宋"/>
                <w:color w:val="000000" w:themeColor="text1"/>
                <w:sz w:val="20"/>
                <w:szCs w:val="20"/>
                <w14:textFill>
                  <w14:solidFill>
                    <w14:schemeClr w14:val="tx1"/>
                  </w14:solidFill>
                </w14:textFill>
              </w:rPr>
              <w:t>获取</w:t>
            </w:r>
            <w:r>
              <w:rPr>
                <w:rFonts w:ascii="仿宋" w:hAnsi="仿宋" w:eastAsia="仿宋"/>
                <w:color w:val="000000" w:themeColor="text1"/>
                <w:sz w:val="20"/>
                <w:szCs w:val="20"/>
                <w14:textFill>
                  <w14:solidFill>
                    <w14:schemeClr w14:val="tx1"/>
                  </w14:solidFill>
                </w14:textFill>
              </w:rPr>
              <w:t>招标文件之日为质疑人报名成功之日】；</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a2.</w:t>
            </w:r>
            <w:r>
              <w:rPr>
                <w:rFonts w:ascii="仿宋" w:hAnsi="仿宋" w:eastAsia="仿宋"/>
                <w:color w:val="000000" w:themeColor="text1"/>
                <w:sz w:val="20"/>
                <w:szCs w:val="20"/>
                <w14:textFill>
                  <w14:solidFill>
                    <w14:schemeClr w14:val="tx1"/>
                  </w14:solidFill>
                </w14:textFill>
              </w:rPr>
              <w:t>质疑人为法人或其他组织的，质疑函需逐页加盖质疑人单位公章；若本项目接受自然人投标且质疑人为自然人的，质疑函需质疑人本人逐页签名。</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b.</w:t>
            </w:r>
            <w:r>
              <w:rPr>
                <w:rFonts w:ascii="仿宋" w:hAnsi="仿宋" w:eastAsia="仿宋"/>
                <w:color w:val="000000" w:themeColor="text1"/>
                <w:sz w:val="20"/>
                <w:szCs w:val="20"/>
                <w14:textFill>
                  <w14:solidFill>
                    <w14:schemeClr w14:val="tx1"/>
                  </w14:solidFill>
                </w14:textFill>
              </w:rPr>
              <w:t>在法定质疑期内供应商须一次性提出针对同一采购程序环节的质疑，二（多）次质疑不予受理，采购代理机构或采购人只针对第一次有效质疑进行答复。</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c.</w:t>
            </w:r>
            <w:r>
              <w:rPr>
                <w:rFonts w:ascii="仿宋" w:hAnsi="仿宋" w:eastAsia="仿宋"/>
                <w:color w:val="000000" w:themeColor="text1"/>
                <w:sz w:val="20"/>
                <w:szCs w:val="20"/>
                <w14:textFill>
                  <w14:solidFill>
                    <w14:schemeClr w14:val="tx1"/>
                  </w14:solidFill>
                </w14:textFill>
              </w:rPr>
              <w:t>投标人对本项目招标文件有任何疑议或不认同之处，需在法定时间内按规定以书面方式【接收地点为：</w:t>
            </w:r>
            <w:r>
              <w:rPr>
                <w:rFonts w:hint="eastAsia" w:ascii="仿宋" w:hAnsi="仿宋" w:eastAsia="仿宋"/>
                <w:color w:val="000000" w:themeColor="text1"/>
                <w:sz w:val="20"/>
                <w:szCs w:val="20"/>
                <w:lang w:eastAsia="zh-CN"/>
                <w14:textFill>
                  <w14:solidFill>
                    <w14:schemeClr w14:val="tx1"/>
                  </w14:solidFill>
                </w14:textFill>
              </w:rPr>
              <w:t>福建省泉州市丰泽区城东街道前头社区安吉南路970号星光耀广场18幢2726室</w:t>
            </w:r>
            <w:r>
              <w:rPr>
                <w:rFonts w:ascii="仿宋" w:hAnsi="仿宋" w:eastAsia="仿宋"/>
                <w:color w:val="000000" w:themeColor="text1"/>
                <w:sz w:val="20"/>
                <w:szCs w:val="20"/>
                <w14:textFill>
                  <w14:solidFill>
                    <w14:schemeClr w14:val="tx1"/>
                  </w14:solidFill>
                </w14:textFill>
              </w:rPr>
              <w:t>（电话：0595-2</w:t>
            </w:r>
            <w:r>
              <w:rPr>
                <w:rFonts w:hint="eastAsia" w:ascii="仿宋" w:hAnsi="仿宋" w:eastAsia="仿宋"/>
                <w:color w:val="000000" w:themeColor="text1"/>
                <w:sz w:val="20"/>
                <w:szCs w:val="20"/>
                <w14:textFill>
                  <w14:solidFill>
                    <w14:schemeClr w14:val="tx1"/>
                  </w14:solidFill>
                </w14:textFill>
              </w:rPr>
              <w:t>8801009</w:t>
            </w:r>
            <w:r>
              <w:rPr>
                <w:rFonts w:ascii="仿宋" w:hAnsi="仿宋" w:eastAsia="仿宋"/>
                <w:color w:val="000000" w:themeColor="text1"/>
                <w:sz w:val="20"/>
                <w:szCs w:val="20"/>
                <w14:textFill>
                  <w14:solidFill>
                    <w14:schemeClr w14:val="tx1"/>
                  </w14:solidFill>
                </w14:textFill>
              </w:rPr>
              <w:t>)】提出质疑，否则视为投标人接受招标文件的规定。</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0"/>
                <w:szCs w:val="22"/>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d.</w:t>
            </w:r>
            <w:r>
              <w:rPr>
                <w:rFonts w:ascii="仿宋" w:hAnsi="仿宋" w:eastAsia="仿宋"/>
                <w:color w:val="000000" w:themeColor="text1"/>
                <w:sz w:val="20"/>
                <w:szCs w:val="20"/>
                <w14:textFill>
                  <w14:solidFill>
                    <w14:schemeClr w14:val="tx1"/>
                  </w14:solidFill>
                </w14:textFill>
              </w:rPr>
              <w:t>财政部出台的政府采购供应商质疑函范本下载网址为：http://gks.mof.gov.cn/ztztz/zhengfucaigouguanli/201802/t20180201_2804589.htm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14</w:t>
            </w:r>
          </w:p>
        </w:tc>
        <w:tc>
          <w:tcPr>
            <w:tcW w:w="10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000000" w:themeColor="text1"/>
                <w:sz w:val="22"/>
                <w:szCs w:val="22"/>
                <w14:textFill>
                  <w14:solidFill>
                    <w14:schemeClr w14:val="tx1"/>
                  </w14:solidFill>
                </w14:textFill>
              </w:rPr>
            </w:pPr>
          </w:p>
        </w:tc>
        <w:tc>
          <w:tcPr>
            <w:tcW w:w="81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000000" w:themeColor="text1"/>
                <w:sz w:val="21"/>
                <w:szCs w:val="21"/>
                <w14:textFill>
                  <w14:solidFill>
                    <w14:schemeClr w14:val="tx1"/>
                  </w14:solidFill>
                </w14:textFill>
              </w:rPr>
            </w:pPr>
            <w:r>
              <w:rPr>
                <w:rStyle w:val="23"/>
                <w:rFonts w:hint="eastAsia" w:ascii="仿宋" w:hAnsi="仿宋" w:eastAsia="仿宋" w:cs="仿宋"/>
                <w:color w:val="000000" w:themeColor="text1"/>
                <w:kern w:val="0"/>
                <w:sz w:val="21"/>
                <w:szCs w:val="21"/>
                <w14:textFill>
                  <w14:solidFill>
                    <w14:schemeClr w14:val="tx1"/>
                  </w14:solidFill>
                </w14:textFill>
              </w:rPr>
              <w:t>是否组织现场考察或召开开标前答疑会：否</w:t>
            </w:r>
            <w:r>
              <w:rPr>
                <w:rFonts w:hint="eastAsia" w:ascii="仿宋" w:hAnsi="仿宋" w:eastAsia="仿宋" w:cs="仿宋"/>
                <w:color w:val="000000" w:themeColor="text1"/>
                <w:kern w:val="0"/>
                <w:sz w:val="21"/>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jc w:val="center"/>
        </w:trPr>
        <w:tc>
          <w:tcPr>
            <w:tcW w:w="64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themeColor="text1"/>
                <w:kern w:val="0"/>
                <w:sz w:val="22"/>
                <w:szCs w:val="22"/>
                <w:lang w:val="en-US" w:eastAsia="zh-CN"/>
                <w14:textFill>
                  <w14:solidFill>
                    <w14:schemeClr w14:val="tx1"/>
                  </w14:solidFill>
                </w14:textFill>
              </w:rPr>
            </w:pPr>
            <w:r>
              <w:rPr>
                <w:rFonts w:hint="eastAsia" w:ascii="仿宋" w:hAnsi="仿宋" w:eastAsia="仿宋" w:cs="仿宋"/>
                <w:color w:val="000000" w:themeColor="text1"/>
                <w:kern w:val="0"/>
                <w:sz w:val="22"/>
                <w:szCs w:val="22"/>
                <w:lang w:val="en-US" w:eastAsia="zh-CN"/>
                <w14:textFill>
                  <w14:solidFill>
                    <w14:schemeClr w14:val="tx1"/>
                  </w14:solidFill>
                </w14:textFill>
              </w:rPr>
              <w:t>15</w:t>
            </w:r>
          </w:p>
        </w:tc>
        <w:tc>
          <w:tcPr>
            <w:tcW w:w="10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000000" w:themeColor="text1"/>
                <w:sz w:val="22"/>
                <w:szCs w:val="22"/>
                <w14:textFill>
                  <w14:solidFill>
                    <w14:schemeClr w14:val="tx1"/>
                  </w14:solidFill>
                </w14:textFill>
              </w:rPr>
            </w:pPr>
          </w:p>
        </w:tc>
        <w:tc>
          <w:tcPr>
            <w:tcW w:w="81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Style w:val="23"/>
                <w:rFonts w:hint="eastAsia" w:ascii="仿宋" w:hAnsi="仿宋" w:eastAsia="仿宋" w:cs="仿宋"/>
                <w:color w:val="000000" w:themeColor="text1"/>
                <w:kern w:val="0"/>
                <w:sz w:val="21"/>
                <w:szCs w:val="21"/>
                <w14:textFill>
                  <w14:solidFill>
                    <w14:schemeClr w14:val="tx1"/>
                  </w14:solidFill>
                </w14:textFill>
              </w:rPr>
            </w:pPr>
            <w:r>
              <w:rPr>
                <w:rStyle w:val="23"/>
                <w:rFonts w:hint="eastAsia" w:ascii="仿宋" w:hAnsi="仿宋" w:eastAsia="仿宋" w:cs="仿宋"/>
                <w:color w:val="000000" w:themeColor="text1"/>
                <w:kern w:val="0"/>
                <w:sz w:val="21"/>
                <w:szCs w:val="21"/>
                <w14:textFill>
                  <w14:solidFill>
                    <w14:schemeClr w14:val="tx1"/>
                  </w14:solidFill>
                </w14:textFill>
              </w:rPr>
              <w:t>合同签订时限： 自中标通知书发出之日起30个日历日内。</w:t>
            </w:r>
          </w:p>
        </w:tc>
      </w:tr>
    </w:tbl>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专项附件：</w:t>
      </w:r>
      <w:r>
        <w:rPr>
          <w:rStyle w:val="23"/>
          <w:rFonts w:hint="eastAsia" w:ascii="仿宋" w:hAnsi="仿宋" w:eastAsia="仿宋" w:cs="仿宋"/>
          <w:color w:val="000000" w:themeColor="text1"/>
          <w:lang w:val="en-US" w:eastAsia="zh-CN"/>
          <w14:textFill>
            <w14:solidFill>
              <w14:schemeClr w14:val="tx1"/>
            </w14:solidFill>
          </w14:textFill>
        </w:rPr>
        <w:t xml:space="preserve">  </w:t>
      </w:r>
      <w:r>
        <w:rPr>
          <w:rStyle w:val="23"/>
          <w:rFonts w:hint="eastAsia" w:ascii="仿宋" w:hAnsi="仿宋" w:eastAsia="仿宋" w:cs="仿宋"/>
          <w:color w:val="000000" w:themeColor="text1"/>
          <w14:textFill>
            <w14:solidFill>
              <w14:schemeClr w14:val="tx1"/>
            </w14:solidFill>
          </w14:textFill>
        </w:rPr>
        <w:t>评定成交的标准和方法</w:t>
      </w:r>
    </w:p>
    <w:p>
      <w:pPr>
        <w:pStyle w:val="17"/>
        <w:widowControl/>
        <w:spacing w:before="75" w:beforeAutospacing="0" w:after="75" w:afterAutospacing="0" w:line="435" w:lineRule="atLeast"/>
        <w:jc w:val="center"/>
        <w:rPr>
          <w:rFonts w:ascii="仿宋" w:hAnsi="仿宋" w:eastAsia="仿宋" w:cs="仿宋"/>
          <w:color w:val="000000" w:themeColor="text1"/>
          <w14:textFill>
            <w14:solidFill>
              <w14:schemeClr w14:val="tx1"/>
            </w14:solidFill>
          </w14:textFill>
        </w:rPr>
      </w:pPr>
      <w:bookmarkStart w:id="6" w:name="_Toc22154"/>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一、谈判小组</w:t>
      </w:r>
      <w:bookmarkEnd w:id="6"/>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1.1采购人根据项目的特点依法组建谈判小组。</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1.2谈判小组由采购人代表和评审专家两部分（以下简称“评委”）共</w:t>
      </w:r>
      <w:r>
        <w:rPr>
          <w:rFonts w:hint="eastAsia" w:ascii="仿宋" w:hAnsi="仿宋" w:eastAsia="仿宋" w:cs="仿宋"/>
          <w:color w:val="000000" w:themeColor="text1"/>
          <w:u w:val="single"/>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人组成，其中：</w:t>
      </w:r>
      <w:r>
        <w:rPr>
          <w:rFonts w:hint="eastAsia" w:ascii="仿宋" w:hAnsi="仿宋" w:eastAsia="仿宋" w:cs="仿宋"/>
          <w:b w:val="0"/>
          <w:bCs w:val="0"/>
          <w:color w:val="000000" w:themeColor="text1"/>
          <w14:textFill>
            <w14:solidFill>
              <w14:schemeClr w14:val="tx1"/>
            </w14:solidFill>
          </w14:textFill>
        </w:rPr>
        <w:t>采购人代表</w:t>
      </w:r>
      <w:r>
        <w:rPr>
          <w:rFonts w:hint="eastAsia" w:ascii="仿宋" w:hAnsi="仿宋" w:eastAsia="仿宋" w:cs="仿宋"/>
          <w:b w:val="0"/>
          <w:bCs w:val="0"/>
          <w:color w:val="000000" w:themeColor="text1"/>
          <w:u w:val="single"/>
          <w:lang w:val="en-US" w:eastAsia="zh-CN"/>
          <w14:textFill>
            <w14:solidFill>
              <w14:schemeClr w14:val="tx1"/>
            </w14:solidFill>
          </w14:textFill>
        </w:rPr>
        <w:t>1</w:t>
      </w:r>
      <w:r>
        <w:rPr>
          <w:rFonts w:hint="eastAsia" w:ascii="仿宋" w:hAnsi="仿宋" w:eastAsia="仿宋" w:cs="仿宋"/>
          <w:b w:val="0"/>
          <w:bCs w:val="0"/>
          <w:color w:val="000000" w:themeColor="text1"/>
          <w14:textFill>
            <w14:solidFill>
              <w14:schemeClr w14:val="tx1"/>
            </w14:solidFill>
          </w14:textFill>
        </w:rPr>
        <w:t>人由采</w:t>
      </w:r>
      <w:r>
        <w:rPr>
          <w:rFonts w:hint="eastAsia" w:ascii="仿宋" w:hAnsi="仿宋" w:eastAsia="仿宋" w:cs="仿宋"/>
          <w:color w:val="000000" w:themeColor="text1"/>
          <w14:textFill>
            <w14:solidFill>
              <w14:schemeClr w14:val="tx1"/>
            </w14:solidFill>
          </w14:textFill>
        </w:rPr>
        <w:t>购人派出，评审专家</w:t>
      </w:r>
      <w:r>
        <w:rPr>
          <w:rFonts w:hint="eastAsia" w:ascii="仿宋" w:hAnsi="仿宋" w:eastAsia="仿宋" w:cs="仿宋"/>
          <w:color w:val="000000" w:themeColor="text1"/>
          <w:u w:val="single"/>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人由福建省政府采购评审专家库产生。达到公开招标数额标准的货物或者服务采购项目，或者达到招标规模标准的政府采购工程，竞争性谈判小组应当由</w:t>
      </w:r>
      <w:r>
        <w:rPr>
          <w:rFonts w:hint="eastAsia" w:ascii="仿宋" w:hAnsi="仿宋" w:eastAsia="仿宋" w:cs="仿宋"/>
          <w:color w:val="000000" w:themeColor="text1"/>
          <w:u w:val="single"/>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人或以上单数组成。</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1.3谈判小组负责具体谈判和评审事务，并按照下列原则依法独立履行有关职责：</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1.3.1评审应保护国家利益、社会公共利益和各方当事人合法权益，提高采购效益，保证项目质量。</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1.3.2评审应遵循公平、公正、科学、严谨和择优原则。</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1.3.3评审的依据是谈判文件和响应文件，谈判文件中没有规定的评审标准不得作为评审依据。</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1.3.4谈判小组应按照谈判文件规定推荐成交候选供应商或根据采购人的授权确定成交供应商。</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1.3.5评审应遵守下列评审纪律：</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①评审情况不得私自外泄，有关信息由采购人或其委托的代理机构统一对外发布。</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②对采购人或供应商提供的要求保密的资料，不得摘记翻印和外传。</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③不得收受供应商或有关人员的任何礼物，不得串联鼓动其他人袒护某供应商。若与供应商存在利害关系，则应主动声明并回避。</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④全体谈判小组成员应按照谈判文件规定进行评审，一切认定事项应查有实据且不得弄虚作假。</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⑤评审中应充分发扬民主，推荐成交供应商候选人或根据采购人授权确定成交供应商后要服从评审报告。</w:t>
      </w:r>
    </w:p>
    <w:p>
      <w:pPr>
        <w:pStyle w:val="17"/>
        <w:widowControl/>
        <w:spacing w:beforeAutospacing="0" w:afterAutospacing="0" w:line="276" w:lineRule="auto"/>
        <w:ind w:firstLine="480"/>
        <w:rPr>
          <w:rStyle w:val="23"/>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※对违反评审纪律的评委，将取消其评委资格，对评审工作造成严重损失者将予以通报批评乃至追究法律责任。</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bookmarkStart w:id="7" w:name="_Toc23953"/>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二、谈判程序</w:t>
      </w:r>
      <w:bookmarkEnd w:id="7"/>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2.1谈判程序按照谈判文件第二章第2节“竞争性谈判须知”第14条“谈判程序以及评定成交的标准”的相关条款规定执行。</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中标人（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2.3只有资格审查和实质性响应审查均合格且按规定提交最后报价的合格供应商才能参加评定成交的最后价格排序和成交候选人推荐。</w:t>
      </w:r>
    </w:p>
    <w:p>
      <w:pPr>
        <w:pStyle w:val="17"/>
        <w:widowControl/>
        <w:spacing w:beforeAutospacing="0" w:afterAutospacing="0" w:line="276" w:lineRule="auto"/>
        <w:jc w:val="center"/>
        <w:rPr>
          <w:rFonts w:ascii="仿宋" w:hAnsi="仿宋" w:eastAsia="仿宋" w:cs="仿宋"/>
          <w:b/>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 </w:t>
      </w:r>
    </w:p>
    <w:p>
      <w:pPr>
        <w:pStyle w:val="17"/>
        <w:widowControl/>
        <w:spacing w:beforeAutospacing="0" w:afterAutospacing="0" w:line="276" w:lineRule="auto"/>
        <w:jc w:val="center"/>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bookmarkStart w:id="8" w:name="_Toc62"/>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三、最低评审价法和成交候选人推荐</w:t>
      </w:r>
      <w:bookmarkEnd w:id="8"/>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3.1.1根据财政部及福建省财政厅等有关政府采购文件规定执行价格评审优惠政策，价格扣除规则如下：</w:t>
      </w:r>
    </w:p>
    <w:p>
      <w:pPr>
        <w:pStyle w:val="17"/>
        <w:widowControl/>
        <w:spacing w:beforeAutospacing="0" w:afterAutospacing="0" w:line="276" w:lineRule="auto"/>
        <w:ind w:firstLine="48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包1</w:t>
      </w:r>
    </w:p>
    <w:p>
      <w:pPr>
        <w:pStyle w:val="17"/>
        <w:widowControl/>
        <w:numPr>
          <w:ilvl w:val="0"/>
          <w:numId w:val="4"/>
        </w:numPr>
        <w:spacing w:beforeAutospacing="0" w:afterAutospacing="0" w:line="276" w:lineRule="auto"/>
        <w:ind w:left="-60" w:leftChars="0" w:firstLine="48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小型、微型企业产品：</w:t>
      </w:r>
      <w:r>
        <w:rPr>
          <w:rFonts w:hint="eastAsia" w:ascii="仿宋" w:hAnsi="仿宋" w:eastAsia="仿宋" w:cs="仿宋"/>
          <w:color w:val="000000" w:themeColor="text1"/>
          <w:lang w:eastAsia="zh-CN"/>
          <w14:textFill>
            <w14:solidFill>
              <w14:schemeClr w14:val="tx1"/>
            </w14:solidFill>
          </w14:textFill>
        </w:rPr>
        <w:t>无</w:t>
      </w:r>
    </w:p>
    <w:p>
      <w:pPr>
        <w:pStyle w:val="17"/>
        <w:widowControl/>
        <w:numPr>
          <w:ilvl w:val="0"/>
          <w:numId w:val="4"/>
        </w:numPr>
        <w:spacing w:beforeAutospacing="0" w:afterAutospacing="0" w:line="276" w:lineRule="auto"/>
        <w:ind w:left="-60" w:leftChars="0" w:firstLine="48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优先类节能产品、环境标志产品：</w:t>
      </w:r>
      <w:r>
        <w:rPr>
          <w:rFonts w:hint="eastAsia" w:ascii="仿宋" w:hAnsi="仿宋" w:eastAsia="仿宋" w:cs="仿宋"/>
          <w:color w:val="000000" w:themeColor="text1"/>
          <w14:textFill>
            <w14:solidFill>
              <w14:schemeClr w14:val="tx1"/>
            </w14:solidFill>
          </w14:textFill>
        </w:rPr>
        <w:t xml:space="preserve">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c.若节能、环境标志产品仅是构成投标产品的部件、组件或零件，则该投标产品不享受鼓励优惠政策。同一品目中各认证证书不重复计算价格扣除。属于政府强制采购的节能产品不享受价格扣除。 </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c.其他：无。</w:t>
      </w:r>
    </w:p>
    <w:p>
      <w:pPr>
        <w:pStyle w:val="17"/>
        <w:widowControl/>
        <w:spacing w:beforeAutospacing="0" w:afterAutospacing="0" w:line="276" w:lineRule="auto"/>
        <w:ind w:firstLine="465"/>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3.1.2合格供应商提交的最后报价按照上文3.1.1款规定的价格扣除规则计算后，得出的价格称为最后报价评审价。</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b/>
          <w:bCs/>
          <w:color w:val="000000" w:themeColor="text1"/>
          <w14:textFill>
            <w14:solidFill>
              <w14:schemeClr w14:val="tx1"/>
            </w14:solidFill>
          </w14:textFill>
        </w:rPr>
        <w:t>谈判文件可以约定出现并列最低评审价情形时的优先顺序规则，具体规则为：</w:t>
      </w:r>
      <w:r>
        <w:rPr>
          <w:rFonts w:hint="eastAsia" w:ascii="仿宋" w:hAnsi="仿宋" w:eastAsia="仿宋" w:cs="仿宋"/>
          <w:color w:val="000000" w:themeColor="text1"/>
          <w14:textFill>
            <w14:solidFill>
              <w14:schemeClr w14:val="tx1"/>
            </w14:solidFill>
          </w14:textFill>
        </w:rPr>
        <w:t>若最低评审价相同，则报价产品拥有节能、减排、环境标志认证数量最多的供应商将被推荐为成交候选供应商，若拥有认证数量相同，则按报价产品的技术指标、售后服务、供应商综合实力排序推荐成交候选供应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（2）谈判文件未约定优先顺序规则时，则由谈判小组中的采购人代表从并列最低评审价名单中自行选择确定优先顺序</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（3）采购人代表放弃自行选择确定权利的，则通过随机抽取方式确定优先顺序。</w:t>
      </w:r>
    </w:p>
    <w:p>
      <w:pPr>
        <w:pStyle w:val="17"/>
        <w:widowControl/>
        <w:spacing w:beforeAutospacing="0" w:afterAutospacing="0" w:line="276" w:lineRule="auto"/>
        <w:jc w:val="center"/>
        <w:outlineLvl w:val="1"/>
        <w:rPr>
          <w:rStyle w:val="23"/>
          <w:rFonts w:ascii="仿宋" w:hAnsi="仿宋" w:eastAsia="仿宋" w:cs="仿宋"/>
          <w:color w:val="000000" w:themeColor="text1"/>
          <w14:textFill>
            <w14:solidFill>
              <w14:schemeClr w14:val="tx1"/>
            </w14:solidFill>
          </w14:textFill>
        </w:rPr>
      </w:pPr>
      <w:bookmarkStart w:id="9" w:name="_Toc9566"/>
    </w:p>
    <w:p>
      <w:pPr>
        <w:pStyle w:val="17"/>
        <w:widowControl/>
        <w:spacing w:beforeAutospacing="0" w:afterAutospacing="0" w:line="276" w:lineRule="auto"/>
        <w:jc w:val="center"/>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四、评审报告</w:t>
      </w:r>
      <w:bookmarkEnd w:id="9"/>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4.1谈判小组完成评审后，应当编写评审报告并提交给采购人。</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4.2评审报告应当包括以下主要内容：</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（一）邀请供应商参加采购活动的具体方式和相关情况，以及参加采购活动的供应商名单；</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（二）评审日期和地点，谈判小组成员名单；</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（三）评审情况记录和说明，包括对供应商的资格审查情况、供应商响应文件评审情况、谈判情况、报价情况等；</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（四）提出的成交候选人的名单及理由。</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p>
      <w:pPr>
        <w:pStyle w:val="17"/>
        <w:widowControl/>
        <w:spacing w:beforeAutospacing="0" w:afterAutospacing="0" w:line="276" w:lineRule="auto"/>
        <w:jc w:val="center"/>
        <w:outlineLvl w:val="1"/>
        <w:rPr>
          <w:rFonts w:ascii="仿宋" w:hAnsi="仿宋" w:eastAsia="仿宋" w:cs="仿宋"/>
          <w:color w:val="000000" w:themeColor="text1"/>
          <w14:textFill>
            <w14:solidFill>
              <w14:schemeClr w14:val="tx1"/>
            </w14:solidFill>
          </w14:textFill>
        </w:rPr>
      </w:pPr>
      <w:bookmarkStart w:id="10" w:name="_Toc12594"/>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五、其他规定</w:t>
      </w:r>
      <w:bookmarkEnd w:id="10"/>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5.1其他规定</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5.1.1评审应全程保密且不得透露给任一供应商或与评审工作无关的人员。</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5.1.2评审将进行全程实时录音录像，录音录像资料随采购文件一并存档。</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5.1.3若供应商有任何试图干扰具体评审事务，影响谈判小组独立履行职责的行为，其响应无效且不予退还谈判保证金。情节严重的，由财政部门列入不良行为记录。</w:t>
      </w:r>
    </w:p>
    <w:p>
      <w:pPr>
        <w:pStyle w:val="17"/>
        <w:widowControl/>
        <w:spacing w:beforeAutospacing="0" w:afterAutospacing="0" w:line="276" w:lineRule="auto"/>
        <w:ind w:firstLine="480"/>
        <w:rPr>
          <w:rStyle w:val="23"/>
          <w:rFonts w:ascii="仿宋" w:hAnsi="仿宋" w:eastAsia="仿宋" w:cs="仿宋"/>
          <w:b w:val="0"/>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5.1.4根据采购项目的特点和需要，需要加以详细说明的其他谈判程序规定、要求等内容：无。</w:t>
      </w:r>
      <w:bookmarkStart w:id="11" w:name="_Toc29703"/>
    </w:p>
    <w:p>
      <w:pPr>
        <w:widowControl/>
        <w:jc w:val="left"/>
        <w:rPr>
          <w:rStyle w:val="23"/>
          <w:rFonts w:ascii="仿宋" w:hAnsi="仿宋" w:eastAsia="仿宋" w:cs="仿宋"/>
          <w:color w:val="000000" w:themeColor="text1"/>
          <w:kern w:val="0"/>
          <w:sz w:val="24"/>
          <w14:textFill>
            <w14:solidFill>
              <w14:schemeClr w14:val="tx1"/>
            </w14:solidFill>
          </w14:textFill>
        </w:rPr>
      </w:pPr>
      <w:r>
        <w:rPr>
          <w:rStyle w:val="23"/>
          <w:rFonts w:ascii="仿宋" w:hAnsi="仿宋" w:eastAsia="仿宋" w:cs="仿宋"/>
          <w:color w:val="000000" w:themeColor="text1"/>
          <w14:textFill>
            <w14:solidFill>
              <w14:schemeClr w14:val="tx1"/>
            </w14:solidFill>
          </w14:textFill>
        </w:rPr>
        <w:br w:type="page"/>
      </w:r>
    </w:p>
    <w:p>
      <w:pPr>
        <w:pStyle w:val="17"/>
        <w:widowControl/>
        <w:spacing w:before="75" w:beforeAutospacing="0" w:after="75" w:afterAutospacing="0"/>
        <w:jc w:val="center"/>
        <w:outlineLvl w:val="0"/>
        <w:rPr>
          <w:rFonts w:ascii="仿宋" w:hAnsi="仿宋" w:eastAsia="仿宋" w:cs="仿宋"/>
          <w:color w:val="000000" w:themeColor="text1"/>
          <w14:textFill>
            <w14:solidFill>
              <w14:schemeClr w14:val="tx1"/>
            </w14:solidFill>
          </w14:textFill>
        </w:rPr>
      </w:pPr>
      <w:bookmarkStart w:id="12" w:name="_Toc6619"/>
      <w:r>
        <w:rPr>
          <w:rStyle w:val="23"/>
          <w:rFonts w:hint="eastAsia" w:ascii="仿宋" w:hAnsi="仿宋" w:eastAsia="仿宋" w:cs="仿宋"/>
          <w:color w:val="000000" w:themeColor="text1"/>
          <w14:textFill>
            <w14:solidFill>
              <w14:schemeClr w14:val="tx1"/>
            </w14:solidFill>
          </w14:textFill>
        </w:rPr>
        <w:t>第2节  竞争性谈判须知</w:t>
      </w:r>
      <w:bookmarkEnd w:id="11"/>
      <w:bookmarkEnd w:id="12"/>
    </w:p>
    <w:p>
      <w:pPr>
        <w:pStyle w:val="17"/>
        <w:widowControl/>
        <w:spacing w:before="75" w:beforeAutospacing="0" w:after="75" w:afterAutospacing="0"/>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一、总则</w:t>
      </w:r>
    </w:p>
    <w:p>
      <w:pPr>
        <w:pStyle w:val="17"/>
        <w:widowControl/>
        <w:spacing w:beforeAutospacing="0" w:afterAutospacing="0" w:line="435" w:lineRule="atLeast"/>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1.适用范围：</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1.1适用于谈判文件载明项目的采购活动（以下简称：“本次采购活动”）。</w:t>
      </w:r>
    </w:p>
    <w:p>
      <w:pPr>
        <w:pStyle w:val="17"/>
        <w:widowControl/>
        <w:spacing w:beforeAutospacing="0" w:afterAutospacing="0" w:line="435" w:lineRule="atLeast"/>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2.定义及要求：</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2.1“采购标的”指谈判文件载明的需要采购的货物、服务、工程。</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2.2“采购人”指本次采购项目的买方、或业主方、或甲方，具体见谈判文件第一章；“采购代理机构”系指接受采购人委托，组织开展竞争性谈判采购活动的代理机构，具体见谈判文件第一章。</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2.3“潜在供应商”按照谈判文件第一章规定进行报名，且有意向参加本项目响应谈判的供应商。</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2.4“供应商”指按照谈判文件第一章规定进行报名，且已经提交响应文件的法人或其他组织或自然人。只有适合自然人参与和承接的政府采购项目，供应商才可以是自然人。</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2.5“单位负责人”指单位法定代表人（供应商为法人的）或法律、法规规定代表单位行使职权的主要负责人（供应商为其他组织的）。</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pPr>
        <w:pStyle w:val="17"/>
        <w:widowControl/>
        <w:spacing w:beforeAutospacing="0" w:afterAutospacing="0" w:line="435" w:lineRule="atLeast"/>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3.合格的供应商：</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3.1一般规定</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3.1.1供应商应当遵守中国的有关法律、法规和规章的规定，参加政府采购活动时已经自觉检查并按照政府采购相关法律规定，主动回避相应利害关系。</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r>
        <w:rPr>
          <w:rStyle w:val="23"/>
          <w:rFonts w:hint="eastAsia" w:ascii="仿宋" w:hAnsi="仿宋" w:eastAsia="仿宋" w:cs="仿宋"/>
          <w:color w:val="000000" w:themeColor="text1"/>
          <w14:textFill>
            <w14:solidFill>
              <w14:schemeClr w14:val="tx1"/>
            </w14:solidFill>
          </w14:textFill>
        </w:rPr>
        <w:t>。</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r>
        <w:rPr>
          <w:rStyle w:val="23"/>
          <w:rFonts w:hint="eastAsia" w:ascii="仿宋" w:hAnsi="仿宋" w:eastAsia="仿宋" w:cs="仿宋"/>
          <w:color w:val="000000" w:themeColor="text1"/>
          <w14:textFill>
            <w14:solidFill>
              <w14:schemeClr w14:val="tx1"/>
            </w14:solidFill>
          </w14:textFill>
        </w:rPr>
        <w:t>。</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供应商有责任检查自身情况，在响应文件中对是否违反以上一般规定做出如实声明，否则其响应文件将被否决。</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3.2特别规定</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3.2.1供应商的资格要求：详见竞争性谈判须知前附表第1项。</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3.2.2是否接受联合体形式的响应谈判：详见竞争性谈判须知前附表第2项。若接受联合体形式且供应商为联合体，则联合体各方除了应遵守本章第3.1条规定外，还应遵守下列规定：</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（1）联合体各方应提交联合体协议，联合体协议应符合谈判文件规定。</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（2）联合体各方不得再单独参加或与其他供应商另外组成联合体参加同一合同项下的响应谈判。</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（3）联合体各方应共同与采购人签订政府采购合同，就政府采购合同约定的事项对采购人承担连带责任。</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（5）联合体一方放弃成交的，视为联合体整体放弃成交，联合体各方承担连带责任。</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（6）如本项目不接受联合体报价而供应商为联合体的，或者本项目接受联合体报价但供应商组成的联合体不符合本章第3.2条规定的，其报价无效。</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7"/>
        <w:widowControl/>
        <w:spacing w:beforeAutospacing="0" w:afterAutospacing="0" w:line="435" w:lineRule="atLeast"/>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4.参与竞争性谈判费用：</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4.1除法律法规或采购文件另有规定之外，供应商应自行承担其准备与参加竞争性谈判所涉及的一切费用。</w:t>
      </w:r>
    </w:p>
    <w:p>
      <w:pPr>
        <w:pStyle w:val="17"/>
        <w:widowControl/>
        <w:spacing w:before="75" w:beforeAutospacing="0" w:after="75" w:afterAutospacing="0" w:line="435" w:lineRule="atLeast"/>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二、竞争性谈判文件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5.竞争性谈判文件的组成：</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5.1竞争性谈判文件由下述部分组成：</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第一章 采购公告（或采购邀请书）</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第二章 竞争性谈判须知</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第三章 采购内容及要求</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第四章 合同主要条款及格式</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第五章 首次响应文件格式</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5.2除上述内容以外，采购人、采购代理机构或者谈判小组在采购过程期间对谈判文件所作的澄清、修改或补充，均构成谈判文件的组成部分，对采购人和供应商具有约束力。</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6.竞争性谈判文件的澄清、补充或修改：</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7"/>
        <w:widowControl/>
        <w:spacing w:before="75" w:beforeAutospacing="0" w:after="75" w:afterAutospacing="0" w:line="435" w:lineRule="atLeast"/>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三、响应文件编制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7.应标要求</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23"/>
          <w:rFonts w:hint="eastAsia" w:ascii="仿宋" w:hAnsi="仿宋" w:eastAsia="仿宋" w:cs="仿宋"/>
          <w:color w:val="000000" w:themeColor="text1"/>
          <w14:textFill>
            <w14:solidFill>
              <w14:schemeClr w14:val="tx1"/>
            </w14:solidFill>
          </w14:textFill>
        </w:rPr>
        <w:t>否则其相应合同包的响应文件将被否决。</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7.2供应商代表在同一个合同项下只能接受一个供应商的委托参加响应谈判，</w:t>
      </w:r>
      <w:r>
        <w:rPr>
          <w:rStyle w:val="23"/>
          <w:rFonts w:hint="eastAsia" w:ascii="仿宋" w:hAnsi="仿宋" w:eastAsia="仿宋" w:cs="仿宋"/>
          <w:color w:val="000000" w:themeColor="text1"/>
          <w14:textFill>
            <w14:solidFill>
              <w14:schemeClr w14:val="tx1"/>
            </w14:solidFill>
          </w14:textFill>
        </w:rPr>
        <w:t>否则其响应文件将被否决。</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7.3供应商应仔细阅读谈判文件的所有内容和要求，按谈判文件的规定提供响应文件，并对其所提供的全部资料、承诺和声明的真实性、合法性和准确性负责。</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7.4除非竞争性谈判须知前附表另有规定外，供应商提供的响应文件应使用中文文本，若有不同文字文本，以中文文本为准。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7.6除非竞争性谈判须知前附表另有规定外，供应商承诺的报价应以人民币进行报价，合同实施结算时亦以人民币支付；所有计量均采用中华人民共和国法定计量单位。</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8.首次响应文件的组成：</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8.1首次响应文件包括但不限于下列部分：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（1）谈判响应声明</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（2）报价一览表（含详细报价书）</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（3）资格证明文件</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（4）谈判保证金凭证</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（5）技术和商务偏离表</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（6）相关技术、商务、服务响应承诺及资料</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（7）供应商提交符合政府采购政策的证明材料</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（8）要求作为响应文件组成部分的其他内容（若有）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9.响应文件有效期：</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9.1响应文件有效期见竞争性谈判须知前附表第3项，响应文件承诺的有效期不得少于谈判文件载明的有效期，</w:t>
      </w:r>
      <w:r>
        <w:rPr>
          <w:rStyle w:val="23"/>
          <w:rFonts w:hint="eastAsia" w:ascii="仿宋" w:hAnsi="仿宋" w:eastAsia="仿宋" w:cs="仿宋"/>
          <w:color w:val="000000" w:themeColor="text1"/>
          <w14:textFill>
            <w14:solidFill>
              <w14:schemeClr w14:val="tx1"/>
            </w14:solidFill>
          </w14:textFill>
        </w:rPr>
        <w:t>否则其响应文件将被否决。</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10.谈判保证金：</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10.2谈判保证金为响应文件的重要组成部分之一。谈判保证金用于保护本次谈判活动免受供应商的违约或失信行为而引起的风险。未按规定提交谈判保证金的，</w:t>
      </w:r>
      <w:r>
        <w:rPr>
          <w:rStyle w:val="23"/>
          <w:rFonts w:hint="eastAsia" w:ascii="仿宋" w:hAnsi="仿宋" w:eastAsia="仿宋" w:cs="仿宋"/>
          <w:color w:val="000000" w:themeColor="text1"/>
          <w14:textFill>
            <w14:solidFill>
              <w14:schemeClr w14:val="tx1"/>
            </w14:solidFill>
          </w14:textFill>
        </w:rPr>
        <w:t>其响应文件将被否决。</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10.3谈判保证金退还：</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10.4如果供应商发生以下任何一种情况时，其谈判保证金将被不予退还：</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(1)供应商在提交响应文件截止时间后撤回响应文件的；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(2)供应商在响应文件中提供虚假材料的；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(3)除因不可抗力或谈判文件认可的情形以外，成交供应商不与采购人签订合同的；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(4)供应商与采购人、其他供应商或者采购代理机构恶意串通的；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(5)供应商在提交最后报价后要求退出谈判的；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(6)供应商假借以他人名义参加谈判或者以其他方式弄虚作假，骗取成交；</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(7)国家法律法规以及谈判文件中规定的其他谈判保证金不予退还的情形。</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上述不予退还谈判保证金的情况不能抵偿给采购人或采购代理机构造成损失的，供应商还要承担赔偿责任。</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11.纸质响应文件基本编制要求：</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11.2响应文件应由供应商代表签字并加盖公章。供应商代表如果不是竞争性谈判须知中定义的“单位负责人”，则其响应文件中还必须提供“单位负责人授权书”。</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11.3响应文件应尽量避免涂改、行间插字或删除。如果出现上述情况，改动之处应加盖供应商单位公章或由供应商代表签字确认。</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11.4供应商应提交证明其拟提供货物、服务或工程符合谈判文件要求的技术和商务响应文件，该文件可以是文字资料、图纸和数据，并对拟提供的货物、服务或工程的主要内容进行详细描述。</w:t>
      </w:r>
    </w:p>
    <w:p>
      <w:pPr>
        <w:pStyle w:val="17"/>
        <w:widowControl/>
        <w:numPr>
          <w:ilvl w:val="0"/>
          <w:numId w:val="5"/>
        </w:numPr>
        <w:spacing w:beforeAutospacing="0" w:afterAutospacing="0" w:line="276" w:lineRule="auto"/>
        <w:rPr>
          <w:rStyle w:val="23"/>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纸质响应文件的密封、标识、签署和提交</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四、竞争性谈判</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13.评审和谈判基本准则</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13.1对所有供应商的评审和谈判，都采用相同的程序和标准。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13.2谈判及评审过程将严格按照谈判文件的要求和条件进行，谈判小组将根据供应商的响应文件，按谈判文件规定的谈判程序和评定成交标准进行评审和谈判，并推荐成交候选人。</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14.谈判程序以及评定成交标准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14.1采购人将根据项目的特点依法组建谈判小组。谈判小组将根据谈判文件规定的程序、评定成交标准等内容对供应商进行评审、谈判。</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14.2.1供应商有下列情况之一者，其提交的响应文件将被视为未实质性响应谈判文件要求，谈判小组将否决其响应文件，按无效处理：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(1)响应文件中提供的资格证明文件不全的；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(2)响应文件未按谈判文件规定由供应商代表签字，或未按谈判文件规定加盖供应商单位公章的；或供应商代表未获得有效授权的；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(3)供应商未按谈判文件规定提交谈判保证金的；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(4)响应文件有效期不满足谈判文件要求的；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(5)响应内容与谈判采购内容及要求有重大偏离或保留的，限制了采购人的权利或者减少成交供应商合同项下的义务；（由于谈判项目本身特点，不能详细列明采购标的的技术、服务要求的除外）；</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(6)响应文件中附有采购人无法接受的条件的；</w:t>
      </w:r>
    </w:p>
    <w:p>
      <w:pPr>
        <w:pStyle w:val="17"/>
        <w:widowControl/>
        <w:spacing w:beforeAutospacing="0" w:afterAutospacing="0" w:line="276" w:lineRule="auto"/>
        <w:ind w:firstLine="48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(7)不符合谈判文件中规定的其它实质性条款（比如：报价超过了谈判文件规定的最高限价）。</w:t>
      </w:r>
    </w:p>
    <w:p>
      <w:pPr>
        <w:pStyle w:val="17"/>
        <w:widowControl/>
        <w:spacing w:beforeAutospacing="0" w:afterAutospacing="0" w:line="276" w:lineRule="auto"/>
        <w:ind w:firstLine="48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14.2.2其他情形</w:t>
      </w:r>
    </w:p>
    <w:p>
      <w:pPr>
        <w:pStyle w:val="17"/>
        <w:widowControl/>
        <w:spacing w:beforeAutospacing="0" w:afterAutospacing="0" w:line="276" w:lineRule="auto"/>
        <w:ind w:firstLine="48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包1</w:t>
      </w:r>
    </w:p>
    <w:p>
      <w:pPr>
        <w:pStyle w:val="17"/>
        <w:widowControl/>
        <w:spacing w:beforeAutospacing="0" w:afterAutospacing="0" w:line="276" w:lineRule="auto"/>
        <w:ind w:firstLine="48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一般情形 </w:t>
      </w:r>
    </w:p>
    <w:p>
      <w:pPr>
        <w:pStyle w:val="17"/>
        <w:widowControl/>
        <w:spacing w:beforeAutospacing="0" w:afterAutospacing="0" w:line="276" w:lineRule="auto"/>
        <w:ind w:firstLine="480"/>
        <w:rPr>
          <w:rStyle w:val="23"/>
          <w:rFonts w:hint="eastAsia" w:ascii="仿宋" w:hAnsi="仿宋" w:eastAsia="仿宋" w:cs="仿宋"/>
          <w:color w:val="000000" w:themeColor="text1"/>
          <w:lang w:eastAsia="zh-CN"/>
          <w14:textFill>
            <w14:solidFill>
              <w14:schemeClr w14:val="tx1"/>
            </w14:solidFill>
          </w14:textFill>
        </w:rPr>
      </w:pPr>
      <w:r>
        <w:rPr>
          <w:rStyle w:val="23"/>
          <w:rFonts w:hint="eastAsia" w:ascii="宋体" w:hAnsi="宋体" w:eastAsia="仿宋" w:cs="宋体"/>
          <w:color w:val="000000" w:themeColor="text1"/>
          <w14:textFill>
            <w14:solidFill>
              <w14:schemeClr w14:val="tx1"/>
            </w14:solidFill>
          </w14:textFill>
        </w:rPr>
        <w:t>         </w:t>
      </w:r>
      <w:r>
        <w:rPr>
          <w:rStyle w:val="23"/>
          <w:rFonts w:hint="eastAsia" w:ascii="仿宋" w:hAnsi="仿宋" w:eastAsia="仿宋" w:cs="仿宋"/>
          <w:color w:val="000000" w:themeColor="text1"/>
          <w14:textFill>
            <w14:solidFill>
              <w14:schemeClr w14:val="tx1"/>
            </w14:solidFill>
          </w14:textFill>
        </w:rPr>
        <w:t>无</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技术符合性</w:t>
      </w:r>
    </w:p>
    <w:tbl>
      <w:tblPr>
        <w:tblStyle w:val="2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76"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6"/>
              </w:numPr>
              <w:spacing w:line="276" w:lineRule="auto"/>
              <w:jc w:val="left"/>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谈判文件第三章采购内容及要求“二、技术和服务要求”出现负偏离，按无效响应处理；</w:t>
            </w:r>
          </w:p>
          <w:p>
            <w:pPr>
              <w:widowControl/>
              <w:numPr>
                <w:ilvl w:val="0"/>
                <w:numId w:val="6"/>
              </w:numPr>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属于谈判文件中规定的无效响应条款的情形；</w:t>
            </w:r>
          </w:p>
          <w:p>
            <w:pPr>
              <w:widowControl/>
              <w:numPr>
                <w:ilvl w:val="0"/>
                <w:numId w:val="6"/>
              </w:numPr>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属于谈判文件规定谈判小组应否决其投标的情形。</w:t>
            </w:r>
          </w:p>
        </w:tc>
      </w:tr>
    </w:tbl>
    <w:p>
      <w:pPr>
        <w:widowControl/>
        <w:spacing w:line="276" w:lineRule="auto"/>
        <w:jc w:val="left"/>
        <w:rPr>
          <w:rFonts w:ascii="仿宋" w:hAnsi="仿宋" w:eastAsia="仿宋" w:cs="仿宋"/>
          <w:color w:val="000000" w:themeColor="text1"/>
          <w:kern w:val="0"/>
          <w:sz w:val="24"/>
          <w14:textFill>
            <w14:solidFill>
              <w14:schemeClr w14:val="tx1"/>
            </w14:solidFill>
          </w14:textFill>
        </w:rPr>
      </w:pPr>
    </w:p>
    <w:p>
      <w:pPr>
        <w:widowControl/>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商务符合性</w:t>
      </w:r>
    </w:p>
    <w:tbl>
      <w:tblPr>
        <w:tblStyle w:val="2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76"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7"/>
              </w:numPr>
              <w:spacing w:line="276" w:lineRule="auto"/>
              <w:jc w:val="left"/>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谈判文件第三章采购内容及要求“三、商务条件”出现负偏离，按无效响应处理；</w:t>
            </w:r>
          </w:p>
          <w:p>
            <w:pPr>
              <w:widowControl/>
              <w:numPr>
                <w:ilvl w:val="0"/>
                <w:numId w:val="7"/>
              </w:numPr>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属于谈判文件中规定的无效响应条款的；</w:t>
            </w:r>
          </w:p>
          <w:p>
            <w:pPr>
              <w:widowControl/>
              <w:numPr>
                <w:ilvl w:val="0"/>
                <w:numId w:val="7"/>
              </w:numPr>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属于谈判文件规定谈判小组应否决其投标的情形。</w:t>
            </w:r>
          </w:p>
        </w:tc>
      </w:tr>
    </w:tbl>
    <w:p>
      <w:pPr>
        <w:widowControl/>
        <w:spacing w:line="276" w:lineRule="auto"/>
        <w:jc w:val="left"/>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附加符合性</w:t>
      </w:r>
    </w:p>
    <w:p>
      <w:pPr>
        <w:widowControl/>
        <w:spacing w:line="276" w:lineRule="auto"/>
        <w:jc w:val="left"/>
        <w:rPr>
          <w:rStyle w:val="23"/>
          <w:rFonts w:hint="eastAsia" w:ascii="仿宋" w:hAnsi="仿宋" w:eastAsia="仿宋" w:cs="仿宋"/>
          <w:color w:val="000000" w:themeColor="text1"/>
          <w:kern w:val="0"/>
          <w:sz w:val="24"/>
          <w:lang w:eastAsia="zh-CN"/>
          <w14:textFill>
            <w14:solidFill>
              <w14:schemeClr w14:val="tx1"/>
            </w14:solidFill>
          </w14:textFill>
        </w:rPr>
      </w:pPr>
      <w:r>
        <w:rPr>
          <w:rStyle w:val="23"/>
          <w:rFonts w:hint="eastAsia" w:ascii="仿宋" w:hAnsi="仿宋" w:eastAsia="仿宋" w:cs="仿宋"/>
          <w:color w:val="000000" w:themeColor="text1"/>
          <w:kern w:val="0"/>
          <w:sz w:val="24"/>
          <w14:textFill>
            <w14:solidFill>
              <w14:schemeClr w14:val="tx1"/>
            </w14:solidFill>
          </w14:textFill>
        </w:rPr>
        <w:t>         无</w:t>
      </w:r>
    </w:p>
    <w:p>
      <w:pPr>
        <w:widowControl/>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价格符合性 </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谈判小组决定供应商的响应性只根据响应文件本身的内容，而不寻求其他的外部证据。</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14.10供应商提交的响应文件和资料将给予保密，但不退回（有关证件或证照的原件除外）。</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五、合同授予</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15.授予合同的准则：</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15.1除不可抗力等因素外，合同将授予响应文件符合竞争性谈判文件要求，能够圆满地履行合同，且被谈判小组推荐为第一成交候选人的供应商。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15.3为维护国家利益和社会公共利益，最低报价不是被授予合同的绝对保证。</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16.确定成交供应商：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16.1采购人委托代理机构组织竞争性谈判采购活动的，采购代理机构在评审结束后2个工作日内将评审报告送采购人确认。</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17.成交通知:</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18.签订合同：</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18.2竞争性谈判文件、成交供应商的响应文件及其有关澄清承诺文件等，均为签订政府采购合同的依据和组成部分。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六、询问、质疑与投诉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19.询问</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19.1潜在供应商或供应商对本次采购活动的有关事项若有疑问，可向采购人或采购代理机构提出询问，采购人或采购代理机构将按照政府采购法及实施条例的有关规定进行答复。</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20.质疑</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20.1质疑应在政府采购法及实施条例规定的时效内提出，并符合下列条件：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20.1.2质疑人应提交质疑函原件。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20.1.3质疑函应包括下列主要内容：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②所质疑项目的基本信息，至少包括：项目编号、项目名称等；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③所质疑的具体事项（以下简称：“质疑事项”）；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④质疑人自身权益受到损害的事实依据和证明材料，至少包括：</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a1所质疑的具体事项事实存在的证明材料；</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a2所质疑的具体事项事实导致质疑人自身权益受到损害的证明材料，如：采购文件、采购过程或成交结果违法违规，损害自已合法权益等证明材料；</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⑤针对质疑事项提出的明确请求和法律依据，</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⑥提出质疑的日期以及质疑人代表联系方式，至少包括：姓名、手机、电子信箱、邮寄地址等。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20.2对不符合前文第20.1条规定的质疑，采购人或采购代理机构将按照下列规定进行处理：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20.2.1超过质疑时效提交的或者质疑人不是直接参与所质疑项目采购活动的供应商，书面告知质疑人其质疑不成立的原因和理由。</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20.3对符合前文第20.1条规定的质疑，采购人或采购代理机构将按照政府采购法及实施条例的有关规定进行答复。</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21.投诉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21.1若对质疑答复不满意或质疑答复未在答复期限内作出，质疑人可在答复期限届满之日起15个工作日内向谈判文件中载明的监督管理部门投诉。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21.1投诉应有明确的请求和必要的证明材料，投诉的事项不得超出已质疑事项的范围。</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七、有关信息公告和监督部门</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 22.政府采购信息公告媒体</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22.2信息公告指定媒体：详见竞争性谈判须知前附表第</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23.监督管理部门</w:t>
      </w:r>
    </w:p>
    <w:p>
      <w:pPr>
        <w:pStyle w:val="17"/>
        <w:widowControl/>
        <w:spacing w:beforeAutospacing="0" w:afterAutospacing="0" w:line="276" w:lineRule="auto"/>
        <w:rPr>
          <w:rStyle w:val="23"/>
          <w:rFonts w:ascii="仿宋" w:hAnsi="仿宋" w:eastAsia="仿宋" w:cs="仿宋"/>
          <w:b w:val="0"/>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23.1谈判采购活动的监督管理部门详见竞争性谈判须知前附表第</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项。</w:t>
      </w:r>
    </w:p>
    <w:p>
      <w:pPr>
        <w:pStyle w:val="17"/>
        <w:widowControl/>
        <w:spacing w:beforeAutospacing="0" w:afterAutospacing="0" w:line="276" w:lineRule="auto"/>
        <w:jc w:val="center"/>
        <w:rPr>
          <w:rStyle w:val="23"/>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Style w:val="23"/>
          <w:rFonts w:hint="eastAsia"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八、政府采购政策</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24、政府采购政策由财政部根据国家的经济和社会发展政策并会同国家有关部委制定，包括但不限于下列管理办法或措施：</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24.1进口产品指通过中国海关报关验放进入中国境内且产自关境外的产品，其中：</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（2）凡在海关特殊监管区域内企业生产或加工（包括从境外进口料件）销往境内其他地区的产品，不作为政府采购项下进口产品。</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（3）对从境外进入海关特殊监管区域，再经办理报关手续后从海关特殊监管区进入境内其他地区的产品，认定为进口产品。</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（4）谈判文件列明不允许或未列明允许进口产品参加报价的，均视为拒绝进口产品参加报价。</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（1）中小企业指符合下列条件的中型、小型、微型企业：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②符合中小企业划分标准的个体工商户，在政府采购活动中视同中小企业。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（2）在政府采购活动中，供应商提供的货物、工程或者服务符合下列情形的，享受本办法规定的中小企业扶持政策：</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①在货物采购项目中，货物由中小企业制造，即货物由中小企业生产且使用该中小企业商号或者注册商标；</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②在工程采购项目中，工程由中小企业承建，即工程施工单位为中小企业；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③在服务采购项目中，服务由中小企业承接，即提供服务的人员为中小企业依照《中华人民共和国劳动合同法》 订立劳动合同的从业人员。</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在货物采购项目中，供应商提供的货物既有中小企业制造货物，也有大型企业制造货物的，不享受本办法规定的中小企业扶持政策。</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（3）供应商应当按照谈判文件明确的采购标的对应行业的划分标准出具中小企业声明函。</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①监狱企业参加采购活动时，应提供由省级以上监狱管理局、戒毒管理局（含新疆生产建设兵团）出具的属于监狱企业的证明文件。</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②监狱企业视同小型、微型企业。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（5）残疾人福利性单位指同时符合下列条件的单位：</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①安置的残疾人占本单位在职职工人数的比例不低于25%（含25%），并且安置的残疾人人数不少于10人（含10人）；</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②依法与安置的每位残疾人签订了一年以上（含一年）的劳动合同或服务协议；</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③为安置的每位残疾人按月足额缴纳了基本养老保险、基本医疗保险、失业保险、工伤保险和生育保险等社会保险费；</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④通过银行等金融机构向安置的每位残疾人，按月支付了不低于单位所在区县适用的经省级人民政府批准的月最低工资标准的工资；</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24.5信用记录指由财政部确定的有关网站提供的相关主体信用信息。信用记录的查询及使用应符合财政部文件（财库[2016]125号）规定。</w:t>
      </w:r>
    </w:p>
    <w:p>
      <w:pPr>
        <w:pStyle w:val="17"/>
        <w:widowControl/>
        <w:spacing w:beforeAutospacing="0" w:afterAutospacing="0" w:line="276" w:lineRule="auto"/>
        <w:jc w:val="center"/>
        <w:rPr>
          <w:rStyle w:val="23"/>
          <w:rFonts w:hint="eastAsia"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Style w:val="23"/>
          <w:rFonts w:hint="eastAsia"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九、根据采购项目特点或政策需要补充的其他内容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25.履约保证金</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25.1采购人可以根据项目特点和需要，确定是否要求成交供应商在合同签订前，按照谈判文件规定的时间、形式、金额提交履约保证金，履约保证金的数额不超过中标合同金额的10%，具体详见竞争性谈判须知前附表第1</w:t>
      </w:r>
      <w:r>
        <w:rPr>
          <w:rFonts w:hint="eastAsia" w:ascii="仿宋" w:hAnsi="仿宋" w:eastAsia="仿宋" w:cs="仿宋"/>
          <w:color w:val="000000" w:themeColor="text1"/>
          <w:lang w:val="en-US" w:eastAsia="zh-CN"/>
          <w14:textFill>
            <w14:solidFill>
              <w14:schemeClr w14:val="tx1"/>
            </w14:solidFill>
          </w14:textFill>
        </w:rPr>
        <w:t>2</w:t>
      </w:r>
      <w:r>
        <w:rPr>
          <w:rFonts w:ascii="仿宋" w:hAnsi="仿宋" w:eastAsia="仿宋" w:cs="仿宋"/>
          <w:color w:val="000000" w:themeColor="text1"/>
          <w14:textFill>
            <w14:solidFill>
              <w14:schemeClr w14:val="tx1"/>
            </w14:solidFill>
          </w14:textFill>
        </w:rPr>
        <w:t>项规定。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25.2谈判文件要求在合同签订前提交履约保证金，如果成交供应商无故拖延或者拒不提交履约保证金的，则视为成交供应商拒绝与采购人签订合同，该成交供应商将承担违法行为的法律责任。</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26.其他新增内容：</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26.1根据采购项目特点或政策需要补充的其他新增内容详见竞争性谈判须知前附表第</w:t>
      </w:r>
      <w:r>
        <w:rPr>
          <w:rFonts w:hint="eastAsia" w:ascii="仿宋" w:hAnsi="仿宋" w:eastAsia="仿宋" w:cs="仿宋"/>
          <w:color w:val="000000" w:themeColor="text1"/>
          <w:lang w:val="en-US" w:eastAsia="zh-CN"/>
          <w14:textFill>
            <w14:solidFill>
              <w14:schemeClr w14:val="tx1"/>
            </w14:solidFill>
          </w14:textFill>
        </w:rPr>
        <w:t>13</w:t>
      </w:r>
      <w:r>
        <w:rPr>
          <w:rFonts w:ascii="仿宋" w:hAnsi="仿宋" w:eastAsia="仿宋" w:cs="仿宋"/>
          <w:color w:val="000000" w:themeColor="text1"/>
          <w14:textFill>
            <w14:solidFill>
              <w14:schemeClr w14:val="tx1"/>
            </w14:solidFill>
          </w14:textFill>
        </w:rPr>
        <w:t>项。</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3"/>
          <w:rFonts w:ascii="仿宋" w:hAnsi="仿宋" w:eastAsia="仿宋"/>
          <w:b/>
          <w:color w:val="000000" w:themeColor="text1"/>
          <w:szCs w:val="28"/>
          <w14:textFill>
            <w14:solidFill>
              <w14:schemeClr w14:val="tx1"/>
            </w14:solidFill>
          </w14:textFill>
        </w:rPr>
      </w:pPr>
      <w:bookmarkStart w:id="13" w:name="_Toc9861"/>
      <w:r>
        <w:rPr>
          <w:rFonts w:hint="eastAsia" w:ascii="仿宋" w:hAnsi="仿宋" w:eastAsia="仿宋" w:cs="仿宋"/>
          <w:color w:val="000000" w:themeColor="text1"/>
          <w:sz w:val="32"/>
          <w:szCs w:val="32"/>
          <w14:textFill>
            <w14:solidFill>
              <w14:schemeClr w14:val="tx1"/>
            </w14:solidFill>
          </w14:textFill>
        </w:rPr>
        <w:t>第三章</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采购内容及要求</w:t>
      </w:r>
      <w:bookmarkEnd w:id="13"/>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right="-708" w:rightChars="-337"/>
        <w:jc w:val="left"/>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一、</w:t>
      </w:r>
      <w:r>
        <w:rPr>
          <w:rFonts w:hint="eastAsia" w:ascii="仿宋" w:hAnsi="仿宋" w:eastAsia="仿宋"/>
          <w:b/>
          <w:color w:val="000000" w:themeColor="text1"/>
          <w:sz w:val="24"/>
          <w14:textFill>
            <w14:solidFill>
              <w14:schemeClr w14:val="tx1"/>
            </w14:solidFill>
          </w14:textFill>
        </w:rPr>
        <w:t>项目概况</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1、本项目为泉州师范学院的主校区学生公寓走廊及卫生间吊顶板采购（三次），本次维修更换范围包括但不限于B区5号楼、B区10号楼、C区14号楼走廊吊顶和四十多间宿舍卫生间吊顶板及灯具。</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2、本项目不集中组织现场踏勘，供应商如有意踏勘现场的（相关责任由供应商自行承担），谈判公告期间，每天上午8:30—12:00可与校区管理人员联系踏勘现场，联系方式如下：官先生19859016716。</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3、本项目最高控制价为人民币25.00万元。</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二、技术要求和服务要求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lang w:val="en-US" w:eastAsia="zh-CN"/>
          <w14:textFill>
            <w14:solidFill>
              <w14:schemeClr w14:val="tx1"/>
            </w14:solidFill>
          </w14:textFill>
        </w:rPr>
      </w:pPr>
      <w:bookmarkStart w:id="14" w:name="_Toc12488"/>
      <w:r>
        <w:rPr>
          <w:rFonts w:hint="eastAsia" w:ascii="仿宋" w:hAnsi="仿宋" w:eastAsia="仿宋" w:cs="仿宋"/>
          <w:b/>
          <w:bCs/>
          <w:color w:val="000000" w:themeColor="text1"/>
          <w:kern w:val="0"/>
          <w:sz w:val="24"/>
          <w:szCs w:val="22"/>
          <w:lang w:val="en-US" w:eastAsia="zh-CN"/>
          <w14:textFill>
            <w14:solidFill>
              <w14:schemeClr w14:val="tx1"/>
            </w14:solidFill>
          </w14:textFill>
        </w:rPr>
        <w:t>（一）采购清单及参数要求</w:t>
      </w:r>
    </w:p>
    <w:tbl>
      <w:tblPr>
        <w:tblStyle w:val="20"/>
        <w:tblW w:w="5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150"/>
        <w:gridCol w:w="4425"/>
        <w:gridCol w:w="844"/>
        <w:gridCol w:w="825"/>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序号</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品名</w:t>
            </w:r>
          </w:p>
        </w:tc>
        <w:tc>
          <w:tcPr>
            <w:tcW w:w="2381"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参数</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数量</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单位</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最高控制单价（元）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宿舍走廊及卫生间吊顶板</w:t>
            </w:r>
          </w:p>
        </w:tc>
        <w:tc>
          <w:tcPr>
            <w:tcW w:w="2381" w:type="pct"/>
            <w:noWrap w:val="0"/>
            <w:vAlign w:val="center"/>
          </w:tcPr>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1、铝制扣板</w:t>
            </w:r>
          </w:p>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①规格：铝制扣板600x600mm.(以实际尺寸为准）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②铝扣材质：选用优质铝合金铝板，铝板厚度为≥0.7mm厚度。</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③铝板重量：每块≥500克。</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2、龙骨：采用100系列烤漆三角龙骨铁质材料，每支重量≥400克，</w:t>
            </w:r>
            <w:r>
              <w:rPr>
                <w:rFonts w:hint="eastAsia" w:ascii="仿宋" w:hAnsi="仿宋" w:eastAsia="仿宋" w:cs="仿宋"/>
                <w:color w:val="000000" w:themeColor="text1"/>
                <w:kern w:val="2"/>
                <w:sz w:val="24"/>
                <w:szCs w:val="24"/>
                <w:lang w:val="en-US" w:eastAsia="zh-CN" w:bidi="ar-SA"/>
                <w14:textFill>
                  <w14:solidFill>
                    <w14:schemeClr w14:val="tx1"/>
                  </w14:solidFill>
                </w14:textFill>
              </w:rPr>
              <w:t>长度3米</w:t>
            </w: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3、主龙骨：选用铁质加厚材质，每支重量≥500克，</w:t>
            </w:r>
            <w:r>
              <w:rPr>
                <w:rFonts w:hint="eastAsia" w:ascii="仿宋" w:hAnsi="仿宋" w:eastAsia="仿宋" w:cs="仿宋"/>
                <w:color w:val="000000" w:themeColor="text1"/>
                <w:kern w:val="2"/>
                <w:sz w:val="24"/>
                <w:szCs w:val="24"/>
                <w:lang w:val="en-US" w:eastAsia="zh-CN" w:bidi="ar-SA"/>
                <w14:textFill>
                  <w14:solidFill>
                    <w14:schemeClr w14:val="tx1"/>
                  </w14:solidFill>
                </w14:textFill>
              </w:rPr>
              <w:t>长度3米</w:t>
            </w: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4、吊杆：采用直径6mm铁质优质吊杆，长度为</w:t>
            </w:r>
            <w:r>
              <w:rPr>
                <w:rFonts w:hint="eastAsia" w:ascii="仿宋" w:hAnsi="仿宋" w:eastAsia="仿宋" w:cs="仿宋"/>
                <w:color w:val="000000" w:themeColor="text1"/>
                <w:kern w:val="2"/>
                <w:sz w:val="24"/>
                <w:szCs w:val="24"/>
                <w:lang w:val="en-US" w:eastAsia="zh-CN" w:bidi="ar-SA"/>
                <w14:textFill>
                  <w14:solidFill>
                    <w14:schemeClr w14:val="tx1"/>
                  </w14:solidFill>
                </w14:textFill>
              </w:rPr>
              <w:t>2.8米</w:t>
            </w: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，需具有不易生锈抗腐蚀经久耐用等特点。  </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w:t>
            </w:r>
            <w:bookmarkStart w:id="15" w:name="OLE_LINK1"/>
            <w:r>
              <w:rPr>
                <w:rFonts w:hint="eastAsia" w:ascii="仿宋" w:hAnsi="仿宋" w:eastAsia="仿宋" w:cs="仿宋"/>
                <w:color w:val="000000" w:themeColor="text1"/>
                <w:kern w:val="2"/>
                <w:sz w:val="24"/>
                <w:szCs w:val="24"/>
                <w:lang w:val="en-US" w:eastAsia="zh-CN" w:bidi="ar-SA"/>
                <w14:textFill>
                  <w14:solidFill>
                    <w14:schemeClr w14:val="tx1"/>
                  </w14:solidFill>
                </w14:textFill>
              </w:rPr>
              <w:t>角线</w:t>
            </w:r>
            <w:bookmarkEnd w:id="15"/>
            <w:r>
              <w:rPr>
                <w:rFonts w:hint="eastAsia" w:ascii="仿宋" w:hAnsi="仿宋" w:eastAsia="仿宋" w:cs="仿宋"/>
                <w:color w:val="000000" w:themeColor="text1"/>
                <w:kern w:val="2"/>
                <w:sz w:val="24"/>
                <w:szCs w:val="24"/>
                <w:lang w:val="en-US" w:eastAsia="zh-CN" w:bidi="ar-SA"/>
                <w14:textFill>
                  <w14:solidFill>
                    <w14:schemeClr w14:val="tx1"/>
                  </w14:solidFill>
                </w14:textFill>
              </w:rPr>
              <w:t>：选用珠光白≥0.4mm厚度的优质铝材，可以起到整体效果协调一致的优点。</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（以上材料供应商需携带样品）</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2110</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LED照明灯具</w:t>
            </w:r>
          </w:p>
        </w:tc>
        <w:tc>
          <w:tcPr>
            <w:tcW w:w="2381" w:type="pct"/>
            <w:noWrap w:val="0"/>
            <w:vAlign w:val="center"/>
          </w:tcPr>
          <w:p>
            <w:pPr>
              <w:pStyle w:val="45"/>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1、规格：600*600mm</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2、材质：框架为铝制结构，被盖铁材质，灯罩PC材料，具有防氧化、防变黄化材质、抗静电。</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3、功率：60W（外驱动、无频闪）。</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4、色温：6500K</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灯具质保期为两年，供应商需携带灯具样品。</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（电线及开关利旧使用）</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个</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70</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lang w:val="en-US" w:eastAsia="zh-CN"/>
          <w14:textFill>
            <w14:solidFill>
              <w14:schemeClr w14:val="tx1"/>
            </w14:solidFill>
          </w14:textFill>
        </w:rPr>
      </w:pPr>
      <w:r>
        <w:rPr>
          <w:rFonts w:hint="eastAsia" w:ascii="仿宋" w:hAnsi="仿宋" w:eastAsia="仿宋" w:cs="仿宋"/>
          <w:b/>
          <w:bCs/>
          <w:color w:val="000000" w:themeColor="text1"/>
          <w:kern w:val="0"/>
          <w:sz w:val="24"/>
          <w:szCs w:val="22"/>
          <w:lang w:val="en-US" w:eastAsia="zh-CN"/>
          <w14:textFill>
            <w14:solidFill>
              <w14:schemeClr w14:val="tx1"/>
            </w14:solidFill>
          </w14:textFill>
        </w:rPr>
        <w:t>（二）吊顶板外观及性能要求：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1、板材边部应切齐，无毛刺、裂边、外观整洁、图案清晰、装饰表面不得有明显压痕。</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2、供应商需提供产品具备耐酸性、耐碱性、耐油性、耐沸水性等检测证明材料。</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3、供应商需提供符合GB/T23444-2009《金属及金属复合材质吊顶板》要求检测证明材料。</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lang w:val="en-US" w:eastAsia="zh-CN"/>
          <w14:textFill>
            <w14:solidFill>
              <w14:schemeClr w14:val="tx1"/>
            </w14:solidFill>
          </w14:textFill>
        </w:rPr>
      </w:pPr>
      <w:r>
        <w:rPr>
          <w:rFonts w:hint="eastAsia" w:ascii="仿宋" w:hAnsi="仿宋" w:eastAsia="仿宋" w:cs="仿宋"/>
          <w:b/>
          <w:bCs/>
          <w:color w:val="000000" w:themeColor="text1"/>
          <w:kern w:val="0"/>
          <w:sz w:val="24"/>
          <w:szCs w:val="22"/>
          <w:lang w:val="en-US" w:eastAsia="zh-CN"/>
          <w14:textFill>
            <w14:solidFill>
              <w14:schemeClr w14:val="tx1"/>
            </w14:solidFill>
          </w14:textFill>
        </w:rPr>
        <w:t>（三）安装要求：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1、成交供应商负责对原有的走廊吊顶板及宿舍卫生间吊顶板及灯具进行拆除处理、对所产生的垃圾进行清运。</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2、成交供应商对新的吊顶板边角接缝处需进行封边处理及更换新的金属龙骨边架。</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lang w:eastAsia="zh-CN"/>
          <w14:textFill>
            <w14:solidFill>
              <w14:schemeClr w14:val="tx1"/>
            </w14:solidFill>
          </w14:textFill>
        </w:rPr>
      </w:pPr>
      <w:r>
        <w:rPr>
          <w:rFonts w:hint="eastAsia" w:ascii="仿宋" w:hAnsi="仿宋" w:eastAsia="仿宋" w:cs="仿宋"/>
          <w:b/>
          <w:bCs/>
          <w:color w:val="000000" w:themeColor="text1"/>
          <w:kern w:val="0"/>
          <w:sz w:val="24"/>
          <w:szCs w:val="22"/>
          <w:lang w:eastAsia="zh-CN"/>
          <w14:textFill>
            <w14:solidFill>
              <w14:schemeClr w14:val="tx1"/>
            </w14:solidFill>
          </w14:textFill>
        </w:rPr>
        <w:t>（四）样品要求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1、需提供样品的数量及要求</w:t>
      </w:r>
    </w:p>
    <w:tbl>
      <w:tblPr>
        <w:tblStyle w:val="21"/>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941"/>
        <w:gridCol w:w="788"/>
        <w:gridCol w:w="4387"/>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0"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序号</w:t>
            </w:r>
          </w:p>
        </w:tc>
        <w:tc>
          <w:tcPr>
            <w:tcW w:w="941"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品名</w:t>
            </w: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样品名称</w:t>
            </w:r>
          </w:p>
        </w:tc>
        <w:tc>
          <w:tcPr>
            <w:tcW w:w="4387"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规格及参数要求</w:t>
            </w:r>
          </w:p>
        </w:tc>
        <w:tc>
          <w:tcPr>
            <w:tcW w:w="2045"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提供样品尺寸及数量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0" w:type="dxa"/>
            <w:vMerge w:val="restart"/>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941" w:type="dxa"/>
            <w:vMerge w:val="restart"/>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宿舍走廊及卫生间吊顶板</w:t>
            </w: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铝制扣板</w:t>
            </w:r>
          </w:p>
        </w:tc>
        <w:tc>
          <w:tcPr>
            <w:tcW w:w="4387" w:type="dxa"/>
            <w:noWrap w:val="0"/>
            <w:vAlign w:val="center"/>
          </w:tcPr>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①规格：铝制扣板600x600mm.(以实际尺寸为准）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②铝扣材质：选用优质铝合金铝板，铝板厚度为≥0.7mm厚度。</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③铝板重量：每块≥500克。</w:t>
            </w:r>
          </w:p>
        </w:tc>
        <w:tc>
          <w:tcPr>
            <w:tcW w:w="2045" w:type="dxa"/>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一块：600x600mm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941"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龙骨</w:t>
            </w:r>
          </w:p>
        </w:tc>
        <w:tc>
          <w:tcPr>
            <w:tcW w:w="4387" w:type="dxa"/>
            <w:noWrap w:val="0"/>
            <w:vAlign w:val="center"/>
          </w:tcPr>
          <w:p>
            <w:pPr>
              <w:pStyle w:val="9"/>
              <w:spacing w:line="24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采用100系列烤漆三角龙骨铁质材料，每支重量≥400克。</w:t>
            </w:r>
          </w:p>
        </w:tc>
        <w:tc>
          <w:tcPr>
            <w:tcW w:w="2045" w:type="dxa"/>
            <w:noWrap w:val="0"/>
            <w:vAlign w:val="center"/>
          </w:tcPr>
          <w:p>
            <w:pPr>
              <w:pStyle w:val="9"/>
              <w:spacing w:line="240" w:lineRule="auto"/>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一段：3米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941"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主龙骨</w:t>
            </w:r>
          </w:p>
        </w:tc>
        <w:tc>
          <w:tcPr>
            <w:tcW w:w="4387" w:type="dxa"/>
            <w:noWrap w:val="0"/>
            <w:vAlign w:val="center"/>
          </w:tcPr>
          <w:p>
            <w:pPr>
              <w:pStyle w:val="9"/>
              <w:spacing w:line="24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选用铁质加厚材质，每支重量≥500克。</w:t>
            </w:r>
          </w:p>
        </w:tc>
        <w:tc>
          <w:tcPr>
            <w:tcW w:w="2045" w:type="dxa"/>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一段：3米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941"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吊杆</w:t>
            </w:r>
          </w:p>
        </w:tc>
        <w:tc>
          <w:tcPr>
            <w:tcW w:w="4387" w:type="dxa"/>
            <w:noWrap w:val="0"/>
            <w:vAlign w:val="center"/>
          </w:tcPr>
          <w:p>
            <w:pPr>
              <w:pStyle w:val="9"/>
              <w:spacing w:line="24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采用直径6mm铁质优质吊杆，需具有不易生锈抗腐蚀经久耐用等特点。</w:t>
            </w:r>
          </w:p>
        </w:tc>
        <w:tc>
          <w:tcPr>
            <w:tcW w:w="2045" w:type="dxa"/>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一段：2.8米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p>
        </w:tc>
        <w:tc>
          <w:tcPr>
            <w:tcW w:w="941" w:type="dxa"/>
            <w:vMerge w:val="continue"/>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角线</w:t>
            </w:r>
          </w:p>
        </w:tc>
        <w:tc>
          <w:tcPr>
            <w:tcW w:w="4387" w:type="dxa"/>
            <w:noWrap w:val="0"/>
            <w:vAlign w:val="center"/>
          </w:tcPr>
          <w:p>
            <w:pPr>
              <w:pStyle w:val="9"/>
              <w:spacing w:line="24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选用珠光白≥0.4mm厚度的优质铝材，可以起到整体效果协调一致的优点。</w:t>
            </w:r>
          </w:p>
        </w:tc>
        <w:tc>
          <w:tcPr>
            <w:tcW w:w="2045" w:type="dxa"/>
            <w:noWrap w:val="0"/>
            <w:vAlign w:val="center"/>
          </w:tcPr>
          <w:p>
            <w:pPr>
              <w:pStyle w:val="9"/>
              <w:spacing w:line="240" w:lineRule="auto"/>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一段：10厘米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noWrap w:val="0"/>
            <w:vAlign w:val="center"/>
          </w:tcPr>
          <w:p>
            <w:pPr>
              <w:pStyle w:val="9"/>
              <w:spacing w:line="24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941" w:type="dxa"/>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LED照明灯具</w:t>
            </w:r>
          </w:p>
        </w:tc>
        <w:tc>
          <w:tcPr>
            <w:tcW w:w="788" w:type="dxa"/>
            <w:noWrap w:val="0"/>
            <w:vAlign w:val="center"/>
          </w:tcPr>
          <w:p>
            <w:pPr>
              <w:pStyle w:val="9"/>
              <w:spacing w:line="24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c>
          <w:tcPr>
            <w:tcW w:w="4387" w:type="dxa"/>
            <w:noWrap w:val="0"/>
            <w:vAlign w:val="center"/>
          </w:tcPr>
          <w:p>
            <w:pPr>
              <w:pStyle w:val="45"/>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1、规格：600*600mm</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2、材质：框架为铝制结构，被盖铁材质，灯罩PC材料，具有防氧化、防变黄化材质、抗静电。</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3、功率：60W（外驱动、无频闪）。</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4、色温：6500</w:t>
            </w:r>
            <w:r>
              <w:rPr>
                <w:rFonts w:hint="eastAsia" w:ascii="仿宋" w:hAnsi="仿宋" w:eastAsia="仿宋" w:cs="仿宋"/>
                <w:color w:val="000000" w:themeColor="text1"/>
                <w:kern w:val="2"/>
                <w:sz w:val="24"/>
                <w:szCs w:val="24"/>
                <w:lang w:val="en-US" w:eastAsia="zh-CN" w:bidi="ar-SA"/>
                <w14:textFill>
                  <w14:solidFill>
                    <w14:schemeClr w14:val="tx1"/>
                  </w14:solidFill>
                </w14:textFill>
              </w:rPr>
              <w:t>K</w:t>
            </w:r>
          </w:p>
        </w:tc>
        <w:tc>
          <w:tcPr>
            <w:tcW w:w="2045" w:type="dxa"/>
            <w:noWrap w:val="0"/>
            <w:vAlign w:val="center"/>
          </w:tcPr>
          <w:p>
            <w:pPr>
              <w:pStyle w:val="9"/>
              <w:spacing w:line="240" w:lineRule="auto"/>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1个</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2、投标样品上应标明项目名称、项目编号、样品名称。投标样品不能有可以识别投标人的任何标记；投标样品是响应文件的重要组成部分，若供应商未提供样品或样品未按要求封装或样品技术参数、外观造型、规格尺寸未按谈判文件要求提供,</w:t>
      </w:r>
      <w:r>
        <w:rPr>
          <w:rFonts w:hint="eastAsia" w:ascii="仿宋" w:hAnsi="仿宋" w:eastAsia="仿宋" w:cs="仿宋"/>
          <w:b/>
          <w:bCs/>
          <w:color w:val="000000" w:themeColor="text1"/>
          <w:kern w:val="0"/>
          <w:sz w:val="24"/>
          <w:szCs w:val="22"/>
          <w:lang w:val="en-US" w:eastAsia="zh-CN"/>
          <w14:textFill>
            <w14:solidFill>
              <w14:schemeClr w14:val="tx1"/>
            </w14:solidFill>
          </w14:textFill>
        </w:rPr>
        <w:t>经评审委员会判定为未实质性响应招标文件的技术要求的，则不推荐为中标候选人</w:t>
      </w: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3、样品递交方式：供应商的样品在响应文件递交截止时间前随响应文件一并交付，逾期送达的样品不予接收。</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4、供应商自行提供纸箱或遮盖物（如大尺寸的布等）对样品进行遮盖，否则样品在搬运或存放过程中导致的刮擦磨损、遗漏、少件等，其后果由供应商自行承担。</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5、评审过程中谈判专家小组有权将样品进行破坏性测试，由此造成的损坏及相关费用由供应商自行承担。</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6、样品将作为评审及验收的主要依据之一，成交候选人样品封存作为验收依据之一，其他供应商样品在采购活动结束后立即自行领回。</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u w:val="single"/>
          <w:lang w:val="en-US" w:eastAsia="zh-CN"/>
          <w14:textFill>
            <w14:solidFill>
              <w14:schemeClr w14:val="tx1"/>
            </w14:solidFill>
          </w14:textFill>
        </w:rPr>
      </w:pPr>
      <w:r>
        <w:rPr>
          <w:rFonts w:hint="eastAsia" w:ascii="仿宋" w:hAnsi="仿宋" w:eastAsia="仿宋" w:cs="仿宋"/>
          <w:b/>
          <w:bCs/>
          <w:color w:val="000000" w:themeColor="text1"/>
          <w:kern w:val="0"/>
          <w:sz w:val="24"/>
          <w:szCs w:val="22"/>
          <w:u w:val="single"/>
          <w:lang w:val="en-US" w:eastAsia="zh-CN"/>
          <w14:textFill>
            <w14:solidFill>
              <w14:schemeClr w14:val="tx1"/>
            </w14:solidFill>
          </w14:textFill>
        </w:rPr>
        <w:t>备注：以上所有要求均为带★的基本要求，不允许负偏离，否则视为无效响应。</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ascii="仿宋" w:hAnsi="仿宋" w:eastAsia="仿宋" w:cs="仿宋"/>
          <w:b/>
          <w:bCs/>
          <w:color w:val="000000" w:themeColor="text1"/>
          <w:kern w:val="0"/>
          <w:sz w:val="24"/>
          <w:szCs w:val="22"/>
          <w14:textFill>
            <w14:solidFill>
              <w14:schemeClr w14:val="tx1"/>
            </w14:solidFill>
          </w14:textFill>
        </w:rPr>
      </w:pPr>
      <w:r>
        <w:rPr>
          <w:rFonts w:hint="eastAsia" w:ascii="仿宋" w:hAnsi="仿宋" w:eastAsia="仿宋" w:cs="仿宋"/>
          <w:b/>
          <w:bCs/>
          <w:color w:val="000000" w:themeColor="text1"/>
          <w:kern w:val="0"/>
          <w:sz w:val="24"/>
          <w:szCs w:val="22"/>
          <w14:textFill>
            <w14:solidFill>
              <w14:schemeClr w14:val="tx1"/>
            </w14:solidFill>
          </w14:textFill>
        </w:rPr>
        <w:t>三、商务条件</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kern w:val="0"/>
          <w:sz w:val="24"/>
          <w:lang w:eastAsia="zh-CN"/>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包：1</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bCs/>
          <w:color w:val="000000" w:themeColor="text1"/>
          <w:kern w:val="0"/>
          <w:sz w:val="24"/>
          <w:lang w:eastAsia="zh-CN" w:bidi="en-US"/>
          <w14:textFill>
            <w14:solidFill>
              <w14:schemeClr w14:val="tx1"/>
            </w14:solidFill>
          </w14:textFill>
        </w:rPr>
      </w:pPr>
      <w:r>
        <w:rPr>
          <w:rFonts w:ascii="仿宋" w:hAnsi="仿宋" w:eastAsia="仿宋" w:cs="仿宋"/>
          <w:b/>
          <w:bCs/>
          <w:color w:val="000000" w:themeColor="text1"/>
          <w:kern w:val="0"/>
          <w:sz w:val="24"/>
          <w:lang w:bidi="en-US"/>
          <w14:textFill>
            <w14:solidFill>
              <w14:schemeClr w14:val="tx1"/>
            </w14:solidFill>
          </w14:textFill>
        </w:rPr>
        <w:t>1、交付地点：</w:t>
      </w:r>
      <w:r>
        <w:rPr>
          <w:rFonts w:hint="eastAsia" w:ascii="仿宋" w:hAnsi="仿宋" w:eastAsia="仿宋" w:cs="仿宋"/>
          <w:b/>
          <w:bCs/>
          <w:color w:val="000000" w:themeColor="text1"/>
          <w:kern w:val="0"/>
          <w:sz w:val="24"/>
          <w:lang w:bidi="en-US"/>
          <w14:textFill>
            <w14:solidFill>
              <w14:schemeClr w14:val="tx1"/>
            </w14:solidFill>
          </w14:textFill>
        </w:rPr>
        <w:t>采购人指定地点</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bCs/>
          <w:color w:val="000000" w:themeColor="text1"/>
          <w:kern w:val="0"/>
          <w:sz w:val="24"/>
          <w:lang w:eastAsia="zh-CN" w:bidi="en-US"/>
          <w14:textFill>
            <w14:solidFill>
              <w14:schemeClr w14:val="tx1"/>
            </w14:solidFill>
          </w14:textFill>
        </w:rPr>
      </w:pPr>
      <w:r>
        <w:rPr>
          <w:rFonts w:ascii="仿宋" w:hAnsi="仿宋" w:eastAsia="仿宋" w:cs="仿宋"/>
          <w:b/>
          <w:bCs/>
          <w:color w:val="000000" w:themeColor="text1"/>
          <w:kern w:val="0"/>
          <w:sz w:val="24"/>
          <w:lang w:bidi="en-US"/>
          <w14:textFill>
            <w14:solidFill>
              <w14:schemeClr w14:val="tx1"/>
            </w14:solidFill>
          </w14:textFill>
        </w:rPr>
        <w:t>2、交付时间：</w:t>
      </w:r>
      <w:r>
        <w:rPr>
          <w:rFonts w:hint="eastAsia" w:ascii="仿宋" w:hAnsi="仿宋" w:eastAsia="仿宋" w:cs="仿宋"/>
          <w:b/>
          <w:bCs/>
          <w:color w:val="000000" w:themeColor="text1"/>
          <w:kern w:val="0"/>
          <w:sz w:val="24"/>
          <w:lang w:val="en-US" w:eastAsia="zh-CN" w:bidi="en-US"/>
          <w14:textFill>
            <w14:solidFill>
              <w14:schemeClr w14:val="tx1"/>
            </w14:solidFill>
          </w14:textFill>
        </w:rPr>
        <w:t>签订合同30天内完成安装及调试</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kern w:val="0"/>
          <w:sz w:val="24"/>
          <w:lang w:eastAsia="zh-CN"/>
          <w14:textFill>
            <w14:solidFill>
              <w14:schemeClr w14:val="tx1"/>
            </w14:solidFill>
          </w14:textFill>
        </w:rPr>
      </w:pPr>
      <w:r>
        <w:rPr>
          <w:rFonts w:ascii="仿宋" w:hAnsi="仿宋" w:eastAsia="仿宋" w:cs="仿宋"/>
          <w:b/>
          <w:bCs/>
          <w:color w:val="000000" w:themeColor="text1"/>
          <w:kern w:val="0"/>
          <w:sz w:val="24"/>
          <w:lang w:bidi="en-US"/>
          <w14:textFill>
            <w14:solidFill>
              <w14:schemeClr w14:val="tx1"/>
            </w14:solidFill>
          </w14:textFill>
        </w:rPr>
        <w:t>3、交付条件：验收合格</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kern w:val="0"/>
          <w:sz w:val="24"/>
          <w:lang w:eastAsia="zh-CN"/>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4</w:t>
      </w:r>
      <w:r>
        <w:rPr>
          <w:rFonts w:hint="eastAsia" w:ascii="仿宋" w:hAnsi="仿宋" w:eastAsia="仿宋" w:cs="仿宋"/>
          <w:b/>
          <w:color w:val="000000" w:themeColor="text1"/>
          <w:kern w:val="0"/>
          <w:sz w:val="24"/>
          <w:lang w:eastAsia="zh-CN"/>
          <w14:textFill>
            <w14:solidFill>
              <w14:schemeClr w14:val="tx1"/>
            </w14:solidFill>
          </w14:textFill>
        </w:rPr>
        <w:t>、</w:t>
      </w:r>
      <w:r>
        <w:rPr>
          <w:rFonts w:hint="eastAsia" w:ascii="仿宋" w:hAnsi="仿宋" w:eastAsia="仿宋" w:cs="仿宋"/>
          <w:b/>
          <w:color w:val="000000" w:themeColor="text1"/>
          <w:kern w:val="0"/>
          <w:sz w:val="24"/>
          <w14:textFill>
            <w14:solidFill>
              <w14:schemeClr w14:val="tx1"/>
            </w14:solidFill>
          </w14:textFill>
        </w:rPr>
        <w:t>是否收取履约保证金：</w:t>
      </w:r>
      <w:r>
        <w:rPr>
          <w:rFonts w:hint="eastAsia" w:ascii="仿宋" w:hAnsi="仿宋" w:eastAsia="仿宋" w:cs="仿宋"/>
          <w:b/>
          <w:color w:val="000000" w:themeColor="text1"/>
          <w:kern w:val="0"/>
          <w:sz w:val="24"/>
          <w:lang w:eastAsia="zh-CN"/>
          <w14:textFill>
            <w14:solidFill>
              <w14:schemeClr w14:val="tx1"/>
            </w14:solidFill>
          </w14:textFill>
        </w:rPr>
        <w:t>是。说明：</w:t>
      </w:r>
      <w:r>
        <w:rPr>
          <w:rFonts w:hint="eastAsia" w:ascii="仿宋" w:hAnsi="仿宋" w:eastAsia="仿宋" w:cs="仿宋"/>
          <w:b/>
          <w:color w:val="000000" w:themeColor="text1"/>
          <w:kern w:val="0"/>
          <w:sz w:val="24"/>
          <w:lang w:val="en-US" w:eastAsia="zh-CN"/>
          <w14:textFill>
            <w14:solidFill>
              <w14:schemeClr w14:val="tx1"/>
            </w14:solidFill>
          </w14:textFill>
        </w:rPr>
        <w:t xml:space="preserve">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5</w:t>
      </w:r>
      <w:r>
        <w:rPr>
          <w:rFonts w:hint="eastAsia" w:ascii="仿宋" w:hAnsi="仿宋" w:eastAsia="仿宋" w:cs="仿宋"/>
          <w:b/>
          <w:color w:val="000000" w:themeColor="text1"/>
          <w:kern w:val="0"/>
          <w:sz w:val="24"/>
          <w:lang w:eastAsia="zh-CN"/>
          <w14:textFill>
            <w14:solidFill>
              <w14:schemeClr w14:val="tx1"/>
            </w14:solidFill>
          </w14:textFill>
        </w:rPr>
        <w:t>、</w:t>
      </w:r>
      <w:r>
        <w:rPr>
          <w:rFonts w:hint="eastAsia" w:ascii="仿宋" w:hAnsi="仿宋" w:eastAsia="仿宋" w:cs="仿宋"/>
          <w:b/>
          <w:color w:val="000000" w:themeColor="text1"/>
          <w:kern w:val="0"/>
          <w:sz w:val="24"/>
          <w14:textFill>
            <w14:solidFill>
              <w14:schemeClr w14:val="tx1"/>
            </w14:solidFill>
          </w14:textFill>
        </w:rPr>
        <w:t>是否邀请投标人参与验收：否</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 xml:space="preserve">6.验收方式数据表格 </w:t>
      </w:r>
    </w:p>
    <w:tbl>
      <w:tblPr>
        <w:tblStyle w:val="20"/>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5"/>
        <w:gridCol w:w="75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验收期次</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出厂检验：成交供应商需提供货物、安装材料、工具和文件的发货清单和计划，发货计划应经采购人认可后实施。成交供应商在设备出厂前，应按设备技术标准规定的检验项目和检验方法进行全面检验，结果必须符合验收标准的要求。成交供应商应随同货物出具供货证明、产地证书、出厂检验报告和设备质量合格证等，并负责将产品送达采购人指定交货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宋体"/>
                <w:color w:val="000000" w:themeColor="text1"/>
                <w:kern w:val="0"/>
                <w:sz w:val="24"/>
                <w:lang w:val="en-US" w:eastAsia="zh-CN" w:bidi="ar"/>
                <w14:textFill>
                  <w14:solidFill>
                    <w14:schemeClr w14:val="tx1"/>
                  </w14:solidFill>
                </w14:textFill>
              </w:rPr>
            </w:pPr>
            <w:r>
              <w:rPr>
                <w:rFonts w:hint="eastAsia" w:ascii="仿宋" w:hAnsi="仿宋" w:eastAsia="仿宋" w:cs="宋体"/>
                <w:color w:val="000000" w:themeColor="text1"/>
                <w:kern w:val="0"/>
                <w:sz w:val="24"/>
                <w:lang w:val="en-US" w:eastAsia="zh-CN" w:bidi="ar"/>
                <w14:textFill>
                  <w14:solidFill>
                    <w14:schemeClr w14:val="tx1"/>
                  </w14:solidFill>
                </w14:textFill>
              </w:rPr>
              <w:t>2</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天内交付合格的新品，逾期未处理的，将予以退货，由此产生的费用和采购人的损失，由成交供应商承担；选择退货处理的，成交供应商需在收到退货通知之日起10天内将货物自行运回，如逾期成交供应商未退回货物，采购人有权将货物退回成交供应商法定地址，由此产生的一切费用由成交供应商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宋体"/>
                <w:color w:val="000000" w:themeColor="text1"/>
                <w:kern w:val="0"/>
                <w:sz w:val="24"/>
                <w:lang w:val="en-US" w:eastAsia="zh-CN" w:bidi="ar"/>
                <w14:textFill>
                  <w14:solidFill>
                    <w14:schemeClr w14:val="tx1"/>
                  </w14:solidFill>
                </w14:textFill>
              </w:rPr>
            </w:pPr>
            <w:r>
              <w:rPr>
                <w:rFonts w:hint="eastAsia" w:ascii="仿宋" w:hAnsi="仿宋" w:eastAsia="仿宋" w:cs="宋体"/>
                <w:color w:val="000000" w:themeColor="text1"/>
                <w:kern w:val="0"/>
                <w:sz w:val="24"/>
                <w:lang w:val="en-US" w:eastAsia="zh-CN" w:bidi="ar"/>
                <w14:textFill>
                  <w14:solidFill>
                    <w14:schemeClr w14:val="tx1"/>
                  </w14:solidFill>
                </w14:textFill>
              </w:rPr>
              <w:t>3</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最终验收：设备在安装地安装、调试与试运行无问题之后30天内完成最终验收（因成交供应商原因导致无法验收的情况除外）。项目具备验收条件后，成交供应商应向采购人提出验收请求并提供完整的项目交接资料及交接报告。采购人收到验收请求后组织验收，验收合格后，签发验收单；验收不合格，采购人有权选择通知整改或退换货处理：①选择通知整改处理的，成交供应商需在收到整改通知日起30天内完成整改，逾期未处理，将按退货处理，由此产生的费用和采购人的损失，由成交供应商承担；②选择换货处理的，成交供应商需在收到换货通知日起30天内交付合格的新品，逾期未处理，将按退货处理，由此产生的费用和采购人的损失，由成交供应商承担；③选择退货处理的，成交供应商需在收到退货通知之日起10天内将货物自行运回，如逾期成交供应商未退回货物，采购人有权将货物退回成交供应商法定地址，由此产生的一切费用由成交供应商承担。</w:t>
            </w:r>
          </w:p>
        </w:tc>
      </w:tr>
    </w:tbl>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 xml:space="preserve">7.支付方式数据表格 </w:t>
      </w:r>
    </w:p>
    <w:tbl>
      <w:tblPr>
        <w:tblStyle w:val="20"/>
        <w:tblW w:w="4955" w:type="pct"/>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77"/>
        <w:gridCol w:w="1474"/>
        <w:gridCol w:w="58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Header/>
          <w:tblCellSpacing w:w="0" w:type="dxa"/>
        </w:trPr>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支付期次</w:t>
            </w:r>
          </w:p>
        </w:tc>
        <w:tc>
          <w:tcPr>
            <w:tcW w:w="8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支付比例(%)</w:t>
            </w:r>
          </w:p>
        </w:tc>
        <w:tc>
          <w:tcPr>
            <w:tcW w:w="3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p>
        </w:tc>
        <w:tc>
          <w:tcPr>
            <w:tcW w:w="8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100</w:t>
            </w:r>
          </w:p>
        </w:tc>
        <w:tc>
          <w:tcPr>
            <w:tcW w:w="3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（1）在所有货物经安装调试试运行完毕，经最终验收合格后30日内付清100%货款。</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（2）成交供应商、收款单位、购货票证开票单位三者应一致，成交供应商收款帐号应为中国人民银行批准的基本帐户。</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14:textFill>
            <w14:solidFill>
              <w14:schemeClr w14:val="tx1"/>
            </w14:solidFill>
          </w14:textFill>
        </w:rPr>
      </w:pPr>
      <w:r>
        <w:rPr>
          <w:rFonts w:hint="eastAsia" w:ascii="仿宋" w:hAnsi="仿宋" w:eastAsia="仿宋" w:cs="仿宋"/>
          <w:b/>
          <w:bCs/>
          <w:color w:val="000000" w:themeColor="text1"/>
          <w:kern w:val="0"/>
          <w:sz w:val="24"/>
          <w:szCs w:val="22"/>
          <w:lang w:val="en-US" w:eastAsia="zh-CN"/>
          <w14:textFill>
            <w14:solidFill>
              <w14:schemeClr w14:val="tx1"/>
            </w14:solidFill>
          </w14:textFill>
        </w:rPr>
        <w:t>8、</w:t>
      </w:r>
      <w:r>
        <w:rPr>
          <w:rFonts w:hint="eastAsia" w:ascii="仿宋" w:hAnsi="仿宋" w:eastAsia="仿宋" w:cs="仿宋"/>
          <w:b/>
          <w:bCs/>
          <w:color w:val="000000" w:themeColor="text1"/>
          <w:kern w:val="0"/>
          <w:sz w:val="24"/>
          <w:szCs w:val="22"/>
          <w:lang w:eastAsia="zh-CN"/>
          <w14:textFill>
            <w14:solidFill>
              <w14:schemeClr w14:val="tx1"/>
            </w14:solidFill>
          </w14:textFill>
        </w:rPr>
        <w:t>售后服务要求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8.1成交供应商对提供的货物或服务，因产品及服务质量、或知识产权纠纷等问题，必须提供保修、包换、包退等服务。</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8.2货物安装调试合格后，成交供应商负责对采购人技术人员进行免费现场培训，培训内容包括系统的功能、原理、使用与维护等，培训日程视实际情况另定。</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8.3质保期：成交供应商所供货物质保期自最终验收合格之日起开始计算，成交供应商需保证免费质保期为 24个月。成交供应商在接到用户设备故障电话通知起，由于故障而无法工作超过3天，质保期自动延长相应天数（延长天数从故障电话通知之日开始计算）。</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8.4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8.5质保期结束后，成交供应商需提供终身应用咨询、技术帮助及维护；货物一旦出现故障，成交供应商需协助采购人对货物进行维修，远程不能解决的，成交供应商需派出技术人员2个工作日内到现场进行维修，只收取人员差旅费，对设备故障需要更换的配件以成本价提供。</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8.6培训：成交供应商应结合本次采购的货物，有计划地对采购人派出管理、维护及使用人员进行安装现场的基本知识、使用、维护与保养技术的培训。</w:t>
      </w:r>
    </w:p>
    <w:p>
      <w:pPr>
        <w:widowControl/>
        <w:spacing w:line="276" w:lineRule="auto"/>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9、报价要求</w:t>
      </w:r>
    </w:p>
    <w:p>
      <w:pPr>
        <w:widowControl/>
        <w:spacing w:line="276" w:lineRule="auto"/>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9.1供应商根据本项目特点和自身条件确定投标报价。</w:t>
      </w:r>
    </w:p>
    <w:p>
      <w:pPr>
        <w:widowControl/>
        <w:spacing w:line="276" w:lineRule="auto"/>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9.2投标报价为整个项目的总报价，包括包装、运输、税收、装卸及搬运、旧吊顶板的拆除及清理、安装施工、保险、运行维护、验收、售后服务以及成交服务费等费用，如有漏项，视同已包含在其它项目中，投标总报价和单价不做调整。</w:t>
      </w:r>
    </w:p>
    <w:p>
      <w:pPr>
        <w:widowControl/>
        <w:spacing w:line="276" w:lineRule="auto"/>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9.3除由于采购人需求变更外，成交供应商应承担本谈判文件规定的所有费用和不可预见费用。</w:t>
      </w:r>
    </w:p>
    <w:p>
      <w:pPr>
        <w:widowControl/>
        <w:spacing w:line="276"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9.4本项目以人民币为结算货币。</w:t>
      </w:r>
    </w:p>
    <w:p>
      <w:pPr>
        <w:widowControl/>
        <w:spacing w:line="276" w:lineRule="auto"/>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10、违约责任</w:t>
      </w:r>
    </w:p>
    <w:p>
      <w:pPr>
        <w:widowControl/>
        <w:spacing w:line="276" w:lineRule="auto"/>
        <w:ind w:firstLine="117" w:firstLineChars="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10.1因成交供应商原因造成采购合同无法按时签订，视为成交供应商违约，成交供应商违约对采购人造成损失的，需支付相应的赔偿。</w:t>
      </w:r>
    </w:p>
    <w:p>
      <w:pPr>
        <w:widowControl/>
        <w:spacing w:line="276" w:lineRule="auto"/>
        <w:ind w:firstLine="117" w:firstLineChars="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10.2在签</w:t>
      </w:r>
      <w:r>
        <w:rPr>
          <w:rFonts w:hint="eastAsia" w:ascii="仿宋" w:hAnsi="仿宋" w:eastAsia="仿宋" w:cs="仿宋"/>
          <w:bCs/>
          <w:color w:val="000000" w:themeColor="text1"/>
          <w:sz w:val="24"/>
          <w:lang w:val="en-US" w:eastAsia="zh-CN"/>
          <w14:textFill>
            <w14:solidFill>
              <w14:schemeClr w14:val="tx1"/>
            </w14:solidFill>
          </w14:textFill>
        </w:rPr>
        <w:t>订</w:t>
      </w:r>
      <w:r>
        <w:rPr>
          <w:rFonts w:hint="eastAsia" w:ascii="仿宋" w:hAnsi="仿宋" w:eastAsia="仿宋" w:cs="仿宋"/>
          <w:bCs/>
          <w:color w:val="000000" w:themeColor="text1"/>
          <w:sz w:val="24"/>
          <w14:textFill>
            <w14:solidFill>
              <w14:schemeClr w14:val="tx1"/>
            </w14:solidFill>
          </w14:textFill>
        </w:rPr>
        <w:t>采购合同之后，成交供应商要求解除合同的，视为成交供应商违约，对采购人造成的损失的，成交供应商需支付相应的赔偿。</w:t>
      </w:r>
    </w:p>
    <w:p>
      <w:pPr>
        <w:widowControl/>
        <w:spacing w:line="276" w:lineRule="auto"/>
        <w:ind w:firstLine="117" w:firstLineChars="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10.3因成交供应商原因发生重大质量事故，除依约承担赔偿责任外，还将按有关质量管理办法规定执行。同时，采购人有权保留更换成交供应商的权利，并报相关行政主管部门处罚。</w:t>
      </w:r>
    </w:p>
    <w:p>
      <w:pPr>
        <w:widowControl/>
        <w:spacing w:line="276" w:lineRule="auto"/>
        <w:ind w:firstLine="117" w:firstLineChars="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10.4在明确违约责任后，成交供应商应在接到书面通知书起七天内支付违约金、赔偿金等。</w:t>
      </w:r>
    </w:p>
    <w:p>
      <w:pPr>
        <w:widowControl/>
        <w:spacing w:line="276" w:lineRule="auto"/>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11、仲裁、诉讼条款</w:t>
      </w:r>
    </w:p>
    <w:p>
      <w:pPr>
        <w:widowControl/>
        <w:spacing w:line="276" w:lineRule="auto"/>
        <w:ind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因采购或与采购合同有关的一切事项发生争议，由采购人和成交供应商双方友好协商解决。协商不成的，任何一方均可选择以下方式解决：</w:t>
      </w:r>
      <w:r>
        <w:rPr>
          <w:rFonts w:hint="eastAsia" w:ascii="仿宋" w:hAnsi="仿宋" w:eastAsia="仿宋" w:cs="仿宋"/>
          <w:bCs/>
          <w:color w:val="000000" w:themeColor="text1"/>
          <w:sz w:val="24"/>
          <w:u w:val="single"/>
          <w14:textFill>
            <w14:solidFill>
              <w14:schemeClr w14:val="tx1"/>
            </w14:solidFill>
          </w14:textFill>
        </w:rPr>
        <w:t>（1）</w:t>
      </w:r>
    </w:p>
    <w:p>
      <w:pPr>
        <w:widowControl/>
        <w:spacing w:line="276" w:lineRule="auto"/>
        <w:ind w:firstLine="357" w:firstLineChars="1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(1)向采购人所在地仲裁委员会申请仲裁；</w:t>
      </w:r>
    </w:p>
    <w:p>
      <w:pPr>
        <w:widowControl/>
        <w:spacing w:line="276" w:lineRule="auto"/>
        <w:ind w:firstLine="357" w:firstLineChars="149"/>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(2)向有管辖权的人民法院提起诉讼。</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u w:val="single"/>
          <w:lang w:val="en-US" w:eastAsia="zh-CN"/>
          <w14:textFill>
            <w14:solidFill>
              <w14:schemeClr w14:val="tx1"/>
            </w14:solidFill>
          </w14:textFill>
        </w:rPr>
      </w:pPr>
      <w:r>
        <w:rPr>
          <w:rFonts w:hint="eastAsia" w:ascii="仿宋" w:hAnsi="仿宋" w:eastAsia="仿宋" w:cs="仿宋"/>
          <w:b/>
          <w:bCs/>
          <w:color w:val="000000" w:themeColor="text1"/>
          <w:kern w:val="0"/>
          <w:sz w:val="24"/>
          <w:szCs w:val="22"/>
          <w:u w:val="single"/>
          <w:lang w:val="en-US" w:eastAsia="zh-CN"/>
          <w14:textFill>
            <w14:solidFill>
              <w14:schemeClr w14:val="tx1"/>
            </w14:solidFill>
          </w14:textFill>
        </w:rPr>
        <w:t>备注：以上所有要求均为带★的基本要求，不允许负偏离，否则视为无效响应。</w:t>
      </w:r>
    </w:p>
    <w:p>
      <w:pPr>
        <w:keepNext w:val="0"/>
        <w:keepLines w:val="0"/>
        <w:pageBreakBefore w:val="0"/>
        <w:kinsoku/>
        <w:wordWrap/>
        <w:overflowPunct/>
        <w:topLinePunct w:val="0"/>
        <w:autoSpaceDE/>
        <w:autoSpaceDN/>
        <w:bidi w:val="0"/>
        <w:adjustRightInd/>
        <w:snapToGrid/>
        <w:spacing w:line="360" w:lineRule="atLeast"/>
        <w:textAlignment w:val="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四、其他事项</w:t>
      </w:r>
    </w:p>
    <w:p>
      <w:pPr>
        <w:keepNext w:val="0"/>
        <w:keepLines w:val="0"/>
        <w:pageBreakBefore w:val="0"/>
        <w:kinsoku/>
        <w:wordWrap/>
        <w:overflowPunct/>
        <w:topLinePunct w:val="0"/>
        <w:autoSpaceDE/>
        <w:autoSpaceDN/>
        <w:bidi w:val="0"/>
        <w:adjustRightInd/>
        <w:snapToGrid/>
        <w:spacing w:line="360" w:lineRule="atLeast"/>
        <w:textAlignment w:val="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1、除招标文件另有规定外，若出现有关法律、法规和规章有强制性规定但招标文件未列明的情形，则</w:t>
      </w: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应按照有关法律、法规和规章强制性规定执行。</w:t>
      </w:r>
    </w:p>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2、其他：无</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hint="eastAsia" w:ascii="仿宋" w:hAnsi="仿宋" w:eastAsia="仿宋" w:cs="仿宋"/>
          <w:b/>
          <w:bCs/>
          <w:color w:val="000000" w:themeColor="text1"/>
          <w:kern w:val="44"/>
          <w:sz w:val="32"/>
          <w:szCs w:val="32"/>
          <w:lang w:val="en-US" w:eastAsia="zh-CN" w:bidi="ar-SA"/>
          <w14:textFill>
            <w14:solidFill>
              <w14:schemeClr w14:val="tx1"/>
            </w14:solidFill>
          </w14:textFill>
        </w:rPr>
      </w:pPr>
      <w:bookmarkStart w:id="16" w:name="_Toc19961"/>
      <w:r>
        <w:rPr>
          <w:rFonts w:hint="eastAsia" w:ascii="仿宋" w:hAnsi="仿宋" w:eastAsia="仿宋" w:cs="仿宋"/>
          <w:b/>
          <w:bCs/>
          <w:color w:val="000000" w:themeColor="text1"/>
          <w:kern w:val="44"/>
          <w:sz w:val="32"/>
          <w:szCs w:val="32"/>
          <w:lang w:val="en-US" w:eastAsia="zh-CN" w:bidi="ar-SA"/>
          <w14:textFill>
            <w14:solidFill>
              <w14:schemeClr w14:val="tx1"/>
            </w14:solidFill>
          </w14:textFill>
        </w:rPr>
        <w:t>第四章 合同主要条款及格式</w:t>
      </w:r>
      <w:bookmarkEnd w:id="14"/>
      <w:bookmarkEnd w:id="16"/>
    </w:p>
    <w:p>
      <w:pPr>
        <w:pStyle w:val="43"/>
        <w:jc w:val="center"/>
        <w:rPr>
          <w:rFonts w:hint="eastAsia" w:ascii="仿宋" w:hAnsi="仿宋" w:eastAsia="仿宋" w:cs="仿宋"/>
          <w:color w:val="000000" w:themeColor="text1"/>
          <w:sz w:val="24"/>
          <w:szCs w:val="24"/>
          <w14:textFill>
            <w14:solidFill>
              <w14:schemeClr w14:val="tx1"/>
            </w14:solidFill>
          </w14:textFill>
        </w:rPr>
      </w:pPr>
      <w:bookmarkStart w:id="17" w:name="_Toc29012"/>
      <w:r>
        <w:rPr>
          <w:rFonts w:hint="eastAsia" w:ascii="仿宋" w:hAnsi="仿宋" w:eastAsia="仿宋" w:cs="仿宋"/>
          <w:color w:val="000000" w:themeColor="text1"/>
          <w:sz w:val="24"/>
          <w:szCs w:val="24"/>
          <w14:textFill>
            <w14:solidFill>
              <w14:schemeClr w14:val="tx1"/>
            </w14:solidFill>
          </w14:textFill>
        </w:rPr>
        <w:t>编制说明</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1、签订合同应遵守《中华人民共和国政府采购法》、《中华人民共和国民法典》。</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3.本章节所附的合同主要条款及格式为参考文本，如果因为项目实际特点不能适用，则可由甲乙双方在合同签订阶段可通过友好协商进行约定。</w:t>
      </w:r>
    </w:p>
    <w:p>
      <w:pPr>
        <w:pStyle w:val="43"/>
        <w:jc w:val="center"/>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参考文本</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合同编号：</w:t>
      </w:r>
    </w:p>
    <w:p>
      <w:pPr>
        <w:pStyle w:val="43"/>
        <w:jc w:val="center"/>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福建省政府采购合同（货物类）</w:t>
      </w:r>
    </w:p>
    <w:p>
      <w:pPr>
        <w:pStyle w:val="43"/>
        <w:jc w:val="center"/>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编制说明</w:t>
      </w:r>
    </w:p>
    <w:p>
      <w:pPr>
        <w:pStyle w:val="43"/>
        <w:jc w:val="center"/>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1.签订合同应遵守《中华人民共和国政府采购法》及其实施条例、《中华人民共和国民法典》等法律法规及其他有关规定。</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2.签订合同时，采购人与中标(成交)人应结合采购文件规定填列相应内容。采购文件已有约定的，双方均不得对约定进行变更或调整；采购文件未作规定的，双方可通过友好协商进行约定。</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3.政府有关主管部门对若干合同有规范文本的，可使用相应合同文本。</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4.本合同范本仅供参考，采购人应当根据采购项目的实际需求对合同条款进行修改、补充。</w:t>
      </w:r>
    </w:p>
    <w:p>
      <w:pPr>
        <w:pStyle w:val="43"/>
        <w:ind w:left="0"/>
        <w:jc w:val="left"/>
        <w:rPr>
          <w:rFonts w:hint="eastAsia" w:ascii="仿宋" w:hAnsi="仿宋" w:eastAsia="仿宋" w:cs="仿宋"/>
          <w:color w:val="000000" w:themeColor="text1"/>
          <w:sz w:val="24"/>
          <w:szCs w:val="24"/>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住所地：___________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传真：___________</w:t>
      </w:r>
    </w:p>
    <w:p>
      <w:pPr>
        <w:pStyle w:val="43"/>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电子邮箱：___________</w:t>
      </w:r>
    </w:p>
    <w:p>
      <w:pPr>
        <w:pStyle w:val="43"/>
        <w:jc w:val="left"/>
        <w:rPr>
          <w:rFonts w:hint="eastAsia" w:ascii="仿宋" w:hAnsi="仿宋" w:eastAsia="仿宋" w:cs="仿宋"/>
          <w:color w:val="000000" w:themeColor="text1"/>
          <w:sz w:val="24"/>
          <w:szCs w:val="24"/>
          <w:lang w:eastAsia="zh-CN"/>
          <w14:textFill>
            <w14:solidFill>
              <w14:schemeClr w14:val="tx1"/>
            </w14:solidFill>
          </w14:textFill>
        </w:rPr>
      </w:pPr>
    </w:p>
    <w:p>
      <w:pPr>
        <w:pStyle w:val="43"/>
        <w:ind w:left="0"/>
        <w:jc w:val="left"/>
        <w:rPr>
          <w:rFonts w:hint="eastAsia" w:ascii="仿宋" w:hAnsi="仿宋" w:eastAsia="仿宋" w:cs="仿宋"/>
          <w:color w:val="000000" w:themeColor="text1"/>
          <w:sz w:val="24"/>
          <w:szCs w:val="24"/>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住所地：___________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传真：___________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电子邮箱：___________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根据项目编号为________的___________项目（以下简称：“本项目”）的采购结果，遵循平等、自愿、公平和诚实信用的原则，双方签署本合同，具体内容如下：</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一、合同组成部分</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1.1本合同条款及附件；</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1.2采购文件及其附件、补充文件；</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1.3乙方的响应文件及其附件、补充文件；</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1.4其他文件或材料：</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二、合同标的</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三、合同金额</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3.1合同总价：人民币（大写）_________元（￥_________元）；</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3.2合同总价组成：___________；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3.3其他需说明事项：___________；</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四、合同标的交付</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4.1交付时间：___________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4.2交付地点：___________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4.3交付条件：___________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4.4供货要求：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（4）其他供货要求：</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五、质量标准及要求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5.1质量标准及要求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（2）其他质量要求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5.2节能环保产品要求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5.3质量保证范围、质量保证期及售后服务</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（1）质量保证范围：___________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（2）本合同乙方所供应的货物质量保证期自验收合格之日起{_______月。</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（3）售后服务应按法律法规和采购文件约定执行，具体如下：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5.4商品安全责任</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商品安全责任应按照法律法规和采购文件的规定执行，具体如下：</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六、安装调试、验收及退、换货</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6.1安装调试、验收应按照采购文件、乙方响应文件的规定或约定进行，具体如下：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6.2本项目是否邀请其他投标人参与验收：</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不邀请。邀请，具体如下：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6.3本项目是否邀请专家参与验收：</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不邀请。邀请，具体如下：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6.4本项目是否邀请国家认可的质量检测机构参与验收：</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不邀请。邀请，具体如下：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6.5履约验收：___________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6.6退、换货：___________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6.7其他：</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七、资金支付方式、条件和时间</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八、履约保证金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□有，□无。具体如下违约：（按照采购文件规定填写）。</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8.1乙方向甲方缴纳人民币 元（大写： ）作为本合同的履约保证金。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8.2履约保证金缴纳形式：支票/汇票/电汇/保函等非现金形式。</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8.3履约保证金退还： （根据实际情况填写） 。</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九、合同期限</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十、违约责任</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10.1甲方违约责任</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（1）甲方无正当理由拒收乙方交付的合格产品的，甲方向乙方偿付拒收货款总值_____的违约金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甲方无故逾期验收和办理合同款项支付手续的,甲方应按逾期付款总额每日______向乙方支付违约金。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（3）其他违约情形_______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10.2乙方违约责任</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（1）乙方逾期履行服务的，乙方应按逾期交付总额每日_______向甲方支付违约金，由甲方从待付货款中扣除。乙方无正当理由逾期超过约定日期_______仍不能交付的，视为“乙方不按合同约定履约”；</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（2）乙方所交付的产品不符合合同规定及《采购文件》规定标准的，甲方有权拒收，乙方愿意更换产品但逾期交货的，按乙方逾期交货处理。乙方拒绝更换产品的，视为“乙方不按合同约定履约”；</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（3）乙方不按合同约定履约的，甲方可以解除采购合同，并对乙方已缴纳的履约保证金作“不予退还”处理。同时，乙方还须按向甲方支付违约金：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（4）其他违约情形</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十一、不可抗力事件处理</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十二、保密条款</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12.1对于在采购和合同履行过程中所获悉的属于保密的内容，甲、乙双方均负有保密义务。</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12.2其他</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十三、解决争议的方法</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13.1甲、乙双方协商解决。</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13.2若协商解决不成，则通过下列途径之一解决：</w:t>
      </w: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提交仲裁委员会仲裁，具体如下：</w:t>
      </w: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向人民法院提起诉讼，具体如下：</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十四、合同其他条款</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十五、其他约定</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15.1合同文件与本合同具有同等法律效力。</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15.3本合同未尽事宜，遵照《中华人民共和国民法典》有关条文执行。</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15.4本合同正本一式_______份，具有同等法律效力，甲方、乙方各执_______份；副本_______份，_______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15.5本合同已用于政府采购合同融资，为本项目提供合同融资的金融机构为：_______，甲乙双方应当按照融资合同的约定进行资金使用及款项支付。</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中标（成交）供应商应于采购合同签订之日起_______内，向发放政采贷的金融机构提交政府采购中标（成交）通知书和政府采购合同，贷款金额以政府采购合同金额为限。</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15.6其他</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十六、合同附件</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甲方（采购人）：</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法定（授权）代表人：</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纳税人识别号：</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乙方（中标或成交人）：</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法定（授权）代表人：</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纳税人识别号：</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签订地点：__________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签订日期：___年___月___日</w:t>
      </w:r>
    </w:p>
    <w:bookmarkEnd w:id="17"/>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hint="eastAsia" w:ascii="仿宋" w:hAnsi="仿宋" w:eastAsia="仿宋" w:cs="仿宋"/>
          <w:b/>
          <w:bCs/>
          <w:color w:val="000000" w:themeColor="text1"/>
          <w:kern w:val="44"/>
          <w:sz w:val="32"/>
          <w:szCs w:val="32"/>
          <w:lang w:val="en-US" w:eastAsia="zh-CN" w:bidi="ar-SA"/>
          <w14:textFill>
            <w14:solidFill>
              <w14:schemeClr w14:val="tx1"/>
            </w14:solidFill>
          </w14:textFill>
        </w:rPr>
      </w:pPr>
      <w:bookmarkStart w:id="18" w:name="_Toc24181"/>
      <w:r>
        <w:rPr>
          <w:rFonts w:hint="eastAsia" w:ascii="仿宋" w:hAnsi="仿宋" w:eastAsia="仿宋" w:cs="仿宋"/>
          <w:b/>
          <w:bCs/>
          <w:color w:val="000000" w:themeColor="text1"/>
          <w:kern w:val="44"/>
          <w:sz w:val="32"/>
          <w:szCs w:val="32"/>
          <w:lang w:val="en-US" w:eastAsia="zh-CN" w:bidi="ar-SA"/>
          <w14:textFill>
            <w14:solidFill>
              <w14:schemeClr w14:val="tx1"/>
            </w14:solidFill>
          </w14:textFill>
        </w:rPr>
        <w:t>第五章  首次响应文件格式</w:t>
      </w:r>
      <w:bookmarkEnd w:id="18"/>
    </w:p>
    <w:p>
      <w:pPr>
        <w:pStyle w:val="43"/>
        <w:jc w:val="center"/>
        <w:outlineLvl w:val="2"/>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编制说明</w:t>
      </w:r>
    </w:p>
    <w:p>
      <w:pPr>
        <w:pStyle w:val="43"/>
        <w:keepNext w:val="0"/>
        <w:keepLines w:val="0"/>
        <w:pageBreakBefore w:val="0"/>
        <w:widowControl/>
        <w:kinsoku/>
        <w:wordWrap/>
        <w:overflowPunct/>
        <w:topLinePunct w:val="0"/>
        <w:autoSpaceDE/>
        <w:autoSpaceDN/>
        <w:bidi w:val="0"/>
        <w:adjustRightInd/>
        <w:snapToGrid/>
        <w:spacing w:line="360" w:lineRule="atLeast"/>
        <w:ind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43"/>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both"/>
        <w:outlineLvl w:val="1"/>
        <w:rPr>
          <w:rFonts w:hint="eastAsia" w:ascii="仿宋" w:hAnsi="仿宋" w:eastAsia="仿宋" w:cs="仿宋"/>
          <w:b/>
          <w:color w:val="000000" w:themeColor="text1"/>
          <w:sz w:val="48"/>
          <w:szCs w:val="48"/>
          <w14:textFill>
            <w14:solidFill>
              <w14:schemeClr w14:val="tx1"/>
            </w14:solidFill>
          </w14:textFill>
        </w:rPr>
      </w:pPr>
    </w:p>
    <w:p>
      <w:pPr>
        <w:pStyle w:val="43"/>
        <w:jc w:val="center"/>
        <w:outlineLvl w:val="1"/>
        <w:rPr>
          <w:rFonts w:hint="eastAsia" w:ascii="仿宋" w:hAnsi="仿宋" w:eastAsia="仿宋" w:cs="仿宋"/>
          <w:b/>
          <w:color w:val="000000" w:themeColor="text1"/>
          <w:sz w:val="48"/>
          <w:szCs w:val="48"/>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b/>
          <w:color w:val="000000" w:themeColor="text1"/>
          <w:sz w:val="48"/>
          <w:szCs w:val="48"/>
          <w14:textFill>
            <w14:solidFill>
              <w14:schemeClr w14:val="tx1"/>
            </w14:solidFill>
          </w14:textFill>
        </w:rPr>
        <w:t>福建省政府采购项目竞争性谈判</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b/>
          <w:color w:val="000000" w:themeColor="text1"/>
          <w:sz w:val="48"/>
          <w:szCs w:val="48"/>
          <w14:textFill>
            <w14:solidFill>
              <w14:schemeClr w14:val="tx1"/>
            </w14:solidFill>
          </w14:textFill>
        </w:rPr>
        <w:t>响应文件</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14:textFill>
            <w14:solidFill>
              <w14:schemeClr w14:val="tx1"/>
            </w14:solidFill>
          </w14:textFill>
        </w:rPr>
        <w:t>（首次）</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48"/>
          <w:szCs w:val="4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48"/>
          <w:szCs w:val="4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项目编号：</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采购包:</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8"/>
          <w:szCs w:val="2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供应商名称：</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日   期：</w:t>
      </w:r>
    </w:p>
    <w:p>
      <w:pPr>
        <w:pStyle w:val="43"/>
        <w:keepNext w:val="0"/>
        <w:keepLines w:val="0"/>
        <w:pageBreakBefore w:val="0"/>
        <w:widowControl/>
        <w:kinsoku/>
        <w:wordWrap/>
        <w:overflowPunct/>
        <w:topLinePunct w:val="0"/>
        <w:autoSpaceDE/>
        <w:autoSpaceDN/>
        <w:bidi w:val="0"/>
        <w:adjustRightInd/>
        <w:snapToGrid/>
        <w:spacing w:line="360" w:lineRule="atLeast"/>
        <w:jc w:val="left"/>
        <w:textAlignment w:val="auto"/>
        <w:rPr>
          <w:color w:val="000000" w:themeColor="text1"/>
          <w14:textFill>
            <w14:solidFill>
              <w14:schemeClr w14:val="tx1"/>
            </w14:solidFill>
          </w14:textFill>
        </w:rPr>
      </w:pPr>
    </w:p>
    <w:p>
      <w:pPr>
        <w:pStyle w:val="43"/>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目录</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附件1：谈判响应声明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附件2：报价一览表（含详细报价书）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附件3：资格证明文件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附件4：谈判保证金凭证</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附件5：技术、服务和商务响应表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附件6：相关技术、商务、服务响应承诺及资料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附件7：供应商提交符合政府采购政策的证明材料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附件8：要求作为响应文件组成部分的其他内容（若有）</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color w:val="000000" w:themeColor="text1"/>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14:textFill>
            <w14:solidFill>
              <w14:schemeClr w14:val="tx1"/>
            </w14:solidFill>
          </w14:textFill>
        </w:rPr>
      </w:pPr>
      <w:bookmarkStart w:id="19" w:name="_Toc2789"/>
      <w:r>
        <w:rPr>
          <w:rFonts w:hint="eastAsia" w:ascii="仿宋" w:hAnsi="仿宋" w:eastAsia="仿宋" w:cs="仿宋"/>
          <w:b/>
          <w:bCs/>
          <w:color w:val="000000" w:themeColor="text1"/>
          <w:kern w:val="44"/>
          <w:sz w:val="32"/>
          <w:szCs w:val="32"/>
          <w:lang w:val="en-US" w:eastAsia="zh-CN" w:bidi="ar-SA"/>
          <w14:textFill>
            <w14:solidFill>
              <w14:schemeClr w14:val="tx1"/>
            </w14:solidFill>
          </w14:textFill>
        </w:rPr>
        <w:t>附件1 谈判响应声明</w:t>
      </w:r>
      <w:bookmarkEnd w:id="1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1.根据贵方为项目（项目编号）:的采购公告（或采购邀请书），我方签字代表</w:t>
      </w:r>
      <w:r>
        <w:rPr>
          <w:rFonts w:hint="eastAsia" w:ascii="仿宋" w:hAnsi="仿宋" w:eastAsia="仿宋" w:cs="仿宋"/>
          <w:color w:val="000000" w:themeColor="text1"/>
          <w:sz w:val="24"/>
          <w:szCs w:val="24"/>
          <w:u w:val="single"/>
          <w14:textFill>
            <w14:solidFill>
              <w14:schemeClr w14:val="tx1"/>
            </w14:solidFill>
          </w14:textFill>
        </w:rPr>
        <w:t>（全名、职务）</w:t>
      </w:r>
      <w:r>
        <w:rPr>
          <w:rFonts w:hint="eastAsia" w:ascii="仿宋" w:hAnsi="仿宋" w:eastAsia="仿宋" w:cs="仿宋"/>
          <w:color w:val="000000" w:themeColor="text1"/>
          <w:sz w:val="24"/>
          <w:szCs w:val="24"/>
          <w14:textFill>
            <w14:solidFill>
              <w14:schemeClr w14:val="tx1"/>
            </w14:solidFill>
          </w14:textFill>
        </w:rPr>
        <w:t>经正式授权并代表的供应商</w:t>
      </w:r>
      <w:r>
        <w:rPr>
          <w:rFonts w:hint="eastAsia" w:ascii="仿宋" w:hAnsi="仿宋" w:eastAsia="仿宋" w:cs="仿宋"/>
          <w:color w:val="000000" w:themeColor="text1"/>
          <w:sz w:val="24"/>
          <w:szCs w:val="24"/>
          <w:u w:val="single"/>
          <w14:textFill>
            <w14:solidFill>
              <w14:schemeClr w14:val="tx1"/>
            </w14:solidFill>
          </w14:textFill>
        </w:rPr>
        <w:t>（供应商名称、地址）</w:t>
      </w:r>
      <w:r>
        <w:rPr>
          <w:rFonts w:hint="eastAsia" w:ascii="仿宋" w:hAnsi="仿宋" w:eastAsia="仿宋" w:cs="仿宋"/>
          <w:color w:val="000000" w:themeColor="text1"/>
          <w:sz w:val="24"/>
          <w:szCs w:val="24"/>
          <w14:textFill>
            <w14:solidFill>
              <w14:schemeClr w14:val="tx1"/>
            </w14:solidFill>
          </w14:textFill>
        </w:rPr>
        <w:t>提交包含下述内容的首次响应纸质文件正本</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套，副本</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套及电子文档</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（1）谈判响应声明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（2）报价一览表（含详细报价书）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（4）谈判保证金凭证</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（5）技术、服务和商务响应表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（6）相关技术、商务、服务响应承诺及资料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（7）供应商提交符合政府采购政策的证明材料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（8）按照谈判文件规定，要求作为响应文件组成部分的其他内容（若有）</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2.据此函，我方宣布响应承诺如下：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2.5我方愿意向贵方提供任何与本项目谈判采购有关的数据或资料。若贵方需要，我方愿意提供我方作出的一切承诺的证明材料。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2.7我方承诺响应文件所提供的全部资料真实可靠，并接受谈判小组、采购人、采购代理机构、监管部门进一步审查其中任何资料真实性的要求</w:t>
      </w:r>
    </w:p>
    <w:p>
      <w:pPr>
        <w:keepNext w:val="0"/>
        <w:keepLines w:val="0"/>
        <w:pageBreakBefore w:val="0"/>
        <w:kinsoku/>
        <w:wordWrap/>
        <w:overflowPunct/>
        <w:topLinePunct w:val="0"/>
        <w:autoSpaceDE/>
        <w:autoSpaceDN/>
        <w:bidi w:val="0"/>
        <w:adjustRightInd/>
        <w:snapToGrid/>
        <w:spacing w:line="360" w:lineRule="atLeast"/>
        <w:ind w:firstLine="480" w:firstLineChars="200"/>
        <w:textAlignment w:val="auto"/>
        <w:rPr>
          <w:rFonts w:hint="eastAsia"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通信地址:</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邮编：</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传真号：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u w:val="single"/>
          <w14:textFill>
            <w14:solidFill>
              <w14:schemeClr w14:val="tx1"/>
            </w14:solidFill>
          </w14:textFill>
        </w:rPr>
        <w:t>（固定电话和移动电话）</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供应商代表电子信箱：</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20" w:name="_Toc21661"/>
      <w:r>
        <w:rPr>
          <w:rFonts w:hint="eastAsia" w:ascii="仿宋" w:hAnsi="仿宋" w:eastAsia="仿宋" w:cs="仿宋"/>
          <w:color w:val="000000" w:themeColor="text1"/>
          <w:sz w:val="36"/>
          <w:szCs w:val="36"/>
          <w:lang w:val="en-US" w:eastAsia="zh-CN"/>
          <w14:textFill>
            <w14:solidFill>
              <w14:schemeClr w14:val="tx1"/>
            </w14:solidFill>
          </w14:textFill>
        </w:rPr>
        <w:t>附件2 报价一览表</w:t>
      </w:r>
      <w:bookmarkEnd w:id="2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（全称加盖单位公章）</w:t>
      </w: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货币单位：元人民币</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采购包</w:t>
            </w:r>
          </w:p>
        </w:tc>
        <w:tc>
          <w:tcPr>
            <w:tcW w:w="1519"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首次报价</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交货期/工期/项目完成时间/服务时间</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谈判保证金</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备注：详细报价书另纸详列，格式自拟。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1" w:name="_Toc4171"/>
      <w:r>
        <w:rPr>
          <w:rFonts w:hint="eastAsia" w:ascii="仿宋" w:hAnsi="仿宋" w:eastAsia="仿宋" w:cs="仿宋"/>
          <w:color w:val="000000" w:themeColor="text1"/>
          <w:sz w:val="36"/>
          <w:szCs w:val="36"/>
          <w:lang w:val="en-US" w:eastAsia="zh-CN"/>
          <w14:textFill>
            <w14:solidFill>
              <w14:schemeClr w14:val="tx1"/>
            </w14:solidFill>
          </w14:textFill>
        </w:rPr>
        <w:t>附件2-1 详细报价书</w:t>
      </w:r>
      <w:bookmarkEnd w:id="21"/>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2" w:name="_Toc16623"/>
      <w:r>
        <w:rPr>
          <w:rFonts w:hint="eastAsia" w:ascii="仿宋" w:hAnsi="仿宋" w:eastAsia="仿宋" w:cs="仿宋"/>
          <w:color w:val="000000" w:themeColor="text1"/>
          <w:sz w:val="36"/>
          <w:szCs w:val="36"/>
          <w:lang w:val="en-US" w:eastAsia="zh-CN"/>
          <w14:textFill>
            <w14:solidFill>
              <w14:schemeClr w14:val="tx1"/>
            </w14:solidFill>
          </w14:textFill>
        </w:rPr>
        <w:t>附件3  资格证明文件</w:t>
      </w:r>
      <w:bookmarkEnd w:id="22"/>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3" w:name="_Toc14697"/>
      <w:r>
        <w:rPr>
          <w:rFonts w:hint="eastAsia" w:ascii="仿宋" w:hAnsi="仿宋" w:eastAsia="仿宋" w:cs="仿宋"/>
          <w:color w:val="000000" w:themeColor="text1"/>
          <w:sz w:val="36"/>
          <w:szCs w:val="36"/>
          <w:lang w:val="en-US" w:eastAsia="zh-CN"/>
          <w14:textFill>
            <w14:solidFill>
              <w14:schemeClr w14:val="tx1"/>
            </w14:solidFill>
          </w14:textFill>
        </w:rPr>
        <w:t>附件3-1 参加竞争性谈判的声明函</w:t>
      </w:r>
      <w:bookmarkEnd w:id="2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1、关于贵方</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2、供应商的基本概况：</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2.1供应商单位名称：</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2.2注册地址：</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2.3单位负责人姓名：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性别：</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职务：</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备注：“单位负责人”指单位法定代表人（供应商为法人的）或法律、法规规定代表单位行使职权的主要负责人（供应商为其他组织的）。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color w:val="000000" w:themeColor="text1"/>
          <w14:textFill>
            <w14:solidFill>
              <w14:schemeClr w14:val="tx1"/>
            </w14:solidFill>
          </w14:textFill>
        </w:rPr>
      </w:pPr>
      <w:bookmarkStart w:id="24" w:name="_Toc20604"/>
      <w:r>
        <w:rPr>
          <w:rFonts w:hint="eastAsia" w:ascii="仿宋" w:hAnsi="仿宋" w:eastAsia="仿宋" w:cs="仿宋"/>
          <w:color w:val="000000" w:themeColor="text1"/>
          <w:sz w:val="36"/>
          <w:szCs w:val="36"/>
          <w:lang w:val="en-US" w:eastAsia="zh-CN"/>
          <w14:textFill>
            <w14:solidFill>
              <w14:schemeClr w14:val="tx1"/>
            </w14:solidFill>
          </w14:textFill>
        </w:rPr>
        <w:t>附件3-2 供应商的资格声明</w:t>
      </w:r>
      <w:bookmarkEnd w:id="24"/>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09"/>
        <w:gridCol w:w="30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《中华人民共和国政府采购法》第二十二条对供应商的要求</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（2）具有良好的商业信誉和健全的财务会计制度</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（4）有依法缴纳税收和社会保障资金的良好记录</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（5）参加政府采购活动前三年内，在经营活动中没有重大违法记录</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（6）法律、行政法规规定的其他条件。</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谈判文件对合格供应商的一般规定</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供应商除了应遵守政府采购法及实施条例、政府采购非招标采购方式管理办法及财政部、福建省财政厅有关政府采购文件的规定外，还应遵守有关法律、法规和规章的强制性规定。</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列入失信被执行人、重大税收违法案件当事人名单、政府采购严重违法失信行为记录名单的供应商，不得参加政府采购活动。</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2、我方对上述声明的真实性、合法性、准确性、有效性负责，并愿意根据谈判文件和谈判过程中贵方要求提供全部现有资料、数据、文件等予以证实。</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5" w:name="_Toc27306"/>
      <w:r>
        <w:rPr>
          <w:rFonts w:hint="eastAsia" w:ascii="仿宋" w:hAnsi="仿宋" w:eastAsia="仿宋" w:cs="仿宋"/>
          <w:color w:val="000000" w:themeColor="text1"/>
          <w:sz w:val="36"/>
          <w:szCs w:val="36"/>
          <w:lang w:val="en-US" w:eastAsia="zh-CN"/>
          <w14:textFill>
            <w14:solidFill>
              <w14:schemeClr w14:val="tx1"/>
            </w14:solidFill>
          </w14:textFill>
        </w:rPr>
        <w:t>附件3-3 单位负责人授权书</w:t>
      </w:r>
      <w:bookmarkEnd w:id="25"/>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我方的单位负责人</w:t>
      </w:r>
      <w:r>
        <w:rPr>
          <w:rFonts w:hint="eastAsia" w:ascii="仿宋" w:hAnsi="仿宋" w:eastAsia="仿宋" w:cs="仿宋"/>
          <w:color w:val="000000" w:themeColor="text1"/>
          <w:sz w:val="24"/>
          <w:szCs w:val="24"/>
          <w:u w:val="single"/>
          <w14:textFill>
            <w14:solidFill>
              <w14:schemeClr w14:val="tx1"/>
            </w14:solidFill>
          </w14:textFill>
        </w:rPr>
        <w:t>（填写“单位负责人全名”）</w:t>
      </w:r>
      <w:r>
        <w:rPr>
          <w:rFonts w:hint="eastAsia" w:ascii="仿宋" w:hAnsi="仿宋" w:eastAsia="仿宋" w:cs="仿宋"/>
          <w:color w:val="000000" w:themeColor="text1"/>
          <w:sz w:val="24"/>
          <w:szCs w:val="24"/>
          <w14:textFill>
            <w14:solidFill>
              <w14:schemeClr w14:val="tx1"/>
            </w14:solidFill>
          </w14:textFill>
        </w:rPr>
        <w:t>授权</w:t>
      </w:r>
      <w:r>
        <w:rPr>
          <w:rFonts w:hint="eastAsia" w:ascii="仿宋" w:hAnsi="仿宋" w:eastAsia="仿宋" w:cs="仿宋"/>
          <w:color w:val="000000" w:themeColor="text1"/>
          <w:sz w:val="24"/>
          <w:szCs w:val="24"/>
          <w:u w:val="single"/>
          <w14:textFill>
            <w14:solidFill>
              <w14:schemeClr w14:val="tx1"/>
            </w14:solidFill>
          </w14:textFill>
        </w:rPr>
        <w:t>（填写“供应商代表全名”）</w:t>
      </w:r>
      <w:r>
        <w:rPr>
          <w:rFonts w:hint="eastAsia" w:ascii="仿宋" w:hAnsi="仿宋" w:eastAsia="仿宋" w:cs="仿宋"/>
          <w:color w:val="000000" w:themeColor="text1"/>
          <w:sz w:val="24"/>
          <w:szCs w:val="24"/>
          <w14:textFill>
            <w14:solidFill>
              <w14:schemeClr w14:val="tx1"/>
            </w14:solidFill>
          </w14:textFill>
        </w:rPr>
        <w:t>为我方的供应商代表，代表我方参加</w:t>
      </w:r>
      <w:r>
        <w:rPr>
          <w:rFonts w:hint="eastAsia" w:ascii="仿宋" w:hAnsi="仿宋" w:eastAsia="仿宋" w:cs="仿宋"/>
          <w:color w:val="000000" w:themeColor="text1"/>
          <w:sz w:val="24"/>
          <w:szCs w:val="24"/>
          <w:u w:val="single"/>
          <w14:textFill>
            <w14:solidFill>
              <w14:schemeClr w14:val="tx1"/>
            </w14:solidFill>
          </w14:textFill>
        </w:rPr>
        <w:t>（填写“项目名称”）</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供应商代表无转委权。特此授权。</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（以下无正文）</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身份证号：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手机：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身份证号：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手机：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u w:val="single"/>
          <w:lang w:val="en-US"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授权方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u w:val="single"/>
          <w14:textFill>
            <w14:solidFill>
              <w14:schemeClr w14:val="tx1"/>
            </w14:solidFill>
          </w14:textFill>
        </w:rPr>
        <w:t>（全称并加盖单位公章）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单位负责人签字或盖章：</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接受授权方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供应商代表签字：</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签署日期：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附：单位负责人、供应商代表的身份证正反面复印件</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要求：真实、有效、清晰</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4、对于接受联合体形式的谈判且供应商是联合体的，则只需要联合体的牵头方提交本授权书，在纸质响应文件正本中的本授权书应为原件。</w:t>
      </w: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6" w:name="_Toc6944"/>
      <w:r>
        <w:rPr>
          <w:rFonts w:hint="eastAsia" w:ascii="仿宋" w:hAnsi="仿宋" w:eastAsia="仿宋" w:cs="仿宋"/>
          <w:color w:val="000000" w:themeColor="text1"/>
          <w:sz w:val="36"/>
          <w:szCs w:val="36"/>
          <w:lang w:val="en-US" w:eastAsia="zh-CN"/>
          <w14:textFill>
            <w14:solidFill>
              <w14:schemeClr w14:val="tx1"/>
            </w14:solidFill>
          </w14:textFill>
        </w:rPr>
        <w:t>附件3-4 营业执照等证明文件</w:t>
      </w:r>
      <w:bookmarkEnd w:id="26"/>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（）供应商为法人（包括企业、事业单位和社会团体）的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现附上由</w:t>
      </w:r>
      <w:r>
        <w:rPr>
          <w:rFonts w:hint="eastAsia" w:ascii="仿宋" w:hAnsi="仿宋" w:eastAsia="仿宋" w:cs="仿宋"/>
          <w:color w:val="000000" w:themeColor="text1"/>
          <w:sz w:val="24"/>
          <w:szCs w:val="24"/>
          <w:u w:val="single"/>
          <w14:textFill>
            <w14:solidFill>
              <w14:schemeClr w14:val="tx1"/>
            </w14:solidFill>
          </w14:textFill>
        </w:rPr>
        <w:t>（填写“签发机关全称”）</w:t>
      </w:r>
      <w:r>
        <w:rPr>
          <w:rFonts w:hint="eastAsia" w:ascii="仿宋" w:hAnsi="仿宋" w:eastAsia="仿宋" w:cs="仿宋"/>
          <w:color w:val="000000" w:themeColor="text1"/>
          <w:sz w:val="24"/>
          <w:szCs w:val="24"/>
          <w14:textFill>
            <w14:solidFill>
              <w14:schemeClr w14:val="tx1"/>
            </w14:solidFill>
          </w14:textFill>
        </w:rPr>
        <w:t>签发的我方统一社会信用代码</w:t>
      </w:r>
      <w:r>
        <w:rPr>
          <w:rFonts w:hint="eastAsia" w:ascii="仿宋" w:hAnsi="仿宋" w:eastAsia="仿宋" w:cs="仿宋"/>
          <w:color w:val="000000" w:themeColor="text1"/>
          <w:sz w:val="24"/>
          <w:szCs w:val="24"/>
          <w:u w:val="single"/>
          <w14:textFill>
            <w14:solidFill>
              <w14:schemeClr w14:val="tx1"/>
            </w14:solidFill>
          </w14:textFill>
        </w:rPr>
        <w:t>（请填写法人的具体证照名称）</w:t>
      </w:r>
      <w:r>
        <w:rPr>
          <w:rFonts w:hint="eastAsia" w:ascii="仿宋" w:hAnsi="仿宋" w:eastAsia="仿宋" w:cs="仿宋"/>
          <w:color w:val="000000" w:themeColor="text1"/>
          <w:sz w:val="24"/>
          <w:szCs w:val="24"/>
          <w14:textFill>
            <w14:solidFill>
              <w14:schemeClr w14:val="tx1"/>
            </w14:solidFill>
          </w14:textFill>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（）供应商为非法人（包括其他组织、自然人）的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□现附上由</w:t>
      </w:r>
      <w:r>
        <w:rPr>
          <w:rFonts w:hint="eastAsia" w:ascii="仿宋" w:hAnsi="仿宋" w:eastAsia="仿宋" w:cs="仿宋"/>
          <w:color w:val="000000" w:themeColor="text1"/>
          <w:sz w:val="24"/>
          <w:szCs w:val="24"/>
          <w:u w:val="single"/>
          <w14:textFill>
            <w14:solidFill>
              <w14:schemeClr w14:val="tx1"/>
            </w14:solidFill>
          </w14:textFill>
        </w:rPr>
        <w:t>（填写“签发机关全称”）</w:t>
      </w:r>
      <w:r>
        <w:rPr>
          <w:rFonts w:hint="eastAsia" w:ascii="仿宋" w:hAnsi="仿宋" w:eastAsia="仿宋" w:cs="仿宋"/>
          <w:color w:val="000000" w:themeColor="text1"/>
          <w:sz w:val="24"/>
          <w:szCs w:val="24"/>
          <w14:textFill>
            <w14:solidFill>
              <w14:schemeClr w14:val="tx1"/>
            </w14:solidFill>
          </w14:textFill>
        </w:rPr>
        <w:t>签发的我方统一社会信用代码</w:t>
      </w:r>
      <w:r>
        <w:rPr>
          <w:rFonts w:hint="eastAsia" w:ascii="仿宋" w:hAnsi="仿宋" w:eastAsia="仿宋" w:cs="仿宋"/>
          <w:color w:val="000000" w:themeColor="text1"/>
          <w:sz w:val="24"/>
          <w:szCs w:val="24"/>
          <w:u w:val="single"/>
          <w14:textFill>
            <w14:solidFill>
              <w14:schemeClr w14:val="tx1"/>
            </w14:solidFill>
          </w14:textFill>
        </w:rPr>
        <w:t>（请填写非自然人的非法人的具体证照名称）</w:t>
      </w:r>
      <w:r>
        <w:rPr>
          <w:rFonts w:hint="eastAsia" w:ascii="仿宋" w:hAnsi="仿宋" w:eastAsia="仿宋" w:cs="仿宋"/>
          <w:color w:val="000000" w:themeColor="text1"/>
          <w:sz w:val="24"/>
          <w:szCs w:val="24"/>
          <w14:textFill>
            <w14:solidFill>
              <w14:schemeClr w14:val="tx1"/>
            </w14:solidFill>
          </w14:textFill>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□现附上由</w:t>
      </w:r>
      <w:r>
        <w:rPr>
          <w:rFonts w:hint="eastAsia" w:ascii="仿宋" w:hAnsi="仿宋" w:eastAsia="仿宋" w:cs="仿宋"/>
          <w:color w:val="000000" w:themeColor="text1"/>
          <w:sz w:val="24"/>
          <w:szCs w:val="24"/>
          <w:u w:val="single"/>
          <w14:textFill>
            <w14:solidFill>
              <w14:schemeClr w14:val="tx1"/>
            </w14:solidFill>
          </w14:textFill>
        </w:rPr>
        <w:t>（填写“签发机关全称”）</w:t>
      </w:r>
      <w:r>
        <w:rPr>
          <w:rFonts w:hint="eastAsia" w:ascii="仿宋" w:hAnsi="仿宋" w:eastAsia="仿宋" w:cs="仿宋"/>
          <w:color w:val="000000" w:themeColor="text1"/>
          <w:sz w:val="24"/>
          <w:szCs w:val="24"/>
          <w14:textFill>
            <w14:solidFill>
              <w14:schemeClr w14:val="tx1"/>
            </w14:solidFill>
          </w14:textFill>
        </w:rPr>
        <w:t>签发的我方统一社会信用代码</w:t>
      </w:r>
      <w:r>
        <w:rPr>
          <w:rFonts w:hint="eastAsia" w:ascii="仿宋" w:hAnsi="仿宋" w:eastAsia="仿宋" w:cs="仿宋"/>
          <w:color w:val="000000" w:themeColor="text1"/>
          <w:sz w:val="24"/>
          <w:szCs w:val="24"/>
          <w:u w:val="single"/>
          <w14:textFill>
            <w14:solidFill>
              <w14:schemeClr w14:val="tx1"/>
            </w14:solidFill>
          </w14:textFill>
        </w:rPr>
        <w:t>（请填写自然人的身份证件名称）</w:t>
      </w:r>
      <w:r>
        <w:rPr>
          <w:rFonts w:hint="eastAsia" w:ascii="仿宋" w:hAnsi="仿宋" w:eastAsia="仿宋" w:cs="仿宋"/>
          <w:color w:val="000000" w:themeColor="text1"/>
          <w:sz w:val="24"/>
          <w:szCs w:val="24"/>
          <w14:textFill>
            <w14:solidFill>
              <w14:schemeClr w14:val="tx1"/>
            </w14:solidFill>
          </w14:textFill>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1、请供应商根据实际情况填写，在相应的（）中打“√”并选择相应的“□”（若有）后，再按照本格式的要求提供相应证明材料的复印件。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27" w:name="_Toc29999"/>
      <w:r>
        <w:rPr>
          <w:rFonts w:hint="eastAsia" w:ascii="仿宋" w:hAnsi="仿宋" w:eastAsia="仿宋" w:cs="仿宋"/>
          <w:color w:val="000000" w:themeColor="text1"/>
          <w:sz w:val="36"/>
          <w:szCs w:val="36"/>
          <w:lang w:val="en-US" w:eastAsia="zh-CN"/>
          <w14:textFill>
            <w14:solidFill>
              <w14:schemeClr w14:val="tx1"/>
            </w14:solidFill>
          </w14:textFill>
        </w:rPr>
        <w:t>附件3-5 财务状况报告</w:t>
      </w:r>
      <w:bookmarkEnd w:id="27"/>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（）供应商提供财务报告的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□企业适用：现附上我方</w:t>
      </w:r>
      <w:r>
        <w:rPr>
          <w:rFonts w:hint="eastAsia" w:ascii="仿宋" w:hAnsi="仿宋" w:eastAsia="仿宋" w:cs="仿宋"/>
          <w:color w:val="000000" w:themeColor="text1"/>
          <w:sz w:val="24"/>
          <w:szCs w:val="24"/>
          <w:u w:val="single"/>
          <w14:textFill>
            <w14:solidFill>
              <w14:schemeClr w14:val="tx1"/>
            </w14:solidFill>
          </w14:textFill>
        </w:rPr>
        <w:t>（填写“具体的年度、或半年度、或季度”）</w:t>
      </w:r>
      <w:r>
        <w:rPr>
          <w:rFonts w:hint="eastAsia" w:ascii="仿宋" w:hAnsi="仿宋" w:eastAsia="仿宋" w:cs="仿宋"/>
          <w:color w:val="000000" w:themeColor="text1"/>
          <w:sz w:val="24"/>
          <w:szCs w:val="24"/>
          <w14:textFill>
            <w14:solidFill>
              <w14:schemeClr w14:val="tx1"/>
            </w14:solidFill>
          </w14:textFill>
        </w:rPr>
        <w:t>财务报告复印件，包括资产负债表、利润表、现金流量表、所有者权益变动表及其附注（若有）、会计师事务所营业执照和注册会计师资格证书，上述证明材料真实有效，否则我方负全部责任。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□事业单位适用：现附上我方</w:t>
      </w:r>
      <w:r>
        <w:rPr>
          <w:rFonts w:hint="eastAsia" w:ascii="仿宋" w:hAnsi="仿宋" w:eastAsia="仿宋" w:cs="仿宋"/>
          <w:color w:val="000000" w:themeColor="text1"/>
          <w:sz w:val="24"/>
          <w:szCs w:val="24"/>
          <w:u w:val="single"/>
          <w14:textFill>
            <w14:solidFill>
              <w14:schemeClr w14:val="tx1"/>
            </w14:solidFill>
          </w14:textFill>
        </w:rPr>
        <w:t>（填写“具体的年度、或半年度、或季度”）</w:t>
      </w:r>
      <w:r>
        <w:rPr>
          <w:rFonts w:hint="eastAsia" w:ascii="仿宋" w:hAnsi="仿宋" w:eastAsia="仿宋" w:cs="仿宋"/>
          <w:color w:val="000000" w:themeColor="text1"/>
          <w:sz w:val="24"/>
          <w:szCs w:val="24"/>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□社会团体、民办非企单位适用：现附上我方</w:t>
      </w:r>
      <w:r>
        <w:rPr>
          <w:rFonts w:hint="eastAsia" w:ascii="仿宋" w:hAnsi="仿宋" w:eastAsia="仿宋" w:cs="仿宋"/>
          <w:color w:val="000000" w:themeColor="text1"/>
          <w:sz w:val="24"/>
          <w:szCs w:val="24"/>
          <w:u w:val="single"/>
          <w14:textFill>
            <w14:solidFill>
              <w14:schemeClr w14:val="tx1"/>
            </w14:solidFill>
          </w14:textFill>
        </w:rPr>
        <w:t>（填写“具体的年度、或半年度、或季度”）</w:t>
      </w:r>
      <w:r>
        <w:rPr>
          <w:rFonts w:hint="eastAsia" w:ascii="仿宋" w:hAnsi="仿宋" w:eastAsia="仿宋" w:cs="仿宋"/>
          <w:color w:val="000000" w:themeColor="text1"/>
          <w:sz w:val="24"/>
          <w:szCs w:val="24"/>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（）供应商提供资信证明的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□非自然人适用（包括企业、事业单位、社会团体和其他组织）：现附上我方银行：</w:t>
      </w:r>
      <w:r>
        <w:rPr>
          <w:rFonts w:hint="eastAsia" w:ascii="仿宋" w:hAnsi="仿宋" w:eastAsia="仿宋" w:cs="仿宋"/>
          <w:color w:val="000000" w:themeColor="text1"/>
          <w:sz w:val="24"/>
          <w:szCs w:val="24"/>
          <w:u w:val="single"/>
          <w14:textFill>
            <w14:solidFill>
              <w14:schemeClr w14:val="tx1"/>
            </w14:solidFill>
          </w14:textFill>
        </w:rPr>
        <w:t>（填写“开户银行全称”）</w:t>
      </w:r>
      <w:r>
        <w:rPr>
          <w:rFonts w:hint="eastAsia" w:ascii="仿宋" w:hAnsi="仿宋" w:eastAsia="仿宋" w:cs="仿宋"/>
          <w:color w:val="000000" w:themeColor="text1"/>
          <w:sz w:val="24"/>
          <w:szCs w:val="24"/>
          <w14:textFill>
            <w14:solidFill>
              <w14:schemeClr w14:val="tx1"/>
            </w14:solidFill>
          </w14:textFill>
        </w:rPr>
        <w:t>出具的资信证明复印件，上述证明材料真实有效，否则我方负全部责任。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□自然人适用（包括企业、事业单位、社会团体和其他组织）：现附上我方银行：</w:t>
      </w:r>
      <w:r>
        <w:rPr>
          <w:rFonts w:hint="eastAsia" w:ascii="仿宋" w:hAnsi="仿宋" w:eastAsia="仿宋" w:cs="仿宋"/>
          <w:color w:val="000000" w:themeColor="text1"/>
          <w:sz w:val="24"/>
          <w:szCs w:val="24"/>
          <w:u w:val="single"/>
          <w14:textFill>
            <w14:solidFill>
              <w14:schemeClr w14:val="tx1"/>
            </w14:solidFill>
          </w14:textFill>
        </w:rPr>
        <w:t>（填写自然人的“个人账户的开户银行全称”）</w:t>
      </w:r>
      <w:r>
        <w:rPr>
          <w:rFonts w:hint="eastAsia" w:ascii="仿宋" w:hAnsi="仿宋" w:eastAsia="仿宋" w:cs="仿宋"/>
          <w:color w:val="000000" w:themeColor="text1"/>
          <w:sz w:val="24"/>
          <w:szCs w:val="24"/>
          <w14:textFill>
            <w14:solidFill>
              <w14:schemeClr w14:val="tx1"/>
            </w14:solidFill>
          </w14:textFill>
        </w:rPr>
        <w:t>出具的资信证明复印件，上述证明材料真实有效，否则我方负全部责任。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（）供应商提供谈判担保函的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现附上由财政部门认可的政府采购专业担保机构：</w:t>
      </w:r>
      <w:r>
        <w:rPr>
          <w:rFonts w:hint="eastAsia" w:ascii="仿宋" w:hAnsi="仿宋" w:eastAsia="仿宋" w:cs="仿宋"/>
          <w:color w:val="000000" w:themeColor="text1"/>
          <w:sz w:val="24"/>
          <w:szCs w:val="24"/>
          <w:u w:val="single"/>
          <w14:textFill>
            <w14:solidFill>
              <w14:schemeClr w14:val="tx1"/>
            </w14:solidFill>
          </w14:textFill>
        </w:rPr>
        <w:t>（填写“担保机构全称”）</w:t>
      </w:r>
      <w:r>
        <w:rPr>
          <w:rFonts w:hint="eastAsia" w:ascii="仿宋" w:hAnsi="仿宋" w:eastAsia="仿宋" w:cs="仿宋"/>
          <w:color w:val="000000" w:themeColor="text1"/>
          <w:sz w:val="24"/>
          <w:szCs w:val="24"/>
          <w14:textFill>
            <w14:solidFill>
              <w14:schemeClr w14:val="tx1"/>
            </w14:solidFill>
          </w14:textFill>
        </w:rPr>
        <w:t>出具的谈判担保函复印件，上述证明材料真实有效，否则我方负全部责任。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※注意事项：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2、供应商提供的财务报告复印件（成立年限按照首次响应文件递交截止时间推算）应符合下列规定：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2.1成立年限满1年及以上的供应商，提供经审计的上一年度的年度财务报告。</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2.2成立年限满半年但不足1年的供应商，提供该半年度中任一季度的季度财务报告或该半年度的半年度财务报告。</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※无法按照本格式注意事项第2.1、2.2条规定提供财务报告复印件的供应商，应按照本格式注意事项的要求选择提供资信证明复印件或谈判担保函复印件。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3、“财政部门认可的政府采购专业担保机构”应符合《财政部关于开展政府采购信用担保试点工作方案》（财库[2011]124号）的规定。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4、供应商提供的相应证明材料复印件均应符合：内容完整、清晰、整洁，并由供应商加盖其单位公章。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5、对于接受联合体形式的</w:t>
      </w:r>
      <w:r>
        <w:rPr>
          <w:rFonts w:hint="eastAsia" w:ascii="仿宋" w:hAnsi="仿宋" w:eastAsia="仿宋" w:cs="仿宋"/>
          <w:color w:val="000000" w:themeColor="text1"/>
          <w:sz w:val="24"/>
          <w:szCs w:val="24"/>
          <w:lang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28" w:name="_Toc11101"/>
      <w:r>
        <w:rPr>
          <w:rFonts w:hint="eastAsia" w:ascii="仿宋" w:hAnsi="仿宋" w:eastAsia="仿宋" w:cs="仿宋"/>
          <w:color w:val="000000" w:themeColor="text1"/>
          <w:sz w:val="36"/>
          <w:szCs w:val="36"/>
          <w14:textFill>
            <w14:solidFill>
              <w14:schemeClr w14:val="tx1"/>
            </w14:solidFill>
          </w14:textFill>
        </w:rPr>
        <w:t>附件3-6 依法缴纳税收证明材料</w:t>
      </w:r>
      <w:bookmarkEnd w:id="28"/>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1、依法缴纳税收的供应商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现附上自</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日期间我方缴纳（包括但不限于税务机关出具的专用收据、税收缴纳证明或税收代缴银行的缴款收讫凭证）等税收凭据复印件，上述证明材料真实有效，否则我方负全部责任。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现附上自</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日期间我方缴纳（包括但不限于税务机关出具的专用收据、税收缴纳证明或税收代缴银行的缴款收讫凭证）等税收凭据复印件，上述证明材料真实有效，否则我方负全部责任。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2、依法减免税收的供应商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（）现附上我方依法免税证明材料复印件，上述证明材料真实有效，否则我方负全部责任。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1、请供应商根据实际情况填写，在相应的（）中打“√”，并按照本格式的要求提供相应证明材料的复印件。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2、供应商提供的税收凭据复印件应符合下列规定：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2.1首次响应文件递交截止时间前（不含截止时间的当月）已依法缴纳税收的供应商，提供首次响应文件递交截止时间前六个月（不含截止时间的当月）中任一月份的税收凭据复印件。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2.2首次响应文件递交截止时间的当月成立的供应商，视同满足本项资格条件要求。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2.3若为依法免税范围的供应商，提供依法免税证明材料的，视同满足本项资格条件要求。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29" w:name="_Toc26546"/>
      <w:r>
        <w:rPr>
          <w:rFonts w:hint="eastAsia" w:ascii="仿宋" w:hAnsi="仿宋" w:eastAsia="仿宋" w:cs="仿宋"/>
          <w:color w:val="000000" w:themeColor="text1"/>
          <w:sz w:val="36"/>
          <w:szCs w:val="36"/>
          <w14:textFill>
            <w14:solidFill>
              <w14:schemeClr w14:val="tx1"/>
            </w14:solidFill>
          </w14:textFill>
        </w:rPr>
        <w:t>附件3-7 依法缴纳社会保障资金证明材料</w:t>
      </w:r>
      <w:bookmarkEnd w:id="2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1、依法缴纳社会保障资金的供应商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现附上自</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2、依法不需要缴纳或暂缓缴纳社会保障资金的供应商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（）现附上我方依法不需要缴纳社会保障资金证明材料复印件，上述证明材料真实有效，否则我方负全部责任。、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1、请供应商根据实际情况填写，在相应的（）中打“√”，并按照本格式的要求提供相应证明材料的复印件。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2、供应商提供的社会保险凭据复印件应符合下列规定：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2.2首次响应文件递交截止时间的当月成立的供应商，视同满足本项资格条件要求。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2.3若为依法不需要缴纳或暂缓缴纳社会保障资金的供应商，提供依法不需要缴纳或暂缓缴纳社会保障资金证明材料的，视同满足本项资格条件要求。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30" w:name="_Toc21056"/>
      <w:r>
        <w:rPr>
          <w:rFonts w:hint="eastAsia" w:ascii="仿宋" w:hAnsi="仿宋" w:eastAsia="仿宋" w:cs="仿宋"/>
          <w:color w:val="000000" w:themeColor="text1"/>
          <w:sz w:val="36"/>
          <w:szCs w:val="36"/>
          <w14:textFill>
            <w14:solidFill>
              <w14:schemeClr w14:val="tx1"/>
            </w14:solidFill>
          </w14:textFill>
        </w:rPr>
        <w:t>附件3-8 具备履行合同所必需设备和专业技术能力证明材料声明函</w:t>
      </w:r>
      <w:bookmarkEnd w:id="3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我方具备履行合同所必需的设备和专业技术能力，并对本声明承诺的真实性负责，否则产生不利后果由我方承担责任。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14:textFill>
            <w14:solidFill>
              <w14:schemeClr w14:val="tx1"/>
            </w14:solidFill>
          </w14:textFill>
        </w:rPr>
      </w:pPr>
      <w:bookmarkStart w:id="31" w:name="_Toc16227"/>
      <w:r>
        <w:rPr>
          <w:rFonts w:hint="eastAsia" w:ascii="仿宋" w:hAnsi="仿宋" w:eastAsia="仿宋" w:cs="仿宋"/>
          <w:color w:val="000000" w:themeColor="text1"/>
          <w:sz w:val="36"/>
          <w:szCs w:val="36"/>
          <w14:textFill>
            <w14:solidFill>
              <w14:schemeClr w14:val="tx1"/>
            </w14:solidFill>
          </w14:textFill>
        </w:rPr>
        <w:t>附件3-9 信用记录查询结果</w:t>
      </w:r>
      <w:bookmarkEnd w:id="31"/>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1、由谈判小组通过网站查询并打印供应商的信用记录。</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14:textFill>
            <w14:solidFill>
              <w14:schemeClr w14:val="tx1"/>
            </w14:solidFill>
          </w14:textFill>
        </w:rPr>
      </w:pPr>
      <w:bookmarkStart w:id="32" w:name="_Toc3911"/>
      <w:r>
        <w:rPr>
          <w:rFonts w:hint="eastAsia" w:ascii="仿宋" w:hAnsi="仿宋" w:eastAsia="仿宋" w:cs="仿宋"/>
          <w:color w:val="000000" w:themeColor="text1"/>
          <w:sz w:val="36"/>
          <w:szCs w:val="36"/>
          <w14:textFill>
            <w14:solidFill>
              <w14:schemeClr w14:val="tx1"/>
            </w14:solidFill>
          </w14:textFill>
        </w:rPr>
        <w:t>附件3-10 联合体协议</w:t>
      </w:r>
      <w:bookmarkEnd w:id="32"/>
    </w:p>
    <w:p>
      <w:pPr>
        <w:pStyle w:val="4"/>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（接受联合体的项目使用）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兹有</w:t>
      </w:r>
      <w:r>
        <w:rPr>
          <w:rFonts w:hint="eastAsia" w:ascii="仿宋" w:hAnsi="仿宋" w:eastAsia="仿宋" w:cs="仿宋"/>
          <w:color w:val="000000" w:themeColor="text1"/>
          <w:sz w:val="24"/>
          <w:szCs w:val="24"/>
          <w:u w:val="single"/>
          <w14:textFill>
            <w14:solidFill>
              <w14:schemeClr w14:val="tx1"/>
            </w14:solidFill>
          </w14:textFill>
        </w:rPr>
        <w:t>（填写“联合体中各方的全称”，各方的全称之间请用“、”分割）</w:t>
      </w:r>
      <w:r>
        <w:rPr>
          <w:rFonts w:hint="eastAsia" w:ascii="仿宋" w:hAnsi="仿宋" w:eastAsia="仿宋" w:cs="仿宋"/>
          <w:color w:val="000000" w:themeColor="text1"/>
          <w:sz w:val="24"/>
          <w:szCs w:val="24"/>
          <w14:textFill>
            <w14:solidFill>
              <w14:schemeClr w14:val="tx1"/>
            </w14:solidFill>
          </w14:textFill>
        </w:rPr>
        <w:t>自愿组成联合体，共同参加（填写</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（填写“项目编号”）</w:t>
      </w:r>
      <w:r>
        <w:rPr>
          <w:rFonts w:hint="eastAsia" w:ascii="仿宋" w:hAnsi="仿宋" w:eastAsia="仿宋" w:cs="仿宋"/>
          <w:color w:val="000000" w:themeColor="text1"/>
          <w:sz w:val="24"/>
          <w:szCs w:val="24"/>
          <w14:textFill>
            <w14:solidFill>
              <w14:schemeClr w14:val="tx1"/>
            </w14:solidFill>
          </w14:textFill>
        </w:rPr>
        <w:t>）的响应。现就联合体参加本项目响应谈判的有关事宜达成下列协议：</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一、联合体各方应承担的工作和义务具体如下：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1、牵头方单位名称：</w:t>
      </w:r>
      <w:r>
        <w:rPr>
          <w:rFonts w:hint="eastAsia" w:ascii="仿宋" w:hAnsi="仿宋" w:eastAsia="仿宋" w:cs="仿宋"/>
          <w:color w:val="000000" w:themeColor="text1"/>
          <w:sz w:val="24"/>
          <w:szCs w:val="24"/>
          <w:u w:val="single"/>
          <w14:textFill>
            <w14:solidFill>
              <w14:schemeClr w14:val="tx1"/>
            </w14:solidFill>
          </w14:textFill>
        </w:rPr>
        <w:t>（填写“工作及义务的具体内容”）</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2、成员方：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2.1（成员一的全称）：</w:t>
      </w:r>
      <w:r>
        <w:rPr>
          <w:rFonts w:hint="eastAsia" w:ascii="仿宋" w:hAnsi="仿宋" w:eastAsia="仿宋" w:cs="仿宋"/>
          <w:color w:val="000000" w:themeColor="text1"/>
          <w:sz w:val="24"/>
          <w:szCs w:val="24"/>
          <w:u w:val="single"/>
          <w14:textFill>
            <w14:solidFill>
              <w14:schemeClr w14:val="tx1"/>
            </w14:solidFill>
          </w14:textFill>
        </w:rPr>
        <w:t>（填写“工作及义务的具体内容”）</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二、联合体各方的合同金额占比，具体如下：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1、牵头方单位名称：</w:t>
      </w:r>
      <w:r>
        <w:rPr>
          <w:rFonts w:hint="eastAsia" w:ascii="仿宋" w:hAnsi="仿宋" w:eastAsia="仿宋" w:cs="仿宋"/>
          <w:color w:val="000000" w:themeColor="text1"/>
          <w:sz w:val="24"/>
          <w:szCs w:val="24"/>
          <w:u w:val="single"/>
          <w14:textFill>
            <w14:solidFill>
              <w14:schemeClr w14:val="tx1"/>
            </w14:solidFill>
          </w14:textFill>
        </w:rPr>
        <w:t>（填写“工作及义务的具体内容”）</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2、成员方：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2.1（成员一的全称）：</w:t>
      </w:r>
      <w:r>
        <w:rPr>
          <w:rFonts w:hint="eastAsia" w:ascii="仿宋" w:hAnsi="仿宋" w:eastAsia="仿宋" w:cs="仿宋"/>
          <w:color w:val="000000" w:themeColor="text1"/>
          <w:sz w:val="24"/>
          <w:szCs w:val="24"/>
          <w:u w:val="single"/>
          <w14:textFill>
            <w14:solidFill>
              <w14:schemeClr w14:val="tx1"/>
            </w14:solidFill>
          </w14:textFill>
        </w:rPr>
        <w:t>（填写“工作及义务的具体内容”）</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三、联合体各方约定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1、由</w:t>
      </w:r>
      <w:r>
        <w:rPr>
          <w:rFonts w:hint="eastAsia" w:ascii="仿宋" w:hAnsi="仿宋" w:eastAsia="仿宋" w:cs="仿宋"/>
          <w:color w:val="000000" w:themeColor="text1"/>
          <w:sz w:val="24"/>
          <w:szCs w:val="24"/>
          <w:u w:val="single"/>
          <w14:textFill>
            <w14:solidFill>
              <w14:schemeClr w14:val="tx1"/>
            </w14:solidFill>
          </w14:textFill>
        </w:rPr>
        <w:t>（填写“牵头方的全称”）</w:t>
      </w:r>
      <w:r>
        <w:rPr>
          <w:rFonts w:hint="eastAsia" w:ascii="仿宋" w:hAnsi="仿宋" w:eastAsia="仿宋" w:cs="仿宋"/>
          <w:color w:val="000000" w:themeColor="text1"/>
          <w:sz w:val="24"/>
          <w:szCs w:val="24"/>
          <w14:textFill>
            <w14:solidFill>
              <w14:schemeClr w14:val="tx1"/>
            </w14:solidFill>
          </w14:textFill>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2、联合体各方约定由（填写“牵头方的全称”）代表联合体办理谈判保证金事宜。</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四、若成交，牵头方将代表联合体与采购人就合同签订事宜进行协商；若协商一致，则联合体各方将共同与采购人签订政府采购合同，并就政府采购合同约定的事项对采购人承担连带责任。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五、本协议自签署之日起生效，政府采购合同履行完毕后自动失效。</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六、本协议一式</w:t>
      </w:r>
      <w:r>
        <w:rPr>
          <w:rFonts w:hint="eastAsia" w:ascii="仿宋" w:hAnsi="仿宋" w:eastAsia="仿宋" w:cs="仿宋"/>
          <w:color w:val="000000" w:themeColor="text1"/>
          <w:sz w:val="24"/>
          <w:szCs w:val="24"/>
          <w:u w:val="single"/>
          <w14:textFill>
            <w14:solidFill>
              <w14:schemeClr w14:val="tx1"/>
            </w14:solidFill>
          </w14:textFill>
        </w:rPr>
        <w:t>（填写具体份数）</w:t>
      </w:r>
      <w:r>
        <w:rPr>
          <w:rFonts w:hint="eastAsia" w:ascii="仿宋" w:hAnsi="仿宋" w:eastAsia="仿宋" w:cs="仿宋"/>
          <w:color w:val="000000" w:themeColor="text1"/>
          <w:sz w:val="24"/>
          <w:szCs w:val="24"/>
          <w14:textFill>
            <w14:solidFill>
              <w14:schemeClr w14:val="tx1"/>
            </w14:solidFill>
          </w14:textFill>
        </w:rPr>
        <w:t>份，联合体各方各执一份，响应文件中提交一份。</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（以下无正文）</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牵头方：</w:t>
      </w:r>
      <w:r>
        <w:rPr>
          <w:rFonts w:hint="eastAsia" w:ascii="仿宋" w:hAnsi="仿宋" w:eastAsia="仿宋" w:cs="仿宋"/>
          <w:color w:val="000000" w:themeColor="text1"/>
          <w:sz w:val="24"/>
          <w:szCs w:val="24"/>
          <w:u w:val="single"/>
          <w14:textFill>
            <w14:solidFill>
              <w14:schemeClr w14:val="tx1"/>
            </w14:solidFill>
          </w14:textFill>
        </w:rPr>
        <w:t>（全称并加盖单位公章）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成员一：</w:t>
      </w:r>
      <w:r>
        <w:rPr>
          <w:rFonts w:hint="eastAsia" w:ascii="仿宋" w:hAnsi="仿宋" w:eastAsia="仿宋" w:cs="仿宋"/>
          <w:color w:val="000000" w:themeColor="text1"/>
          <w:sz w:val="24"/>
          <w:szCs w:val="24"/>
          <w:u w:val="single"/>
          <w14:textFill>
            <w14:solidFill>
              <w14:schemeClr w14:val="tx1"/>
            </w14:solidFill>
          </w14:textFill>
        </w:rPr>
        <w:t>（全称并加盖成员一的单位公章）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成员**：</w:t>
      </w:r>
      <w:r>
        <w:rPr>
          <w:rFonts w:hint="eastAsia" w:ascii="仿宋" w:hAnsi="仿宋" w:eastAsia="仿宋" w:cs="仿宋"/>
          <w:color w:val="000000" w:themeColor="text1"/>
          <w:sz w:val="24"/>
          <w:szCs w:val="24"/>
          <w:u w:val="single"/>
          <w14:textFill>
            <w14:solidFill>
              <w14:schemeClr w14:val="tx1"/>
            </w14:solidFill>
          </w14:textFill>
        </w:rPr>
        <w:t>（全称并加盖成员**的单位公章）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1、若谈判文件规定接受联合体形式且供应商为联合体的，则供应商应提供本协议；否则无须提供。</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2、本协议中的供应商代表如果不是竞争性谈判须知中定义的“单位负责人”，则还必须提供“单位负责人授权书”。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3、在以联合体形式落实中小企业预留份额项目中，供应商除了要提供《中小企业声明函》，还需提供本协议。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14:textFill>
            <w14:solidFill>
              <w14:schemeClr w14:val="tx1"/>
            </w14:solidFill>
          </w14:textFill>
        </w:rPr>
      </w:pPr>
      <w:bookmarkStart w:id="33" w:name="_Toc16549"/>
      <w:r>
        <w:rPr>
          <w:rFonts w:hint="eastAsia" w:ascii="仿宋" w:hAnsi="仿宋" w:eastAsia="仿宋" w:cs="仿宋"/>
          <w:color w:val="000000" w:themeColor="text1"/>
          <w:sz w:val="36"/>
          <w:szCs w:val="36"/>
          <w14:textFill>
            <w14:solidFill>
              <w14:schemeClr w14:val="tx1"/>
            </w14:solidFill>
          </w14:textFill>
        </w:rPr>
        <w:t>附件3-11分包意向协议（若有）</w:t>
      </w:r>
      <w:bookmarkEnd w:id="3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甲方（总包方）：</w:t>
      </w:r>
      <w:r>
        <w:rPr>
          <w:rFonts w:hint="eastAsia" w:ascii="仿宋" w:hAnsi="仿宋" w:eastAsia="仿宋" w:cs="仿宋"/>
          <w:color w:val="000000" w:themeColor="text1"/>
          <w:sz w:val="24"/>
          <w:szCs w:val="24"/>
          <w:u w:val="single"/>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（即本项目的供应商）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乙方（分包方）：</w:t>
      </w:r>
      <w:r>
        <w:rPr>
          <w:rFonts w:hint="eastAsia" w:ascii="仿宋" w:hAnsi="仿宋" w:eastAsia="仿宋" w:cs="仿宋"/>
          <w:color w:val="000000" w:themeColor="text1"/>
          <w:sz w:val="24"/>
          <w:szCs w:val="24"/>
          <w:u w:val="single"/>
          <w14:textFill>
            <w14:solidFill>
              <w14:schemeClr w14:val="tx1"/>
            </w14:solidFill>
          </w14:textFill>
        </w:rPr>
        <w:t>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兹有甲方参加</w:t>
      </w:r>
      <w:r>
        <w:rPr>
          <w:rFonts w:hint="eastAsia" w:ascii="仿宋" w:hAnsi="仿宋" w:eastAsia="仿宋" w:cs="仿宋"/>
          <w:color w:val="000000" w:themeColor="text1"/>
          <w:sz w:val="24"/>
          <w:szCs w:val="24"/>
          <w:u w:val="single"/>
          <w14:textFill>
            <w14:solidFill>
              <w14:schemeClr w14:val="tx1"/>
            </w14:solidFill>
          </w14:textFill>
        </w:rPr>
        <w:t>（填写“项目名称”）</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一、分包标的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（根据双方的意向填写，可以是表格或文字描述）。</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二、分包合同金额占比</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分包合同价占报价总价的比例：</w:t>
      </w:r>
      <w:r>
        <w:rPr>
          <w:rFonts w:hint="eastAsia" w:ascii="仿宋" w:hAnsi="仿宋" w:eastAsia="仿宋" w:cs="仿宋"/>
          <w:color w:val="000000" w:themeColor="text1"/>
          <w:sz w:val="24"/>
          <w:szCs w:val="24"/>
          <w:u w:val="single"/>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三、其他条款</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单位负责人或委托代理人：</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联系方法：</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3"/>
              <w:keepNext w:val="0"/>
              <w:keepLines w:val="0"/>
              <w:pageBreakBefore w:val="0"/>
              <w:kinsoku/>
              <w:wordWrap/>
              <w:overflowPunct/>
              <w:topLinePunct w:val="0"/>
              <w:autoSpaceDE/>
              <w:autoSpaceDN/>
              <w:bidi w:val="0"/>
              <w:adjustRightInd/>
              <w:snapToGrid/>
              <w:spacing w:line="360" w:lineRule="atLeast"/>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签订地点：</w:t>
            </w:r>
            <w:r>
              <w:rPr>
                <w:rFonts w:hint="eastAsia" w:ascii="仿宋" w:hAnsi="仿宋" w:eastAsia="仿宋" w:cs="仿宋"/>
                <w:color w:val="000000" w:themeColor="text1"/>
                <w:sz w:val="24"/>
                <w:szCs w:val="24"/>
                <w:u w:val="single"/>
                <w14:textFill>
                  <w14:solidFill>
                    <w14:schemeClr w14:val="tx1"/>
                  </w14:solidFill>
                </w14:textFill>
              </w:rPr>
              <w:t>　　　　　　　　　　</w:t>
            </w:r>
          </w:p>
          <w:p>
            <w:pPr>
              <w:pStyle w:val="43"/>
              <w:keepNext w:val="0"/>
              <w:keepLines w:val="0"/>
              <w:pageBreakBefore w:val="0"/>
              <w:kinsoku/>
              <w:wordWrap/>
              <w:overflowPunct/>
              <w:topLinePunct w:val="0"/>
              <w:autoSpaceDE/>
              <w:autoSpaceDN/>
              <w:bidi w:val="0"/>
              <w:adjustRightInd/>
              <w:snapToGrid/>
              <w:spacing w:line="360" w:lineRule="atLeast"/>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签约日期：</w:t>
            </w:r>
            <w:r>
              <w:rPr>
                <w:rFonts w:hint="eastAsia" w:ascii="仿宋" w:hAnsi="仿宋" w:eastAsia="仿宋" w:cs="仿宋"/>
                <w:color w:val="000000" w:themeColor="text1"/>
                <w:sz w:val="24"/>
                <w:szCs w:val="24"/>
                <w:u w:val="single"/>
                <w14:textFill>
                  <w14:solidFill>
                    <w14:schemeClr w14:val="tx1"/>
                  </w14:solidFill>
                </w14:textFill>
              </w:rPr>
              <w:t>　　年　　月　　日</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1.谈判文件接受合同分包且供应商拟将合同分包的，应提供本协议；否则无须提供。</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2.本协议由委托代理人签字或盖章的，应按照本章载明的格式提供“单位授权书”。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3.在以合同分包形式落实中小企业预留份额项目中，供应商除了要提供《中小企业声明函》，还需提供本协议。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34" w:name="_Toc21664"/>
      <w:r>
        <w:rPr>
          <w:rFonts w:hint="eastAsia" w:ascii="仿宋" w:hAnsi="仿宋" w:eastAsia="仿宋" w:cs="仿宋"/>
          <w:color w:val="000000" w:themeColor="text1"/>
          <w:sz w:val="36"/>
          <w:szCs w:val="36"/>
          <w14:textFill>
            <w14:solidFill>
              <w14:schemeClr w14:val="tx1"/>
            </w14:solidFill>
          </w14:textFill>
        </w:rPr>
        <w:t>附件3-12 参加采购活动前三年内在经营活动中没有重大违法记录书面声明</w:t>
      </w:r>
      <w:bookmarkEnd w:id="34"/>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1、“重大违法记录”指供应商因违法经营受到刑事处罚或责令停产停业、吊销许可证或执照、较大数额罚款等行政处罚。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2、请供应商根据实际情况如实声明，否则视为提供虚假材料。</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35" w:name="_Toc16096"/>
      <w:r>
        <w:rPr>
          <w:rFonts w:hint="eastAsia" w:ascii="仿宋" w:hAnsi="仿宋" w:eastAsia="仿宋" w:cs="仿宋"/>
          <w:color w:val="000000" w:themeColor="text1"/>
          <w:sz w:val="36"/>
          <w:szCs w:val="36"/>
          <w14:textFill>
            <w14:solidFill>
              <w14:schemeClr w14:val="tx1"/>
            </w14:solidFill>
          </w14:textFill>
        </w:rPr>
        <w:t>附件3-13 其它资格证明文件</w:t>
      </w:r>
      <w:bookmarkEnd w:id="35"/>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（如果有的话）</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2、若谈判文件规定接受联合体形式且供应商为联合体的，涉及联合体成员的其它资格证明文件在此处提供相关证明材料，并加盖供应商单位公章。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36" w:name="_Toc29243"/>
      <w:r>
        <w:rPr>
          <w:rFonts w:hint="eastAsia" w:ascii="仿宋" w:hAnsi="仿宋" w:eastAsia="仿宋" w:cs="仿宋"/>
          <w:color w:val="000000" w:themeColor="text1"/>
          <w:sz w:val="36"/>
          <w:szCs w:val="36"/>
          <w14:textFill>
            <w14:solidFill>
              <w14:schemeClr w14:val="tx1"/>
            </w14:solidFill>
          </w14:textFill>
        </w:rPr>
        <w:t>附件4 谈判保证金凭证</w:t>
      </w:r>
      <w:bookmarkEnd w:id="36"/>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编制说明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2、谈判保证金是否已提交按照谈判文件规定执行。</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b/>
          <w:bCs/>
          <w:color w:val="000000" w:themeColor="text1"/>
          <w:kern w:val="0"/>
          <w:szCs w:val="36"/>
          <w:lang w:val="en-US" w:eastAsia="zh-CN" w:bidi="ar-SA"/>
          <w14:textFill>
            <w14:solidFill>
              <w14:schemeClr w14:val="tx1"/>
            </w14:solidFill>
          </w14:textFill>
        </w:rPr>
      </w:pPr>
      <w:bookmarkStart w:id="37" w:name="_Toc5061"/>
      <w:r>
        <w:rPr>
          <w:rFonts w:hint="eastAsia" w:ascii="仿宋" w:hAnsi="仿宋" w:eastAsia="仿宋" w:cs="仿宋"/>
          <w:color w:val="000000" w:themeColor="text1"/>
          <w:sz w:val="36"/>
          <w:szCs w:val="36"/>
          <w:lang w:val="en-US" w:eastAsia="zh-CN"/>
          <w14:textFill>
            <w14:solidFill>
              <w14:schemeClr w14:val="tx1"/>
            </w14:solidFill>
          </w14:textFill>
        </w:rPr>
        <w:t>附件5：技术、服务和商务响应表</w:t>
      </w:r>
      <w:bookmarkEnd w:id="37"/>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38" w:name="_Toc1666"/>
      <w:r>
        <w:rPr>
          <w:rFonts w:hint="eastAsia" w:ascii="仿宋" w:hAnsi="仿宋" w:eastAsia="仿宋" w:cs="仿宋"/>
          <w:color w:val="000000" w:themeColor="text1"/>
          <w:sz w:val="36"/>
          <w:szCs w:val="36"/>
          <w:lang w:val="en-US" w:eastAsia="zh-CN"/>
          <w14:textFill>
            <w14:solidFill>
              <w14:schemeClr w14:val="tx1"/>
            </w14:solidFill>
          </w14:textFill>
        </w:rPr>
        <w:t>附件5-1：技术和服务要求响应表</w:t>
      </w:r>
      <w:bookmarkEnd w:id="38"/>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（全称加盖单位公章）</w:t>
      </w: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u w:val="single"/>
          <w14:textFill>
            <w14:solidFill>
              <w14:schemeClr w14:val="tx1"/>
            </w14:solidFill>
          </w14:textFill>
        </w:rPr>
        <w:t xml:space="preserve">    </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采购包</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章节条目号</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竞争性谈判文件规定的技术和服务要求</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响应文件响应承诺</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供应商代表签字：</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Cs w:val="24"/>
          <w14:textFill>
            <w14:solidFill>
              <w14:schemeClr w14:val="tx1"/>
            </w14:solidFill>
          </w14:textFill>
        </w:rPr>
      </w:pPr>
      <w:bookmarkStart w:id="39" w:name="_Toc18862"/>
      <w:r>
        <w:rPr>
          <w:rFonts w:hint="eastAsia" w:ascii="仿宋" w:hAnsi="仿宋" w:eastAsia="仿宋" w:cs="仿宋"/>
          <w:color w:val="000000" w:themeColor="text1"/>
          <w:sz w:val="36"/>
          <w:szCs w:val="36"/>
          <w:lang w:val="en-US" w:eastAsia="zh-CN"/>
          <w14:textFill>
            <w14:solidFill>
              <w14:schemeClr w14:val="tx1"/>
            </w14:solidFill>
          </w14:textFill>
        </w:rPr>
        <w:t>附件5-2 商务条件和其它事项响应表</w:t>
      </w:r>
      <w:bookmarkEnd w:id="3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（全称加盖单位公章）</w:t>
      </w: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u w:val="single"/>
          <w14:textFill>
            <w14:solidFill>
              <w14:schemeClr w14:val="tx1"/>
            </w14:solidFill>
          </w14:textFill>
        </w:rPr>
        <w:t xml:space="preserve">    </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采购包</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章节条目号</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竞争性谈判文件规定的商务条件要求</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响应文件响应承诺</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供应商代表签字：</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40" w:name="_Toc2482"/>
      <w:r>
        <w:rPr>
          <w:rFonts w:hint="eastAsia" w:ascii="仿宋" w:hAnsi="仿宋" w:eastAsia="仿宋" w:cs="仿宋"/>
          <w:color w:val="000000" w:themeColor="text1"/>
          <w:sz w:val="36"/>
          <w:szCs w:val="36"/>
          <w:lang w:val="en-US" w:eastAsia="zh-CN"/>
          <w14:textFill>
            <w14:solidFill>
              <w14:schemeClr w14:val="tx1"/>
            </w14:solidFill>
          </w14:textFill>
        </w:rPr>
        <w:t>附件6 相关技术、商务、服务响应承诺及资料</w:t>
      </w:r>
      <w:bookmarkEnd w:id="4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2.如果没有特别要求的，供应商根据谈判文件的要求以及特点，提供相关技术、商务、服务响应承诺及资料，格式自拟。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b/>
          <w:bCs/>
          <w:color w:val="000000" w:themeColor="text1"/>
          <w:kern w:val="0"/>
          <w:szCs w:val="36"/>
          <w:lang w:val="en-US" w:eastAsia="zh-CN" w:bidi="ar-SA"/>
          <w14:textFill>
            <w14:solidFill>
              <w14:schemeClr w14:val="tx1"/>
            </w14:solidFill>
          </w14:textFill>
        </w:rPr>
      </w:pPr>
      <w:bookmarkStart w:id="41" w:name="_Toc23041"/>
      <w:r>
        <w:rPr>
          <w:rFonts w:hint="eastAsia" w:ascii="仿宋" w:hAnsi="仿宋" w:eastAsia="仿宋" w:cs="仿宋"/>
          <w:color w:val="000000" w:themeColor="text1"/>
          <w:sz w:val="36"/>
          <w:szCs w:val="36"/>
          <w:lang w:val="en-US" w:eastAsia="zh-CN"/>
          <w14:textFill>
            <w14:solidFill>
              <w14:schemeClr w14:val="tx1"/>
            </w14:solidFill>
          </w14:textFill>
        </w:rPr>
        <w:t>附件7 供应商提交符合政府采购政策的证明材料</w:t>
      </w:r>
      <w:bookmarkEnd w:id="41"/>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42" w:name="_Toc28974"/>
      <w:r>
        <w:rPr>
          <w:rFonts w:hint="eastAsia" w:ascii="仿宋" w:hAnsi="仿宋" w:eastAsia="仿宋" w:cs="仿宋"/>
          <w:color w:val="000000" w:themeColor="text1"/>
          <w:sz w:val="36"/>
          <w:szCs w:val="36"/>
          <w14:textFill>
            <w14:solidFill>
              <w14:schemeClr w14:val="tx1"/>
            </w14:solidFill>
          </w14:textFill>
        </w:rPr>
        <w:t>附件7-1-1 中小企业声明函（如果有的话）</w:t>
      </w:r>
      <w:bookmarkEnd w:id="42"/>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中小企业声明函（货物）</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w:t>
      </w:r>
      <w:r>
        <w:rPr>
          <w:rFonts w:hint="eastAsia" w:ascii="仿宋" w:hAnsi="仿宋" w:eastAsia="仿宋" w:cs="仿宋"/>
          <w:color w:val="000000" w:themeColor="text1"/>
          <w:sz w:val="24"/>
          <w:szCs w:val="24"/>
          <w:u w:val="single"/>
          <w14:textFill>
            <w14:solidFill>
              <w14:schemeClr w14:val="tx1"/>
            </w14:solidFill>
          </w14:textFill>
        </w:rPr>
        <w:t>（联合体）</w:t>
      </w:r>
      <w:r>
        <w:rPr>
          <w:rFonts w:hint="eastAsia" w:ascii="仿宋" w:hAnsi="仿宋" w:eastAsia="仿宋" w:cs="仿宋"/>
          <w:color w:val="000000" w:themeColor="text1"/>
          <w:sz w:val="24"/>
          <w:szCs w:val="24"/>
          <w14:textFill>
            <w14:solidFill>
              <w14:schemeClr w14:val="tx1"/>
            </w14:solidFill>
          </w14:textFill>
        </w:rPr>
        <w:t>郑重声明，根据《政府采购促进中小企业发展管理办法》（财库﹝2020﹞46号）的规定，本公司</w:t>
      </w:r>
      <w:r>
        <w:rPr>
          <w:rFonts w:hint="eastAsia" w:ascii="仿宋" w:hAnsi="仿宋" w:eastAsia="仿宋" w:cs="仿宋"/>
          <w:color w:val="000000" w:themeColor="text1"/>
          <w:sz w:val="24"/>
          <w:szCs w:val="24"/>
          <w:u w:val="single"/>
          <w14:textFill>
            <w14:solidFill>
              <w14:schemeClr w14:val="tx1"/>
            </w14:solidFill>
          </w14:textFill>
        </w:rPr>
        <w:t>（联合体）</w:t>
      </w:r>
      <w:r>
        <w:rPr>
          <w:rFonts w:hint="eastAsia" w:ascii="仿宋" w:hAnsi="仿宋" w:eastAsia="仿宋" w:cs="仿宋"/>
          <w:color w:val="000000" w:themeColor="text1"/>
          <w:sz w:val="24"/>
          <w:szCs w:val="24"/>
          <w14:textFill>
            <w14:solidFill>
              <w14:schemeClr w14:val="tx1"/>
            </w14:solidFill>
          </w14:textFill>
        </w:rPr>
        <w:t>参加</w:t>
      </w:r>
      <w:r>
        <w:rPr>
          <w:rFonts w:hint="eastAsia" w:ascii="仿宋" w:hAnsi="仿宋" w:eastAsia="仿宋" w:cs="仿宋"/>
          <w:color w:val="000000" w:themeColor="text1"/>
          <w:sz w:val="24"/>
          <w:szCs w:val="24"/>
          <w:u w:val="single"/>
          <w14:textFill>
            <w14:solidFill>
              <w14:schemeClr w14:val="tx1"/>
            </w14:solidFill>
          </w14:textFill>
        </w:rPr>
        <w:t>（单位名称）</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行业；制造商为</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万元1，属于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行业；制造商为</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万元1，属于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本企业对上述声明内容的真实性负责。如有虚假，将依法承担相应责任。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1、从业人员、营业收入、资产总额填报上一年度数据，无上一年度数据的新成立企业可不填报。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中小企业声明函（工程、服务）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w:t>
      </w:r>
      <w:r>
        <w:rPr>
          <w:rFonts w:hint="eastAsia" w:ascii="仿宋" w:hAnsi="仿宋" w:eastAsia="仿宋" w:cs="仿宋"/>
          <w:color w:val="000000" w:themeColor="text1"/>
          <w:sz w:val="24"/>
          <w:szCs w:val="24"/>
          <w:u w:val="single"/>
          <w14:textFill>
            <w14:solidFill>
              <w14:schemeClr w14:val="tx1"/>
            </w14:solidFill>
          </w14:textFill>
        </w:rPr>
        <w:t>（联合体）</w:t>
      </w:r>
      <w:r>
        <w:rPr>
          <w:rFonts w:hint="eastAsia" w:ascii="仿宋" w:hAnsi="仿宋" w:eastAsia="仿宋" w:cs="仿宋"/>
          <w:color w:val="000000" w:themeColor="text1"/>
          <w:sz w:val="24"/>
          <w:szCs w:val="24"/>
          <w14:textFill>
            <w14:solidFill>
              <w14:schemeClr w14:val="tx1"/>
            </w14:solidFill>
          </w14:textFill>
        </w:rPr>
        <w:t>郑重声明，根据《政府采购促进中小企业发展管理办法》（财库﹝2020﹞46号）的规定，本公司</w:t>
      </w:r>
      <w:r>
        <w:rPr>
          <w:rFonts w:hint="eastAsia" w:ascii="仿宋" w:hAnsi="仿宋" w:eastAsia="仿宋" w:cs="仿宋"/>
          <w:color w:val="000000" w:themeColor="text1"/>
          <w:sz w:val="24"/>
          <w:szCs w:val="24"/>
          <w:u w:val="single"/>
          <w14:textFill>
            <w14:solidFill>
              <w14:schemeClr w14:val="tx1"/>
            </w14:solidFill>
          </w14:textFill>
        </w:rPr>
        <w:t>（联合体）</w:t>
      </w:r>
      <w:r>
        <w:rPr>
          <w:rFonts w:hint="eastAsia" w:ascii="仿宋" w:hAnsi="仿宋" w:eastAsia="仿宋" w:cs="仿宋"/>
          <w:color w:val="000000" w:themeColor="text1"/>
          <w:sz w:val="24"/>
          <w:szCs w:val="24"/>
          <w14:textFill>
            <w14:solidFill>
              <w14:schemeClr w14:val="tx1"/>
            </w14:solidFill>
          </w14:textFill>
        </w:rPr>
        <w:t>参加</w:t>
      </w:r>
      <w:r>
        <w:rPr>
          <w:rFonts w:hint="eastAsia" w:ascii="仿宋" w:hAnsi="仿宋" w:eastAsia="仿宋" w:cs="仿宋"/>
          <w:color w:val="000000" w:themeColor="text1"/>
          <w:sz w:val="24"/>
          <w:szCs w:val="24"/>
          <w:u w:val="single"/>
          <w14:textFill>
            <w14:solidFill>
              <w14:schemeClr w14:val="tx1"/>
            </w14:solidFill>
          </w14:textFill>
        </w:rPr>
        <w:t>（单位名称）</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行业；承建（承接）企业为</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万元1，属于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行业；承建（承接）企业为</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万元1，属于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本企业对上述声明内容的真实性负责。如有虚假，将依法承担相应责任。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1、从业人员、营业收入、资产总额填报上一年度数据，无上一年度数据的新成立企业可不填报。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43" w:name="_Toc10184"/>
      <w:r>
        <w:rPr>
          <w:rFonts w:hint="eastAsia" w:ascii="仿宋" w:hAnsi="仿宋" w:eastAsia="仿宋" w:cs="仿宋"/>
          <w:color w:val="000000" w:themeColor="text1"/>
          <w:sz w:val="36"/>
          <w:szCs w:val="36"/>
          <w:lang w:val="en-US" w:eastAsia="zh-CN"/>
          <w14:textFill>
            <w14:solidFill>
              <w14:schemeClr w14:val="tx1"/>
            </w14:solidFill>
          </w14:textFill>
        </w:rPr>
        <w:t>附件7-1-2 残疾人福利性单位声明函（如果有的话）</w:t>
      </w:r>
      <w:bookmarkEnd w:id="4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仿宋" w:hAnsi="仿宋" w:eastAsia="仿宋" w:cs="仿宋"/>
          <w:color w:val="000000" w:themeColor="text1"/>
          <w:sz w:val="24"/>
          <w:szCs w:val="24"/>
          <w:u w:val="single"/>
          <w14:textFill>
            <w14:solidFill>
              <w14:schemeClr w14:val="tx1"/>
            </w14:solidFill>
          </w14:textFill>
        </w:rPr>
        <w:t>（填写“项目名称”）</w:t>
      </w:r>
      <w:r>
        <w:rPr>
          <w:rFonts w:hint="eastAsia" w:ascii="仿宋" w:hAnsi="仿宋" w:eastAsia="仿宋" w:cs="仿宋"/>
          <w:color w:val="000000" w:themeColor="text1"/>
          <w:sz w:val="24"/>
          <w:szCs w:val="24"/>
          <w14:textFill>
            <w14:solidFill>
              <w14:schemeClr w14:val="tx1"/>
            </w14:solidFill>
          </w14:textFill>
        </w:rPr>
        <w:t>项目采购活动：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（）提供本供应商制造的</w:t>
      </w:r>
      <w:r>
        <w:rPr>
          <w:rFonts w:hint="eastAsia" w:ascii="仿宋" w:hAnsi="仿宋" w:eastAsia="仿宋" w:cs="仿宋"/>
          <w:color w:val="000000" w:themeColor="text1"/>
          <w:sz w:val="24"/>
          <w:szCs w:val="24"/>
          <w:u w:val="single"/>
          <w14:textFill>
            <w14:solidFill>
              <w14:schemeClr w14:val="tx1"/>
            </w14:solidFill>
          </w14:textFill>
        </w:rPr>
        <w:t>（填写“所投采购包、品目号”）</w:t>
      </w:r>
      <w:r>
        <w:rPr>
          <w:rFonts w:hint="eastAsia" w:ascii="仿宋" w:hAnsi="仿宋" w:eastAsia="仿宋" w:cs="仿宋"/>
          <w:color w:val="000000" w:themeColor="text1"/>
          <w:sz w:val="24"/>
          <w:szCs w:val="24"/>
          <w14:textFill>
            <w14:solidFill>
              <w14:schemeClr w14:val="tx1"/>
            </w14:solidFill>
          </w14:textFill>
        </w:rPr>
        <w:t>货物，或提供其他残疾人福利性单位制造的</w:t>
      </w:r>
      <w:r>
        <w:rPr>
          <w:rFonts w:hint="eastAsia" w:ascii="仿宋" w:hAnsi="仿宋" w:eastAsia="仿宋" w:cs="仿宋"/>
          <w:color w:val="000000" w:themeColor="text1"/>
          <w:sz w:val="24"/>
          <w:szCs w:val="24"/>
          <w:u w:val="single"/>
          <w14:textFill>
            <w14:solidFill>
              <w14:schemeClr w14:val="tx1"/>
            </w14:solidFill>
          </w14:textFill>
        </w:rPr>
        <w:t>（不包括使用非残疾人福利性单位注册商标的货物）</w:t>
      </w:r>
      <w:r>
        <w:rPr>
          <w:rFonts w:hint="eastAsia" w:ascii="仿宋" w:hAnsi="仿宋" w:eastAsia="仿宋" w:cs="仿宋"/>
          <w:color w:val="000000" w:themeColor="text1"/>
          <w:sz w:val="24"/>
          <w:szCs w:val="24"/>
          <w14:textFill>
            <w14:solidFill>
              <w14:schemeClr w14:val="tx1"/>
            </w14:solidFill>
          </w14:textFill>
        </w:rPr>
        <w:t>货物。（说明：只有部分货物由残疾人福利企业制造的，在该货物后标★）</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（）由本供应商承建的</w:t>
      </w:r>
      <w:r>
        <w:rPr>
          <w:rFonts w:hint="eastAsia" w:ascii="仿宋" w:hAnsi="仿宋" w:eastAsia="仿宋" w:cs="仿宋"/>
          <w:color w:val="000000" w:themeColor="text1"/>
          <w:sz w:val="24"/>
          <w:szCs w:val="24"/>
          <w:u w:val="single"/>
          <w14:textFill>
            <w14:solidFill>
              <w14:schemeClr w14:val="tx1"/>
            </w14:solidFill>
          </w14:textFill>
        </w:rPr>
        <w:t>（填写“所投采购包、品目号”）</w:t>
      </w:r>
      <w:r>
        <w:rPr>
          <w:rFonts w:hint="eastAsia" w:ascii="仿宋" w:hAnsi="仿宋" w:eastAsia="仿宋" w:cs="仿宋"/>
          <w:color w:val="000000" w:themeColor="text1"/>
          <w:sz w:val="24"/>
          <w:szCs w:val="24"/>
          <w14:textFill>
            <w14:solidFill>
              <w14:schemeClr w14:val="tx1"/>
            </w14:solidFill>
          </w14:textFill>
        </w:rPr>
        <w:t>工程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（）由本供应商承接的</w:t>
      </w:r>
      <w:r>
        <w:rPr>
          <w:rFonts w:hint="eastAsia" w:ascii="仿宋" w:hAnsi="仿宋" w:eastAsia="仿宋" w:cs="仿宋"/>
          <w:color w:val="000000" w:themeColor="text1"/>
          <w:sz w:val="24"/>
          <w:szCs w:val="24"/>
          <w:u w:val="single"/>
          <w14:textFill>
            <w14:solidFill>
              <w14:schemeClr w14:val="tx1"/>
            </w14:solidFill>
          </w14:textFill>
        </w:rPr>
        <w:t>（填写“所投采购包、品目号”）</w:t>
      </w:r>
      <w:r>
        <w:rPr>
          <w:rFonts w:hint="eastAsia" w:ascii="仿宋" w:hAnsi="仿宋" w:eastAsia="仿宋" w:cs="仿宋"/>
          <w:color w:val="000000" w:themeColor="text1"/>
          <w:sz w:val="24"/>
          <w:szCs w:val="24"/>
          <w14:textFill>
            <w14:solidFill>
              <w14:schemeClr w14:val="tx1"/>
            </w14:solidFill>
          </w14:textFill>
        </w:rPr>
        <w:t>服务；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本供应商对上述声明的真实性负责。如有虚假，将依法承担相应责任。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备注：（1）若供应商不符合残疾人福利性单位，不用提供本声明函，否则视为提供虚假材料。供应商在提交最后报价前，如果已向</w:t>
      </w:r>
      <w:r>
        <w:rPr>
          <w:rFonts w:hint="eastAsia" w:ascii="仿宋" w:hAnsi="仿宋" w:eastAsia="仿宋" w:cs="仿宋"/>
          <w:color w:val="000000" w:themeColor="text1"/>
          <w:sz w:val="24"/>
          <w:szCs w:val="24"/>
          <w:lang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小组提交上述声明函，视同为供应商符合残疾人福利性单位，享受价格扣除的优惠政策。</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（2）请供应商按照实际情况编制填写本声明函，并在相应的（）中打“√”。</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（3）纸质响应文件正本中的本声明函（若有）应为原件。</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（4）若《残疾人福利性单位声明函》内容不真实，视为提供虚假材料。</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b/>
          <w:bCs/>
          <w:color w:val="000000" w:themeColor="text1"/>
          <w:kern w:val="0"/>
          <w:szCs w:val="30"/>
          <w:lang w:val="en-US" w:eastAsia="zh-CN" w:bidi="ar-SA"/>
          <w14:textFill>
            <w14:solidFill>
              <w14:schemeClr w14:val="tx1"/>
            </w14:solidFill>
          </w14:textFill>
        </w:rPr>
      </w:pPr>
      <w:bookmarkStart w:id="44" w:name="_Toc4679"/>
      <w:r>
        <w:rPr>
          <w:rFonts w:hint="eastAsia" w:ascii="仿宋" w:hAnsi="仿宋" w:eastAsia="仿宋" w:cs="仿宋"/>
          <w:color w:val="000000" w:themeColor="text1"/>
          <w:sz w:val="36"/>
          <w:szCs w:val="36"/>
          <w:lang w:val="en-US" w:eastAsia="zh-CN"/>
          <w14:textFill>
            <w14:solidFill>
              <w14:schemeClr w14:val="tx1"/>
            </w14:solidFill>
          </w14:textFill>
        </w:rPr>
        <w:t>附件7-1-3 监狱企业证明材料</w:t>
      </w:r>
      <w:bookmarkEnd w:id="44"/>
    </w:p>
    <w:p>
      <w:pPr>
        <w:pStyle w:val="43"/>
        <w:keepNext w:val="0"/>
        <w:keepLines w:val="0"/>
        <w:pageBreakBefore w:val="0"/>
        <w:kinsoku/>
        <w:wordWrap/>
        <w:overflowPunct/>
        <w:topLinePunct w:val="0"/>
        <w:autoSpaceDE/>
        <w:autoSpaceDN/>
        <w:bidi w:val="0"/>
        <w:adjustRightInd/>
        <w:snapToGrid/>
        <w:spacing w:line="360" w:lineRule="atLeast"/>
        <w:jc w:val="left"/>
        <w:textAlignment w:val="auto"/>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供应商为监狱企业，提供本单位制造的货物（承接的服务），并在响应文件中提供省级以上监狱管理局、戒毒管理局（含新疆生产建设兵团）出具的属于监狱企业的证明文件。</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3"/>
        <w:bidi w:val="0"/>
        <w:jc w:val="center"/>
        <w:rPr>
          <w:rFonts w:hint="eastAsia" w:ascii="仿宋" w:hAnsi="仿宋" w:eastAsia="仿宋" w:cs="仿宋"/>
          <w:color w:val="000000" w:themeColor="text1"/>
          <w:szCs w:val="24"/>
          <w14:textFill>
            <w14:solidFill>
              <w14:schemeClr w14:val="tx1"/>
            </w14:solidFill>
          </w14:textFill>
        </w:rPr>
      </w:pPr>
      <w:bookmarkStart w:id="45" w:name="_Toc24532"/>
      <w:r>
        <w:rPr>
          <w:rFonts w:hint="eastAsia" w:ascii="仿宋" w:hAnsi="仿宋" w:eastAsia="仿宋" w:cs="仿宋"/>
          <w:color w:val="000000" w:themeColor="text1"/>
          <w:sz w:val="36"/>
          <w:szCs w:val="36"/>
          <w:lang w:val="en-US" w:eastAsia="zh-CN"/>
          <w14:textFill>
            <w14:solidFill>
              <w14:schemeClr w14:val="tx1"/>
            </w14:solidFill>
          </w14:textFill>
        </w:rPr>
        <w:t>附件7-2优先类节能产品、环境标志产品价格扣除证明材料（如果有的话）</w:t>
      </w:r>
      <w:bookmarkEnd w:id="45"/>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7476" w:type="dxa"/>
            <w:gridSpan w:val="6"/>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采购包</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品目号</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产品名称</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最后报价单（现场）</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数量</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最后报价总价（现场）</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c>
          <w:tcPr>
            <w:tcW w:w="7476" w:type="dxa"/>
            <w:gridSpan w:val="6"/>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a.采购包内属于节能、环境标志产品的报价总金额：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b.采购包投标总价（报价总金额）：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c.“采购包内属于节能、环境标志产品的报价总金额”占“采购包投标总价（报价总金额）”的比例（以%列示）：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1、对“节能、环境标志产品”计算价格扣除时，只依据响应文件提交的材料。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2、本表以采购包为单位，不同采购包请分别填写；单个采购包请按照其品目号顺序分别填写。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3、具体统计、计算：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3.1若同一采购包内的单个或多个货物取得或同时取得节能、环境标志产品等两项或多项认证的，均按照单个货物对应一项认证的原则统计、计算1次。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3.2计算结果若除不尽，可四舍五入保留到小数点后两位。</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3.3供应商应按照谈判文件上表要求认真统计、计算，否则谈判小组可不予认定。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3.4若无节能、环境标志产品，不填写本表，否则，视为提供虚假材料。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3.5强制类节能产品不享受价格扣除。</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46" w:name="_Toc26690"/>
      <w:r>
        <w:rPr>
          <w:rFonts w:hint="eastAsia" w:ascii="仿宋" w:hAnsi="仿宋" w:eastAsia="仿宋" w:cs="仿宋"/>
          <w:color w:val="000000" w:themeColor="text1"/>
          <w:sz w:val="36"/>
          <w:szCs w:val="36"/>
          <w:lang w:val="en-US" w:eastAsia="zh-CN"/>
          <w14:textFill>
            <w14:solidFill>
              <w14:schemeClr w14:val="tx1"/>
            </w14:solidFill>
          </w14:textFill>
        </w:rPr>
        <w:t>附件8 要求作为响应文件组成部分的其他内容（若有）</w:t>
      </w:r>
      <w:bookmarkEnd w:id="46"/>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2、供应商根据自身实际情况编写有关资料包括如供应商单位简介、竞争性谈判文件要求提供或供应商自已认为体现自身优势，需要补充说明的其它资料，格式自拟。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000000" w:themeColor="text1"/>
          <w:sz w:val="24"/>
          <w14:textFill>
            <w14:solidFill>
              <w14:schemeClr w14:val="tx1"/>
            </w14:solidFill>
          </w14:textFill>
        </w:rPr>
      </w:pPr>
    </w:p>
    <w:sectPr>
      <w:headerReference r:id="rId4" w:type="default"/>
      <w:footerReference r:id="rId5" w:type="default"/>
      <w:pgSz w:w="11906" w:h="16838"/>
      <w:pgMar w:top="1440" w:right="1558" w:bottom="993"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65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09A1F"/>
    <w:multiLevelType w:val="singleLevel"/>
    <w:tmpl w:val="95D09A1F"/>
    <w:lvl w:ilvl="0" w:tentative="0">
      <w:start w:val="1"/>
      <w:numFmt w:val="decimal"/>
      <w:suff w:val="nothing"/>
      <w:lvlText w:val="（%1）"/>
      <w:lvlJc w:val="left"/>
    </w:lvl>
  </w:abstractNum>
  <w:abstractNum w:abstractNumId="1">
    <w:nsid w:val="AE150BDE"/>
    <w:multiLevelType w:val="singleLevel"/>
    <w:tmpl w:val="AE150BDE"/>
    <w:lvl w:ilvl="0" w:tentative="0">
      <w:start w:val="12"/>
      <w:numFmt w:val="decimal"/>
      <w:lvlText w:val="%1."/>
      <w:lvlJc w:val="left"/>
      <w:pPr>
        <w:tabs>
          <w:tab w:val="left" w:pos="312"/>
        </w:tabs>
      </w:pPr>
    </w:lvl>
  </w:abstractNum>
  <w:abstractNum w:abstractNumId="2">
    <w:nsid w:val="D14A939E"/>
    <w:multiLevelType w:val="singleLevel"/>
    <w:tmpl w:val="D14A939E"/>
    <w:lvl w:ilvl="0" w:tentative="0">
      <w:start w:val="1"/>
      <w:numFmt w:val="decimal"/>
      <w:suff w:val="nothing"/>
      <w:lvlText w:val="（%1）"/>
      <w:lvlJc w:val="left"/>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1" w:tentative="0">
      <w:start w:val="2"/>
      <w:numFmt w:val="chineseCountingThousand"/>
      <w:lvlText w:val="%2."/>
      <w:lvlJc w:val="left"/>
      <w:pPr>
        <w:ind w:left="709" w:hanging="567"/>
      </w:pPr>
      <w:rPr>
        <w:rFonts w:hint="eastAsia"/>
        <w:b w:val="0"/>
        <w:bCs w:val="0"/>
        <w:i w:val="0"/>
        <w:iCs w:val="0"/>
        <w:caps w:val="0"/>
        <w:smallCaps w:val="0"/>
        <w:strike w:val="0"/>
        <w:dstrike w:val="0"/>
        <w:vanish w:val="0"/>
        <w:color w:val="000000"/>
        <w:spacing w:val="0"/>
        <w:position w:val="0"/>
        <w:u w:val="none"/>
        <w:vertAlign w:val="baseline"/>
      </w:rPr>
    </w:lvl>
    <w:lvl w:ilvl="2" w:tentative="0">
      <w:start w:val="2"/>
      <w:numFmt w:val="decimal"/>
      <w:lvlText w:val="%3."/>
      <w:lvlJc w:val="left"/>
      <w:pPr>
        <w:ind w:left="0" w:firstLine="0"/>
      </w:pPr>
      <w:rPr>
        <w:rFonts w:hint="eastAsia"/>
        <w:b w:val="0"/>
        <w:bCs w:val="0"/>
        <w:i w:val="0"/>
        <w:iCs w:val="0"/>
        <w:caps w:val="0"/>
        <w:smallCaps w:val="0"/>
        <w:strike w:val="0"/>
        <w:dstrike w:val="0"/>
        <w:vanish w:val="0"/>
        <w:spacing w:val="0"/>
        <w:position w:val="0"/>
        <w:u w:val="none"/>
        <w:vertAlign w:val="baseline"/>
      </w:rPr>
    </w:lvl>
    <w:lvl w:ilvl="3" w:tentative="0">
      <w:start w:val="1"/>
      <w:numFmt w:val="decimal"/>
      <w:lvlText w:val="%3.%4."/>
      <w:lvlJc w:val="left"/>
      <w:pPr>
        <w:ind w:left="851" w:hanging="851"/>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6"/>
      <w:lvlText w:val="%3.%4.%5."/>
      <w:lvlJc w:val="left"/>
      <w:pPr>
        <w:ind w:left="1134" w:hanging="1134"/>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pStyle w:val="7"/>
      <w:lvlText w:val="%3.%4.%5.%6."/>
      <w:lvlJc w:val="left"/>
      <w:pPr>
        <w:ind w:left="1531" w:hanging="1531"/>
      </w:pPr>
      <w:rPr>
        <w:rFonts w:hint="eastAsia"/>
        <w:b w:val="0"/>
        <w:bCs w:val="0"/>
        <w:i w:val="0"/>
        <w:iCs w:val="0"/>
        <w:caps w:val="0"/>
        <w:smallCaps w:val="0"/>
        <w:strike w:val="0"/>
        <w:dstrike w:val="0"/>
        <w:vanish w:val="0"/>
        <w:spacing w:val="0"/>
        <w:position w:val="0"/>
        <w:u w:val="none"/>
        <w:vertAlign w:val="baseline"/>
      </w:rPr>
    </w:lvl>
    <w:lvl w:ilvl="6" w:tentative="0">
      <w:start w:val="1"/>
      <w:numFmt w:val="decimal"/>
      <w:lvlText w:val="%3.%4.%5.%6.%7"/>
      <w:lvlJc w:val="left"/>
      <w:pPr>
        <w:ind w:left="1871" w:hanging="1871"/>
      </w:pPr>
      <w:rPr>
        <w:rFonts w:hint="eastAsia"/>
        <w:b w:val="0"/>
        <w:bCs w:val="0"/>
        <w:i w:val="0"/>
        <w:iCs w:val="0"/>
        <w:caps w:val="0"/>
        <w:smallCaps w:val="0"/>
        <w:strike w:val="0"/>
        <w:dstrike w:val="0"/>
        <w:vanish w:val="0"/>
        <w:spacing w:val="0"/>
        <w:position w:val="0"/>
        <w:u w:val="none"/>
        <w:vertAlign w:val="baseline"/>
      </w:rPr>
    </w:lvl>
    <w:lvl w:ilvl="7" w:tentative="0">
      <w:start w:val="1"/>
      <w:numFmt w:val="decimal"/>
      <w:lvlText w:val="%3.%4.%5.%6.%7.%8"/>
      <w:lvlJc w:val="left"/>
      <w:pPr>
        <w:ind w:left="2155" w:hanging="2155"/>
      </w:pPr>
      <w:rPr>
        <w:rFonts w:hint="eastAsia"/>
        <w:b w:val="0"/>
        <w:bCs w:val="0"/>
        <w:i w:val="0"/>
        <w:iCs w:val="0"/>
        <w:caps w:val="0"/>
        <w:smallCaps w:val="0"/>
        <w:strike w:val="0"/>
        <w:dstrike w:val="0"/>
        <w:vanish w:val="0"/>
        <w:spacing w:val="0"/>
        <w:position w:val="0"/>
        <w:u w:val="none"/>
        <w:vertAlign w:val="baseline"/>
      </w:rPr>
    </w:lvl>
    <w:lvl w:ilvl="8" w:tentative="0">
      <w:start w:val="1"/>
      <w:numFmt w:val="decimal"/>
      <w:lvlText w:val="%3.%4.%5.%6.%7.%8.%9"/>
      <w:lvlJc w:val="left"/>
      <w:pPr>
        <w:ind w:left="2552" w:hanging="2552"/>
      </w:pPr>
      <w:rPr>
        <w:rFonts w:hint="eastAsia"/>
        <w:b w:val="0"/>
        <w:bCs w:val="0"/>
        <w:i w:val="0"/>
        <w:iCs w:val="0"/>
        <w:caps w:val="0"/>
        <w:smallCaps w:val="0"/>
        <w:strike w:val="0"/>
        <w:dstrike w:val="0"/>
        <w:vanish w:val="0"/>
        <w:color w:val="000000"/>
        <w:spacing w:val="0"/>
        <w:position w:val="0"/>
        <w:u w:val="none"/>
        <w:vertAlign w:val="baseline"/>
      </w:rPr>
    </w:lvl>
  </w:abstractNum>
  <w:abstractNum w:abstractNumId="4">
    <w:nsid w:val="18B5685D"/>
    <w:multiLevelType w:val="singleLevel"/>
    <w:tmpl w:val="18B5685D"/>
    <w:lvl w:ilvl="0" w:tentative="0">
      <w:start w:val="1"/>
      <w:numFmt w:val="decimal"/>
      <w:suff w:val="nothing"/>
      <w:lvlText w:val="（%1）"/>
      <w:lvlJc w:val="left"/>
    </w:lvl>
  </w:abstractNum>
  <w:abstractNum w:abstractNumId="5">
    <w:nsid w:val="4E5A0745"/>
    <w:multiLevelType w:val="multilevel"/>
    <w:tmpl w:val="4E5A0745"/>
    <w:lvl w:ilvl="0" w:tentative="0">
      <w:start w:val="2"/>
      <w:numFmt w:val="decimal"/>
      <w:pStyle w:val="5"/>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520F8A"/>
    <w:multiLevelType w:val="singleLevel"/>
    <w:tmpl w:val="68520F8A"/>
    <w:lvl w:ilvl="0" w:tentative="0">
      <w:start w:val="1"/>
      <w:numFmt w:val="decimal"/>
      <w:suff w:val="nothing"/>
      <w:lvlText w:val="（%1）"/>
      <w:lvlJc w:val="left"/>
      <w:pPr>
        <w:ind w:left="-60"/>
      </w:p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NmViMDFlN2QyMjc5Y2YxNWYyZDVkNzFkYmVmNDYifQ=="/>
  </w:docVars>
  <w:rsids>
    <w:rsidRoot w:val="00A416D9"/>
    <w:rsid w:val="00002339"/>
    <w:rsid w:val="0000381E"/>
    <w:rsid w:val="00012140"/>
    <w:rsid w:val="0001787F"/>
    <w:rsid w:val="00031A0B"/>
    <w:rsid w:val="00031BF4"/>
    <w:rsid w:val="00033E3A"/>
    <w:rsid w:val="00051AEC"/>
    <w:rsid w:val="000528D1"/>
    <w:rsid w:val="00052E9E"/>
    <w:rsid w:val="000624F9"/>
    <w:rsid w:val="000666A0"/>
    <w:rsid w:val="00066E46"/>
    <w:rsid w:val="00070440"/>
    <w:rsid w:val="00084C40"/>
    <w:rsid w:val="00085520"/>
    <w:rsid w:val="00091711"/>
    <w:rsid w:val="00092E17"/>
    <w:rsid w:val="00094D8F"/>
    <w:rsid w:val="00095DE7"/>
    <w:rsid w:val="00097D7E"/>
    <w:rsid w:val="000A1CB3"/>
    <w:rsid w:val="000A6401"/>
    <w:rsid w:val="000B6F6D"/>
    <w:rsid w:val="000C0344"/>
    <w:rsid w:val="000C0610"/>
    <w:rsid w:val="000C3559"/>
    <w:rsid w:val="000C5741"/>
    <w:rsid w:val="000D1463"/>
    <w:rsid w:val="000D3841"/>
    <w:rsid w:val="000E3943"/>
    <w:rsid w:val="000E6507"/>
    <w:rsid w:val="000E7CB3"/>
    <w:rsid w:val="000F4EBB"/>
    <w:rsid w:val="00105ED1"/>
    <w:rsid w:val="00107D70"/>
    <w:rsid w:val="00110FEB"/>
    <w:rsid w:val="00112F34"/>
    <w:rsid w:val="00121A66"/>
    <w:rsid w:val="00125EEA"/>
    <w:rsid w:val="00127428"/>
    <w:rsid w:val="00133A98"/>
    <w:rsid w:val="00135EC1"/>
    <w:rsid w:val="00136DF9"/>
    <w:rsid w:val="0015194C"/>
    <w:rsid w:val="00153CD2"/>
    <w:rsid w:val="001569B1"/>
    <w:rsid w:val="00162AFE"/>
    <w:rsid w:val="00163CED"/>
    <w:rsid w:val="00163DCE"/>
    <w:rsid w:val="0016510E"/>
    <w:rsid w:val="00173893"/>
    <w:rsid w:val="00177678"/>
    <w:rsid w:val="0018001E"/>
    <w:rsid w:val="00180A9D"/>
    <w:rsid w:val="00183CA3"/>
    <w:rsid w:val="00184917"/>
    <w:rsid w:val="00194AAA"/>
    <w:rsid w:val="00194C2B"/>
    <w:rsid w:val="00196324"/>
    <w:rsid w:val="001A0C48"/>
    <w:rsid w:val="001A15CB"/>
    <w:rsid w:val="001A3903"/>
    <w:rsid w:val="001A42E7"/>
    <w:rsid w:val="001A784B"/>
    <w:rsid w:val="001B217A"/>
    <w:rsid w:val="001B21FB"/>
    <w:rsid w:val="001B6902"/>
    <w:rsid w:val="001C3B57"/>
    <w:rsid w:val="001D3E47"/>
    <w:rsid w:val="001D7E38"/>
    <w:rsid w:val="001E59B0"/>
    <w:rsid w:val="001E67A6"/>
    <w:rsid w:val="001F4F6A"/>
    <w:rsid w:val="00204D35"/>
    <w:rsid w:val="00205D52"/>
    <w:rsid w:val="00217408"/>
    <w:rsid w:val="00220C8B"/>
    <w:rsid w:val="00220D7F"/>
    <w:rsid w:val="00221A55"/>
    <w:rsid w:val="00223099"/>
    <w:rsid w:val="00225507"/>
    <w:rsid w:val="0022584E"/>
    <w:rsid w:val="0023301D"/>
    <w:rsid w:val="00233E60"/>
    <w:rsid w:val="002538D7"/>
    <w:rsid w:val="002551A9"/>
    <w:rsid w:val="002614DE"/>
    <w:rsid w:val="00263D10"/>
    <w:rsid w:val="0026432F"/>
    <w:rsid w:val="00271F73"/>
    <w:rsid w:val="002733E4"/>
    <w:rsid w:val="002747DD"/>
    <w:rsid w:val="00274AE0"/>
    <w:rsid w:val="00277491"/>
    <w:rsid w:val="00283C40"/>
    <w:rsid w:val="00287C7E"/>
    <w:rsid w:val="00292F42"/>
    <w:rsid w:val="002A02BE"/>
    <w:rsid w:val="002A1D12"/>
    <w:rsid w:val="002A4D01"/>
    <w:rsid w:val="002A559D"/>
    <w:rsid w:val="002B652A"/>
    <w:rsid w:val="002C0401"/>
    <w:rsid w:val="002C1B54"/>
    <w:rsid w:val="002C316C"/>
    <w:rsid w:val="002C3C1A"/>
    <w:rsid w:val="002C5D47"/>
    <w:rsid w:val="002D175C"/>
    <w:rsid w:val="002D4168"/>
    <w:rsid w:val="002D6F0E"/>
    <w:rsid w:val="002D7353"/>
    <w:rsid w:val="002E2203"/>
    <w:rsid w:val="002E588F"/>
    <w:rsid w:val="002E65A4"/>
    <w:rsid w:val="002F007A"/>
    <w:rsid w:val="002F00D6"/>
    <w:rsid w:val="002F143B"/>
    <w:rsid w:val="002F4BD6"/>
    <w:rsid w:val="00303B71"/>
    <w:rsid w:val="00307AFC"/>
    <w:rsid w:val="003105D1"/>
    <w:rsid w:val="00310CCA"/>
    <w:rsid w:val="00314750"/>
    <w:rsid w:val="00314A56"/>
    <w:rsid w:val="00322464"/>
    <w:rsid w:val="003255FF"/>
    <w:rsid w:val="00332184"/>
    <w:rsid w:val="00334046"/>
    <w:rsid w:val="00335646"/>
    <w:rsid w:val="00340982"/>
    <w:rsid w:val="00341378"/>
    <w:rsid w:val="00342EA8"/>
    <w:rsid w:val="00351AD2"/>
    <w:rsid w:val="003522DF"/>
    <w:rsid w:val="003607A3"/>
    <w:rsid w:val="003608DF"/>
    <w:rsid w:val="0036588F"/>
    <w:rsid w:val="00370CD6"/>
    <w:rsid w:val="00372A44"/>
    <w:rsid w:val="003739FC"/>
    <w:rsid w:val="0037687A"/>
    <w:rsid w:val="003770D8"/>
    <w:rsid w:val="00386357"/>
    <w:rsid w:val="00390EE6"/>
    <w:rsid w:val="00391493"/>
    <w:rsid w:val="003923D6"/>
    <w:rsid w:val="00396FDE"/>
    <w:rsid w:val="00397BC4"/>
    <w:rsid w:val="003A19B5"/>
    <w:rsid w:val="003B056B"/>
    <w:rsid w:val="003B1DC2"/>
    <w:rsid w:val="003B2EC4"/>
    <w:rsid w:val="003C0D0A"/>
    <w:rsid w:val="003C5332"/>
    <w:rsid w:val="003C60AB"/>
    <w:rsid w:val="003D1327"/>
    <w:rsid w:val="003D2F3B"/>
    <w:rsid w:val="003D60B6"/>
    <w:rsid w:val="003D7447"/>
    <w:rsid w:val="003D7DFD"/>
    <w:rsid w:val="003E1554"/>
    <w:rsid w:val="003E43C4"/>
    <w:rsid w:val="003E7384"/>
    <w:rsid w:val="003F0D2B"/>
    <w:rsid w:val="003F3008"/>
    <w:rsid w:val="00405C20"/>
    <w:rsid w:val="00413EA1"/>
    <w:rsid w:val="0042303B"/>
    <w:rsid w:val="00424772"/>
    <w:rsid w:val="00430392"/>
    <w:rsid w:val="00431C9B"/>
    <w:rsid w:val="0043379D"/>
    <w:rsid w:val="00435B2B"/>
    <w:rsid w:val="00435EE4"/>
    <w:rsid w:val="00436F29"/>
    <w:rsid w:val="00443E3E"/>
    <w:rsid w:val="004460AD"/>
    <w:rsid w:val="00450410"/>
    <w:rsid w:val="004528E7"/>
    <w:rsid w:val="00461C87"/>
    <w:rsid w:val="00465E13"/>
    <w:rsid w:val="00467FD1"/>
    <w:rsid w:val="004701F5"/>
    <w:rsid w:val="0047218B"/>
    <w:rsid w:val="004771F9"/>
    <w:rsid w:val="004816B1"/>
    <w:rsid w:val="00485975"/>
    <w:rsid w:val="00485FCA"/>
    <w:rsid w:val="0048704B"/>
    <w:rsid w:val="00490D3B"/>
    <w:rsid w:val="004A0ADD"/>
    <w:rsid w:val="004A0FB0"/>
    <w:rsid w:val="004A132D"/>
    <w:rsid w:val="004A1A4A"/>
    <w:rsid w:val="004A735B"/>
    <w:rsid w:val="004A77F3"/>
    <w:rsid w:val="004B55B6"/>
    <w:rsid w:val="004B6198"/>
    <w:rsid w:val="004C30C2"/>
    <w:rsid w:val="004C3303"/>
    <w:rsid w:val="004C4CD7"/>
    <w:rsid w:val="004C5E35"/>
    <w:rsid w:val="004C74B4"/>
    <w:rsid w:val="004C7713"/>
    <w:rsid w:val="004D3D25"/>
    <w:rsid w:val="004E28D9"/>
    <w:rsid w:val="004E37CE"/>
    <w:rsid w:val="004F08C6"/>
    <w:rsid w:val="004F2568"/>
    <w:rsid w:val="004F364D"/>
    <w:rsid w:val="004F49D0"/>
    <w:rsid w:val="00500087"/>
    <w:rsid w:val="0050064D"/>
    <w:rsid w:val="00504A4A"/>
    <w:rsid w:val="00511E0C"/>
    <w:rsid w:val="005175F3"/>
    <w:rsid w:val="00517875"/>
    <w:rsid w:val="005255A0"/>
    <w:rsid w:val="005304D2"/>
    <w:rsid w:val="005307C1"/>
    <w:rsid w:val="00534D72"/>
    <w:rsid w:val="00535239"/>
    <w:rsid w:val="00541186"/>
    <w:rsid w:val="00543082"/>
    <w:rsid w:val="005451DE"/>
    <w:rsid w:val="00545839"/>
    <w:rsid w:val="00556D23"/>
    <w:rsid w:val="0056065D"/>
    <w:rsid w:val="005612E0"/>
    <w:rsid w:val="0056756B"/>
    <w:rsid w:val="00571271"/>
    <w:rsid w:val="00571CB5"/>
    <w:rsid w:val="00572E13"/>
    <w:rsid w:val="00586B17"/>
    <w:rsid w:val="005877A3"/>
    <w:rsid w:val="005A56B5"/>
    <w:rsid w:val="005C0891"/>
    <w:rsid w:val="005C6E62"/>
    <w:rsid w:val="005D0297"/>
    <w:rsid w:val="005D252C"/>
    <w:rsid w:val="005D3E39"/>
    <w:rsid w:val="005D77DA"/>
    <w:rsid w:val="005E3804"/>
    <w:rsid w:val="005E61BD"/>
    <w:rsid w:val="005E7E67"/>
    <w:rsid w:val="005F2A7C"/>
    <w:rsid w:val="00614259"/>
    <w:rsid w:val="00614B69"/>
    <w:rsid w:val="00615579"/>
    <w:rsid w:val="00620C1D"/>
    <w:rsid w:val="00626CB7"/>
    <w:rsid w:val="00627F11"/>
    <w:rsid w:val="00630CB8"/>
    <w:rsid w:val="0063302A"/>
    <w:rsid w:val="00636BC8"/>
    <w:rsid w:val="006435DC"/>
    <w:rsid w:val="00647DFB"/>
    <w:rsid w:val="0065521B"/>
    <w:rsid w:val="0065620A"/>
    <w:rsid w:val="00657DA6"/>
    <w:rsid w:val="00660714"/>
    <w:rsid w:val="006631CC"/>
    <w:rsid w:val="00663890"/>
    <w:rsid w:val="00663DF5"/>
    <w:rsid w:val="00673678"/>
    <w:rsid w:val="00676FD3"/>
    <w:rsid w:val="006817DC"/>
    <w:rsid w:val="00682F58"/>
    <w:rsid w:val="00692CBE"/>
    <w:rsid w:val="00694594"/>
    <w:rsid w:val="006A1090"/>
    <w:rsid w:val="006A2FAF"/>
    <w:rsid w:val="006A3BBA"/>
    <w:rsid w:val="006A42D2"/>
    <w:rsid w:val="006A5F32"/>
    <w:rsid w:val="006B6256"/>
    <w:rsid w:val="006C0001"/>
    <w:rsid w:val="006C76DD"/>
    <w:rsid w:val="006E1C27"/>
    <w:rsid w:val="006E64CC"/>
    <w:rsid w:val="006F1569"/>
    <w:rsid w:val="006F3E3B"/>
    <w:rsid w:val="006F4F86"/>
    <w:rsid w:val="007075E0"/>
    <w:rsid w:val="00710C50"/>
    <w:rsid w:val="007150ED"/>
    <w:rsid w:val="00716DCC"/>
    <w:rsid w:val="00716EE3"/>
    <w:rsid w:val="00717E48"/>
    <w:rsid w:val="0072316F"/>
    <w:rsid w:val="0072634C"/>
    <w:rsid w:val="007300C1"/>
    <w:rsid w:val="0073072D"/>
    <w:rsid w:val="00731D62"/>
    <w:rsid w:val="00734C59"/>
    <w:rsid w:val="00735693"/>
    <w:rsid w:val="007444AA"/>
    <w:rsid w:val="00750330"/>
    <w:rsid w:val="00751826"/>
    <w:rsid w:val="00762649"/>
    <w:rsid w:val="00765F38"/>
    <w:rsid w:val="00766CB7"/>
    <w:rsid w:val="00767785"/>
    <w:rsid w:val="007740CA"/>
    <w:rsid w:val="00775695"/>
    <w:rsid w:val="00785F5D"/>
    <w:rsid w:val="007901A5"/>
    <w:rsid w:val="0079248A"/>
    <w:rsid w:val="0079797C"/>
    <w:rsid w:val="007A420C"/>
    <w:rsid w:val="007A4A03"/>
    <w:rsid w:val="007A7D0F"/>
    <w:rsid w:val="007B6482"/>
    <w:rsid w:val="007B7C68"/>
    <w:rsid w:val="007C7B41"/>
    <w:rsid w:val="007D1A25"/>
    <w:rsid w:val="007D4BF0"/>
    <w:rsid w:val="007E17DB"/>
    <w:rsid w:val="007E38C8"/>
    <w:rsid w:val="007F03BE"/>
    <w:rsid w:val="007F1FB9"/>
    <w:rsid w:val="008122FD"/>
    <w:rsid w:val="00820A1D"/>
    <w:rsid w:val="00833D1E"/>
    <w:rsid w:val="008378DE"/>
    <w:rsid w:val="0084512C"/>
    <w:rsid w:val="008572F7"/>
    <w:rsid w:val="00861A3E"/>
    <w:rsid w:val="00865D17"/>
    <w:rsid w:val="00872B68"/>
    <w:rsid w:val="00873115"/>
    <w:rsid w:val="00875FAE"/>
    <w:rsid w:val="008819B3"/>
    <w:rsid w:val="00881E8C"/>
    <w:rsid w:val="00885A3C"/>
    <w:rsid w:val="00885BD3"/>
    <w:rsid w:val="008914F9"/>
    <w:rsid w:val="00891D27"/>
    <w:rsid w:val="0089438D"/>
    <w:rsid w:val="00895E18"/>
    <w:rsid w:val="008966D0"/>
    <w:rsid w:val="008A32BD"/>
    <w:rsid w:val="008B12EE"/>
    <w:rsid w:val="008B1448"/>
    <w:rsid w:val="008B490B"/>
    <w:rsid w:val="008D04D0"/>
    <w:rsid w:val="008D399D"/>
    <w:rsid w:val="008E3851"/>
    <w:rsid w:val="008E5575"/>
    <w:rsid w:val="008E5D79"/>
    <w:rsid w:val="008E6A8D"/>
    <w:rsid w:val="008E6D82"/>
    <w:rsid w:val="008F35AC"/>
    <w:rsid w:val="008F4CF8"/>
    <w:rsid w:val="008F6441"/>
    <w:rsid w:val="00900014"/>
    <w:rsid w:val="00900963"/>
    <w:rsid w:val="00900AA7"/>
    <w:rsid w:val="00913279"/>
    <w:rsid w:val="00913EBF"/>
    <w:rsid w:val="0091438A"/>
    <w:rsid w:val="0091455C"/>
    <w:rsid w:val="009248CB"/>
    <w:rsid w:val="00924D7A"/>
    <w:rsid w:val="0093368A"/>
    <w:rsid w:val="00934E9E"/>
    <w:rsid w:val="00944FE1"/>
    <w:rsid w:val="00951897"/>
    <w:rsid w:val="00952FBA"/>
    <w:rsid w:val="00964D4C"/>
    <w:rsid w:val="0097046C"/>
    <w:rsid w:val="00971301"/>
    <w:rsid w:val="00982AB3"/>
    <w:rsid w:val="0098342E"/>
    <w:rsid w:val="0098371B"/>
    <w:rsid w:val="009A046B"/>
    <w:rsid w:val="009A3795"/>
    <w:rsid w:val="009A4B21"/>
    <w:rsid w:val="009A6553"/>
    <w:rsid w:val="009A77BA"/>
    <w:rsid w:val="009B0CE1"/>
    <w:rsid w:val="009B23A1"/>
    <w:rsid w:val="009B3542"/>
    <w:rsid w:val="009B7633"/>
    <w:rsid w:val="009C2775"/>
    <w:rsid w:val="009C360E"/>
    <w:rsid w:val="009C67BD"/>
    <w:rsid w:val="009D27CB"/>
    <w:rsid w:val="009D6999"/>
    <w:rsid w:val="009D69C3"/>
    <w:rsid w:val="009E0CD4"/>
    <w:rsid w:val="009E295B"/>
    <w:rsid w:val="009E7847"/>
    <w:rsid w:val="009F01CF"/>
    <w:rsid w:val="00A1565B"/>
    <w:rsid w:val="00A312F1"/>
    <w:rsid w:val="00A328B1"/>
    <w:rsid w:val="00A33711"/>
    <w:rsid w:val="00A349F5"/>
    <w:rsid w:val="00A416D9"/>
    <w:rsid w:val="00A41D75"/>
    <w:rsid w:val="00A44B3E"/>
    <w:rsid w:val="00A548DE"/>
    <w:rsid w:val="00A562D0"/>
    <w:rsid w:val="00A57871"/>
    <w:rsid w:val="00A6369C"/>
    <w:rsid w:val="00A648A1"/>
    <w:rsid w:val="00A6506F"/>
    <w:rsid w:val="00A7003E"/>
    <w:rsid w:val="00A739C7"/>
    <w:rsid w:val="00A770E4"/>
    <w:rsid w:val="00A843BC"/>
    <w:rsid w:val="00A87D0D"/>
    <w:rsid w:val="00A91442"/>
    <w:rsid w:val="00A97939"/>
    <w:rsid w:val="00AA4D0F"/>
    <w:rsid w:val="00AA658A"/>
    <w:rsid w:val="00AB5442"/>
    <w:rsid w:val="00AC0FAA"/>
    <w:rsid w:val="00AC42CC"/>
    <w:rsid w:val="00AC6D42"/>
    <w:rsid w:val="00AC7E39"/>
    <w:rsid w:val="00AE1204"/>
    <w:rsid w:val="00AE1C53"/>
    <w:rsid w:val="00AE716A"/>
    <w:rsid w:val="00AE7943"/>
    <w:rsid w:val="00AF03B9"/>
    <w:rsid w:val="00AF670A"/>
    <w:rsid w:val="00AF6B89"/>
    <w:rsid w:val="00B04A68"/>
    <w:rsid w:val="00B05913"/>
    <w:rsid w:val="00B069DF"/>
    <w:rsid w:val="00B11A17"/>
    <w:rsid w:val="00B11FAE"/>
    <w:rsid w:val="00B17B28"/>
    <w:rsid w:val="00B20366"/>
    <w:rsid w:val="00B21EFC"/>
    <w:rsid w:val="00B228C3"/>
    <w:rsid w:val="00B2357B"/>
    <w:rsid w:val="00B263F8"/>
    <w:rsid w:val="00B30FEB"/>
    <w:rsid w:val="00B33FCF"/>
    <w:rsid w:val="00B375CD"/>
    <w:rsid w:val="00B37E86"/>
    <w:rsid w:val="00B4159C"/>
    <w:rsid w:val="00B43719"/>
    <w:rsid w:val="00B44CEB"/>
    <w:rsid w:val="00B44D76"/>
    <w:rsid w:val="00B460F5"/>
    <w:rsid w:val="00B53520"/>
    <w:rsid w:val="00B564B5"/>
    <w:rsid w:val="00B63CE3"/>
    <w:rsid w:val="00B6544F"/>
    <w:rsid w:val="00B67603"/>
    <w:rsid w:val="00B7171D"/>
    <w:rsid w:val="00B761F3"/>
    <w:rsid w:val="00B76DFA"/>
    <w:rsid w:val="00B77210"/>
    <w:rsid w:val="00B80DB1"/>
    <w:rsid w:val="00B80FBE"/>
    <w:rsid w:val="00B868B3"/>
    <w:rsid w:val="00B8723E"/>
    <w:rsid w:val="00B9253D"/>
    <w:rsid w:val="00B93C0A"/>
    <w:rsid w:val="00B9514C"/>
    <w:rsid w:val="00BA3701"/>
    <w:rsid w:val="00BA66AF"/>
    <w:rsid w:val="00BB0B6D"/>
    <w:rsid w:val="00BB1B13"/>
    <w:rsid w:val="00BB24E4"/>
    <w:rsid w:val="00BC3A20"/>
    <w:rsid w:val="00BC7012"/>
    <w:rsid w:val="00BD232D"/>
    <w:rsid w:val="00BD4E88"/>
    <w:rsid w:val="00BD7605"/>
    <w:rsid w:val="00BD7B51"/>
    <w:rsid w:val="00BE0467"/>
    <w:rsid w:val="00BE0B91"/>
    <w:rsid w:val="00BE4590"/>
    <w:rsid w:val="00BE48DC"/>
    <w:rsid w:val="00BF0BDD"/>
    <w:rsid w:val="00BF24E8"/>
    <w:rsid w:val="00BF446C"/>
    <w:rsid w:val="00BF67EB"/>
    <w:rsid w:val="00C11D84"/>
    <w:rsid w:val="00C133D5"/>
    <w:rsid w:val="00C14939"/>
    <w:rsid w:val="00C27816"/>
    <w:rsid w:val="00C41261"/>
    <w:rsid w:val="00C44852"/>
    <w:rsid w:val="00C448C8"/>
    <w:rsid w:val="00C46437"/>
    <w:rsid w:val="00C4685C"/>
    <w:rsid w:val="00C51529"/>
    <w:rsid w:val="00C517AE"/>
    <w:rsid w:val="00C536C1"/>
    <w:rsid w:val="00C53BB3"/>
    <w:rsid w:val="00C54AA2"/>
    <w:rsid w:val="00C606FF"/>
    <w:rsid w:val="00C64EBD"/>
    <w:rsid w:val="00C67248"/>
    <w:rsid w:val="00C71DAC"/>
    <w:rsid w:val="00C7212E"/>
    <w:rsid w:val="00C74583"/>
    <w:rsid w:val="00C75179"/>
    <w:rsid w:val="00C80C89"/>
    <w:rsid w:val="00C818DD"/>
    <w:rsid w:val="00C86245"/>
    <w:rsid w:val="00C9245F"/>
    <w:rsid w:val="00C97A8E"/>
    <w:rsid w:val="00CA63AA"/>
    <w:rsid w:val="00CA71C0"/>
    <w:rsid w:val="00CB1773"/>
    <w:rsid w:val="00CB4C09"/>
    <w:rsid w:val="00CB70B4"/>
    <w:rsid w:val="00CC236B"/>
    <w:rsid w:val="00CC705D"/>
    <w:rsid w:val="00CD538E"/>
    <w:rsid w:val="00CD6690"/>
    <w:rsid w:val="00CE0DEF"/>
    <w:rsid w:val="00CE3114"/>
    <w:rsid w:val="00CE433D"/>
    <w:rsid w:val="00CE59F7"/>
    <w:rsid w:val="00CF0360"/>
    <w:rsid w:val="00CF1B5C"/>
    <w:rsid w:val="00CF3AE5"/>
    <w:rsid w:val="00CF6F44"/>
    <w:rsid w:val="00CF7AE0"/>
    <w:rsid w:val="00D00B83"/>
    <w:rsid w:val="00D01AE2"/>
    <w:rsid w:val="00D027CA"/>
    <w:rsid w:val="00D04AAE"/>
    <w:rsid w:val="00D04FBE"/>
    <w:rsid w:val="00D2061F"/>
    <w:rsid w:val="00D3044C"/>
    <w:rsid w:val="00D35580"/>
    <w:rsid w:val="00D36215"/>
    <w:rsid w:val="00D37115"/>
    <w:rsid w:val="00D41B87"/>
    <w:rsid w:val="00D43BE3"/>
    <w:rsid w:val="00D43C17"/>
    <w:rsid w:val="00D457E5"/>
    <w:rsid w:val="00D47FAC"/>
    <w:rsid w:val="00D50A10"/>
    <w:rsid w:val="00D50E2E"/>
    <w:rsid w:val="00D53B3C"/>
    <w:rsid w:val="00D57FC2"/>
    <w:rsid w:val="00D64AA1"/>
    <w:rsid w:val="00D678D7"/>
    <w:rsid w:val="00D72D81"/>
    <w:rsid w:val="00D75B05"/>
    <w:rsid w:val="00D86707"/>
    <w:rsid w:val="00D93147"/>
    <w:rsid w:val="00D93464"/>
    <w:rsid w:val="00D977FA"/>
    <w:rsid w:val="00DA03D8"/>
    <w:rsid w:val="00DA4A69"/>
    <w:rsid w:val="00DB5117"/>
    <w:rsid w:val="00DC73ED"/>
    <w:rsid w:val="00DE0B7A"/>
    <w:rsid w:val="00DE281A"/>
    <w:rsid w:val="00DF2940"/>
    <w:rsid w:val="00DF325C"/>
    <w:rsid w:val="00DF5868"/>
    <w:rsid w:val="00DF5CE4"/>
    <w:rsid w:val="00E034E7"/>
    <w:rsid w:val="00E06419"/>
    <w:rsid w:val="00E2476B"/>
    <w:rsid w:val="00E24F93"/>
    <w:rsid w:val="00E30959"/>
    <w:rsid w:val="00E33C5A"/>
    <w:rsid w:val="00E40271"/>
    <w:rsid w:val="00E429DC"/>
    <w:rsid w:val="00E43A0F"/>
    <w:rsid w:val="00E4476D"/>
    <w:rsid w:val="00E51991"/>
    <w:rsid w:val="00E51B34"/>
    <w:rsid w:val="00E51D04"/>
    <w:rsid w:val="00E56992"/>
    <w:rsid w:val="00E61B97"/>
    <w:rsid w:val="00E626C7"/>
    <w:rsid w:val="00E721D8"/>
    <w:rsid w:val="00E732F0"/>
    <w:rsid w:val="00E752FA"/>
    <w:rsid w:val="00E77853"/>
    <w:rsid w:val="00E834C4"/>
    <w:rsid w:val="00E83BE5"/>
    <w:rsid w:val="00E83BE8"/>
    <w:rsid w:val="00E907D2"/>
    <w:rsid w:val="00E93064"/>
    <w:rsid w:val="00E94376"/>
    <w:rsid w:val="00EA6043"/>
    <w:rsid w:val="00EA6938"/>
    <w:rsid w:val="00EA710D"/>
    <w:rsid w:val="00EA7D6E"/>
    <w:rsid w:val="00EB07E0"/>
    <w:rsid w:val="00EB263C"/>
    <w:rsid w:val="00EB6448"/>
    <w:rsid w:val="00ED4247"/>
    <w:rsid w:val="00ED6D91"/>
    <w:rsid w:val="00ED7252"/>
    <w:rsid w:val="00EE0B4E"/>
    <w:rsid w:val="00EE47C5"/>
    <w:rsid w:val="00EE6B49"/>
    <w:rsid w:val="00EE6ECF"/>
    <w:rsid w:val="00EF153A"/>
    <w:rsid w:val="00EF6C26"/>
    <w:rsid w:val="00F105B9"/>
    <w:rsid w:val="00F12CB7"/>
    <w:rsid w:val="00F14C8C"/>
    <w:rsid w:val="00F14D75"/>
    <w:rsid w:val="00F166E2"/>
    <w:rsid w:val="00F26D80"/>
    <w:rsid w:val="00F270DF"/>
    <w:rsid w:val="00F40BE5"/>
    <w:rsid w:val="00F42A63"/>
    <w:rsid w:val="00F4783F"/>
    <w:rsid w:val="00F51D9E"/>
    <w:rsid w:val="00F55FB1"/>
    <w:rsid w:val="00F61BFB"/>
    <w:rsid w:val="00F6722F"/>
    <w:rsid w:val="00F70CCD"/>
    <w:rsid w:val="00F71FA4"/>
    <w:rsid w:val="00F76FF5"/>
    <w:rsid w:val="00F81686"/>
    <w:rsid w:val="00F94F4B"/>
    <w:rsid w:val="00F9747A"/>
    <w:rsid w:val="00F9785C"/>
    <w:rsid w:val="00FB41BD"/>
    <w:rsid w:val="00FB7FFD"/>
    <w:rsid w:val="00FC2FD8"/>
    <w:rsid w:val="00FD121B"/>
    <w:rsid w:val="00FD2258"/>
    <w:rsid w:val="00FD556C"/>
    <w:rsid w:val="00FD71C2"/>
    <w:rsid w:val="00FD7DA8"/>
    <w:rsid w:val="00FE529F"/>
    <w:rsid w:val="00FF25A9"/>
    <w:rsid w:val="00FF2B44"/>
    <w:rsid w:val="01711185"/>
    <w:rsid w:val="01AD5C5D"/>
    <w:rsid w:val="037750BB"/>
    <w:rsid w:val="05553ECF"/>
    <w:rsid w:val="063C5361"/>
    <w:rsid w:val="07351E35"/>
    <w:rsid w:val="073A4880"/>
    <w:rsid w:val="073F20F3"/>
    <w:rsid w:val="07D9263E"/>
    <w:rsid w:val="08126B8E"/>
    <w:rsid w:val="08343A7B"/>
    <w:rsid w:val="08DA0DE9"/>
    <w:rsid w:val="09572537"/>
    <w:rsid w:val="09BB3324"/>
    <w:rsid w:val="0A70732F"/>
    <w:rsid w:val="0ABA1CC6"/>
    <w:rsid w:val="0CCB40F3"/>
    <w:rsid w:val="0E3475FA"/>
    <w:rsid w:val="0F683AC6"/>
    <w:rsid w:val="10570034"/>
    <w:rsid w:val="122E0B8D"/>
    <w:rsid w:val="13B34070"/>
    <w:rsid w:val="141C646D"/>
    <w:rsid w:val="150115A9"/>
    <w:rsid w:val="162B546B"/>
    <w:rsid w:val="16B90CA6"/>
    <w:rsid w:val="16E77A4D"/>
    <w:rsid w:val="179C2969"/>
    <w:rsid w:val="182421BB"/>
    <w:rsid w:val="187F336D"/>
    <w:rsid w:val="1A2131F0"/>
    <w:rsid w:val="1ABC2DC7"/>
    <w:rsid w:val="1BCD1019"/>
    <w:rsid w:val="1CB15B83"/>
    <w:rsid w:val="1CDA4C05"/>
    <w:rsid w:val="1CFA64DE"/>
    <w:rsid w:val="1D403AEB"/>
    <w:rsid w:val="1F5A231C"/>
    <w:rsid w:val="1FB6124B"/>
    <w:rsid w:val="1FC21A7B"/>
    <w:rsid w:val="2106091B"/>
    <w:rsid w:val="224C6559"/>
    <w:rsid w:val="22857CBD"/>
    <w:rsid w:val="231B51D7"/>
    <w:rsid w:val="238706CB"/>
    <w:rsid w:val="24752FF8"/>
    <w:rsid w:val="272B467B"/>
    <w:rsid w:val="27400025"/>
    <w:rsid w:val="27F64368"/>
    <w:rsid w:val="282E1BAE"/>
    <w:rsid w:val="28652F5F"/>
    <w:rsid w:val="289861EC"/>
    <w:rsid w:val="29174365"/>
    <w:rsid w:val="298452D1"/>
    <w:rsid w:val="29AE4AC9"/>
    <w:rsid w:val="2A9C744D"/>
    <w:rsid w:val="2EE70774"/>
    <w:rsid w:val="2F907D08"/>
    <w:rsid w:val="2FCC47E5"/>
    <w:rsid w:val="300D4633"/>
    <w:rsid w:val="3056477C"/>
    <w:rsid w:val="30C71C9D"/>
    <w:rsid w:val="31BA5C46"/>
    <w:rsid w:val="320B376A"/>
    <w:rsid w:val="322F01BB"/>
    <w:rsid w:val="324665D3"/>
    <w:rsid w:val="32823567"/>
    <w:rsid w:val="331044CC"/>
    <w:rsid w:val="33402553"/>
    <w:rsid w:val="33C7082B"/>
    <w:rsid w:val="34503A2D"/>
    <w:rsid w:val="354457B6"/>
    <w:rsid w:val="357E162B"/>
    <w:rsid w:val="35847FBF"/>
    <w:rsid w:val="36D12A46"/>
    <w:rsid w:val="376725BE"/>
    <w:rsid w:val="37AA013D"/>
    <w:rsid w:val="39FA18A3"/>
    <w:rsid w:val="3A0E54F5"/>
    <w:rsid w:val="3AB35E2C"/>
    <w:rsid w:val="3B6A67BC"/>
    <w:rsid w:val="3BE55BFF"/>
    <w:rsid w:val="3DAE5499"/>
    <w:rsid w:val="3DEB2C3F"/>
    <w:rsid w:val="3E596EDD"/>
    <w:rsid w:val="3FB90124"/>
    <w:rsid w:val="40B945B1"/>
    <w:rsid w:val="41C71F20"/>
    <w:rsid w:val="42590BAA"/>
    <w:rsid w:val="4275541F"/>
    <w:rsid w:val="42E06D87"/>
    <w:rsid w:val="43C07C90"/>
    <w:rsid w:val="44377411"/>
    <w:rsid w:val="44E026CD"/>
    <w:rsid w:val="460D5AA6"/>
    <w:rsid w:val="472A6711"/>
    <w:rsid w:val="47FA6FB1"/>
    <w:rsid w:val="481D3D8B"/>
    <w:rsid w:val="498E1224"/>
    <w:rsid w:val="49ED42EF"/>
    <w:rsid w:val="4BE4642E"/>
    <w:rsid w:val="4C404AC1"/>
    <w:rsid w:val="4CFE6DE6"/>
    <w:rsid w:val="4D0A0CA0"/>
    <w:rsid w:val="4D795DA1"/>
    <w:rsid w:val="4D836D46"/>
    <w:rsid w:val="4DC607BE"/>
    <w:rsid w:val="4DC9572B"/>
    <w:rsid w:val="506E0731"/>
    <w:rsid w:val="5070722B"/>
    <w:rsid w:val="50E24F37"/>
    <w:rsid w:val="51145923"/>
    <w:rsid w:val="514A000A"/>
    <w:rsid w:val="51610B01"/>
    <w:rsid w:val="522E45CA"/>
    <w:rsid w:val="52606917"/>
    <w:rsid w:val="54143779"/>
    <w:rsid w:val="541509BD"/>
    <w:rsid w:val="54E343A6"/>
    <w:rsid w:val="55000776"/>
    <w:rsid w:val="5689497F"/>
    <w:rsid w:val="57F414B5"/>
    <w:rsid w:val="5AFB136E"/>
    <w:rsid w:val="5B07345C"/>
    <w:rsid w:val="5CDA2FD5"/>
    <w:rsid w:val="5CDF79EE"/>
    <w:rsid w:val="5CE96DFA"/>
    <w:rsid w:val="5DB3000C"/>
    <w:rsid w:val="608E2FF1"/>
    <w:rsid w:val="61310EE0"/>
    <w:rsid w:val="62DB0CB9"/>
    <w:rsid w:val="63327556"/>
    <w:rsid w:val="63E17F31"/>
    <w:rsid w:val="64E2425B"/>
    <w:rsid w:val="66161925"/>
    <w:rsid w:val="688F34E2"/>
    <w:rsid w:val="69BA52A0"/>
    <w:rsid w:val="6A0E27C8"/>
    <w:rsid w:val="6A7A1A53"/>
    <w:rsid w:val="6AC83D41"/>
    <w:rsid w:val="6B1113A0"/>
    <w:rsid w:val="6BCD789C"/>
    <w:rsid w:val="6C186B69"/>
    <w:rsid w:val="6DD426EE"/>
    <w:rsid w:val="7291470A"/>
    <w:rsid w:val="73270882"/>
    <w:rsid w:val="74B50806"/>
    <w:rsid w:val="75071439"/>
    <w:rsid w:val="75774CB7"/>
    <w:rsid w:val="76217A73"/>
    <w:rsid w:val="76975769"/>
    <w:rsid w:val="76F01837"/>
    <w:rsid w:val="784C14DE"/>
    <w:rsid w:val="790471D9"/>
    <w:rsid w:val="79206F6D"/>
    <w:rsid w:val="7A116D3C"/>
    <w:rsid w:val="7A303943"/>
    <w:rsid w:val="7AA976FD"/>
    <w:rsid w:val="7AE446F6"/>
    <w:rsid w:val="7B8B7E65"/>
    <w:rsid w:val="7CCE73C9"/>
    <w:rsid w:val="7CD02256"/>
    <w:rsid w:val="7FD05249"/>
    <w:rsid w:val="EFDB7D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2"/>
    <w:link w:val="28"/>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9"/>
    <w:unhideWhenUsed/>
    <w:qFormat/>
    <w:uiPriority w:val="0"/>
    <w:pPr>
      <w:spacing w:beforeAutospacing="1" w:afterAutospacing="1"/>
      <w:jc w:val="left"/>
      <w:outlineLvl w:val="1"/>
    </w:pPr>
    <w:rPr>
      <w:rFonts w:hint="eastAsia" w:ascii="宋体" w:hAnsi="宋体" w:eastAsia="宋体" w:cs="Times New Roman"/>
      <w:kern w:val="0"/>
      <w:sz w:val="36"/>
      <w:szCs w:val="36"/>
    </w:rPr>
  </w:style>
  <w:style w:type="paragraph" w:styleId="4">
    <w:name w:val="heading 3"/>
    <w:basedOn w:val="2"/>
    <w:next w:val="5"/>
    <w:unhideWhenUsed/>
    <w:qFormat/>
    <w:uiPriority w:val="0"/>
    <w:pPr>
      <w:spacing w:beforeAutospacing="1" w:afterAutospacing="1"/>
      <w:jc w:val="left"/>
      <w:outlineLvl w:val="2"/>
    </w:pPr>
    <w:rPr>
      <w:rFonts w:hint="eastAsia" w:ascii="宋体" w:hAnsi="宋体" w:eastAsia="宋体" w:cs="Times New Roman"/>
      <w:kern w:val="0"/>
      <w:sz w:val="27"/>
      <w:szCs w:val="27"/>
    </w:rPr>
  </w:style>
  <w:style w:type="paragraph" w:styleId="5">
    <w:name w:val="heading 4"/>
    <w:basedOn w:val="4"/>
    <w:next w:val="6"/>
    <w:qFormat/>
    <w:uiPriority w:val="9"/>
    <w:pPr>
      <w:numPr>
        <w:ilvl w:val="0"/>
        <w:numId w:val="1"/>
      </w:numPr>
      <w:outlineLvl w:val="3"/>
    </w:pPr>
    <w:rPr>
      <w:rFonts w:ascii="仿宋_GB2312" w:hAnsi="宋体" w:eastAsia="仿宋_GB2312"/>
      <w:szCs w:val="28"/>
    </w:rPr>
  </w:style>
  <w:style w:type="paragraph" w:styleId="6">
    <w:name w:val="heading 5"/>
    <w:basedOn w:val="5"/>
    <w:next w:val="7"/>
    <w:qFormat/>
    <w:uiPriority w:val="9"/>
    <w:pPr>
      <w:numPr>
        <w:ilvl w:val="4"/>
        <w:numId w:val="2"/>
      </w:numPr>
      <w:outlineLvl w:val="4"/>
    </w:pPr>
  </w:style>
  <w:style w:type="paragraph" w:styleId="7">
    <w:name w:val="heading 6"/>
    <w:basedOn w:val="1"/>
    <w:next w:val="1"/>
    <w:qFormat/>
    <w:uiPriority w:val="0"/>
    <w:pPr>
      <w:keepNext/>
      <w:keepLines/>
      <w:numPr>
        <w:ilvl w:val="5"/>
        <w:numId w:val="2"/>
      </w:numPr>
      <w:ind w:right="100" w:rightChars="100"/>
      <w:outlineLvl w:val="5"/>
    </w:pPr>
    <w:rPr>
      <w:rFonts w:ascii="宋体" w:hAnsi="Cambria"/>
      <w:b/>
      <w:bC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0"/>
    <w:semiHidden/>
    <w:unhideWhenUsed/>
    <w:qFormat/>
    <w:uiPriority w:val="0"/>
    <w:pPr>
      <w:jc w:val="left"/>
    </w:pPr>
  </w:style>
  <w:style w:type="paragraph" w:styleId="9">
    <w:name w:val="Body Text"/>
    <w:basedOn w:val="1"/>
    <w:next w:val="1"/>
    <w:qFormat/>
    <w:uiPriority w:val="0"/>
    <w:pPr>
      <w:spacing w:line="380" w:lineRule="exact"/>
    </w:pPr>
    <w:rPr>
      <w:sz w:val="24"/>
    </w:rPr>
  </w:style>
  <w:style w:type="paragraph" w:styleId="10">
    <w:name w:val="Plain Text"/>
    <w:basedOn w:val="1"/>
    <w:qFormat/>
    <w:uiPriority w:val="0"/>
    <w:rPr>
      <w:rFonts w:ascii="宋体" w:hAnsi="Courier New"/>
      <w:szCs w:val="20"/>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Subtitle"/>
    <w:basedOn w:val="1"/>
    <w:next w:val="1"/>
    <w:link w:val="48"/>
    <w:qFormat/>
    <w:uiPriority w:val="0"/>
    <w:pPr>
      <w:spacing w:before="240" w:after="60" w:line="312" w:lineRule="auto"/>
      <w:jc w:val="center"/>
      <w:outlineLvl w:val="1"/>
    </w:pPr>
    <w:rPr>
      <w:rFonts w:ascii="Cambria" w:hAnsi="Cambria" w:cs="Times New Roman"/>
      <w:b/>
      <w:bCs/>
      <w:kern w:val="28"/>
      <w:sz w:val="32"/>
      <w:szCs w:val="32"/>
    </w:r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8"/>
    <w:next w:val="8"/>
    <w:link w:val="41"/>
    <w:semiHidden/>
    <w:unhideWhenUsed/>
    <w:qFormat/>
    <w:uiPriority w:val="0"/>
    <w:rPr>
      <w:b/>
      <w:bCs/>
    </w:rPr>
  </w:style>
  <w:style w:type="paragraph" w:styleId="19">
    <w:name w:val="Body Text First Indent"/>
    <w:basedOn w:val="9"/>
    <w:next w:val="1"/>
    <w:unhideWhenUsed/>
    <w:qFormat/>
    <w:uiPriority w:val="99"/>
    <w:pPr>
      <w:tabs>
        <w:tab w:val="left" w:pos="1277"/>
      </w:tabs>
      <w:ind w:firstLine="420" w:firstLineChars="100"/>
    </w:pPr>
  </w:style>
  <w:style w:type="table" w:styleId="21">
    <w:name w:val="Table Grid"/>
    <w:basedOn w:val="2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qFormat/>
    <w:uiPriority w:val="99"/>
    <w:rPr>
      <w:color w:val="0000EE"/>
      <w:u w:val="none"/>
    </w:rPr>
  </w:style>
  <w:style w:type="character" w:styleId="27">
    <w:name w:val="annotation reference"/>
    <w:basedOn w:val="22"/>
    <w:semiHidden/>
    <w:unhideWhenUsed/>
    <w:qFormat/>
    <w:uiPriority w:val="0"/>
    <w:rPr>
      <w:sz w:val="21"/>
      <w:szCs w:val="21"/>
    </w:rPr>
  </w:style>
  <w:style w:type="character" w:customStyle="1" w:styleId="28">
    <w:name w:val="标题 1 Char"/>
    <w:basedOn w:val="22"/>
    <w:link w:val="3"/>
    <w:qFormat/>
    <w:uiPriority w:val="0"/>
    <w:rPr>
      <w:rFonts w:asciiTheme="minorHAnsi" w:hAnsiTheme="minorHAnsi" w:eastAsiaTheme="minorEastAsia" w:cstheme="minorBidi"/>
      <w:b/>
      <w:bCs/>
      <w:kern w:val="44"/>
      <w:sz w:val="44"/>
      <w:szCs w:val="44"/>
    </w:rPr>
  </w:style>
  <w:style w:type="character" w:customStyle="1" w:styleId="29">
    <w:name w:val="标题 2 Char"/>
    <w:link w:val="2"/>
    <w:qFormat/>
    <w:uiPriority w:val="0"/>
    <w:rPr>
      <w:rFonts w:hint="eastAsia" w:ascii="宋体" w:hAnsi="宋体" w:eastAsia="宋体" w:cs="Times New Roman"/>
      <w:b/>
      <w:bCs/>
      <w:kern w:val="0"/>
      <w:sz w:val="36"/>
      <w:szCs w:val="36"/>
    </w:rPr>
  </w:style>
  <w:style w:type="paragraph" w:customStyle="1" w:styleId="30">
    <w:name w:val="目录 91"/>
    <w:basedOn w:val="1"/>
    <w:next w:val="1"/>
    <w:qFormat/>
    <w:uiPriority w:val="0"/>
    <w:pPr>
      <w:ind w:left="1680"/>
    </w:pPr>
    <w:rPr>
      <w:sz w:val="18"/>
    </w:rPr>
  </w:style>
  <w:style w:type="character" w:customStyle="1" w:styleId="31">
    <w:name w:val="active"/>
    <w:basedOn w:val="22"/>
    <w:qFormat/>
    <w:uiPriority w:val="0"/>
    <w:rPr>
      <w:shd w:val="clear" w:color="auto" w:fill="EC3535"/>
    </w:rPr>
  </w:style>
  <w:style w:type="paragraph" w:customStyle="1" w:styleId="32">
    <w:name w:val="无间隔1"/>
    <w:qFormat/>
    <w:uiPriority w:val="99"/>
    <w:pPr>
      <w:adjustRightInd w:val="0"/>
      <w:snapToGrid w:val="0"/>
    </w:pPr>
    <w:rPr>
      <w:rFonts w:ascii="Tahoma" w:hAnsi="Tahoma" w:eastAsia="微软雅黑" w:cs="Tahoma"/>
      <w:sz w:val="22"/>
      <w:szCs w:val="22"/>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批注框文本 Char"/>
    <w:basedOn w:val="22"/>
    <w:link w:val="11"/>
    <w:qFormat/>
    <w:uiPriority w:val="0"/>
    <w:rPr>
      <w:rFonts w:asciiTheme="minorHAnsi" w:hAnsiTheme="minorHAnsi" w:eastAsiaTheme="minorEastAsia" w:cstheme="minorBidi"/>
      <w:kern w:val="2"/>
      <w:sz w:val="18"/>
      <w:szCs w:val="18"/>
    </w:rPr>
  </w:style>
  <w:style w:type="character" w:customStyle="1" w:styleId="36">
    <w:name w:val="列出段落 Char"/>
    <w:link w:val="37"/>
    <w:qFormat/>
    <w:uiPriority w:val="0"/>
    <w:rPr>
      <w:rFonts w:ascii="Calibri" w:hAnsi="Calibri"/>
      <w:kern w:val="2"/>
      <w:sz w:val="21"/>
      <w:szCs w:val="22"/>
    </w:rPr>
  </w:style>
  <w:style w:type="paragraph" w:styleId="37">
    <w:name w:val="List Paragraph"/>
    <w:basedOn w:val="1"/>
    <w:link w:val="36"/>
    <w:qFormat/>
    <w:uiPriority w:val="34"/>
    <w:pPr>
      <w:ind w:firstLine="420" w:firstLineChars="200"/>
    </w:pPr>
    <w:rPr>
      <w:rFonts w:ascii="Calibri" w:hAnsi="Calibri" w:eastAsia="宋体" w:cs="Times New Roman"/>
      <w:szCs w:val="22"/>
    </w:rPr>
  </w:style>
  <w:style w:type="paragraph" w:customStyle="1" w:styleId="38">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
    <w:name w:val="w"/>
    <w:basedOn w:val="1"/>
    <w:qFormat/>
    <w:uiPriority w:val="0"/>
    <w:pPr>
      <w:widowControl/>
      <w:spacing w:before="100" w:beforeAutospacing="1" w:after="100" w:afterAutospacing="1" w:line="375" w:lineRule="atLeast"/>
      <w:jc w:val="left"/>
    </w:pPr>
    <w:rPr>
      <w:rFonts w:ascii="宋体" w:hAnsi="宋体" w:eastAsia="宋体" w:cs="Times New Roman"/>
      <w:color w:val="000000"/>
      <w:kern w:val="0"/>
      <w:sz w:val="24"/>
    </w:rPr>
  </w:style>
  <w:style w:type="character" w:customStyle="1" w:styleId="40">
    <w:name w:val="批注文字 Char"/>
    <w:basedOn w:val="22"/>
    <w:link w:val="8"/>
    <w:semiHidden/>
    <w:qFormat/>
    <w:uiPriority w:val="0"/>
    <w:rPr>
      <w:rFonts w:asciiTheme="minorHAnsi" w:hAnsiTheme="minorHAnsi" w:eastAsiaTheme="minorEastAsia" w:cstheme="minorBidi"/>
      <w:kern w:val="2"/>
      <w:sz w:val="21"/>
      <w:szCs w:val="24"/>
    </w:rPr>
  </w:style>
  <w:style w:type="character" w:customStyle="1" w:styleId="41">
    <w:name w:val="批注主题 Char"/>
    <w:basedOn w:val="40"/>
    <w:link w:val="18"/>
    <w:semiHidden/>
    <w:qFormat/>
    <w:uiPriority w:val="0"/>
    <w:rPr>
      <w:rFonts w:asciiTheme="minorHAnsi" w:hAnsiTheme="minorHAnsi" w:eastAsiaTheme="minorEastAsia" w:cstheme="minorBidi"/>
      <w:b/>
      <w:bCs/>
      <w:kern w:val="2"/>
      <w:sz w:val="21"/>
      <w:szCs w:val="24"/>
    </w:rPr>
  </w:style>
  <w:style w:type="paragraph" w:customStyle="1" w:styleId="4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character" w:customStyle="1" w:styleId="44">
    <w:name w:val="font21"/>
    <w:basedOn w:val="22"/>
    <w:qFormat/>
    <w:uiPriority w:val="0"/>
    <w:rPr>
      <w:rFonts w:hint="eastAsia" w:ascii="微软雅黑" w:hAnsi="微软雅黑" w:eastAsia="微软雅黑" w:cs="微软雅黑"/>
      <w:color w:val="000000"/>
      <w:sz w:val="20"/>
      <w:szCs w:val="20"/>
      <w:u w:val="none"/>
    </w:rPr>
  </w:style>
  <w:style w:type="paragraph" w:customStyle="1" w:styleId="45">
    <w:name w:val="正文文本首行缩进 21"/>
    <w:basedOn w:val="46"/>
    <w:qFormat/>
    <w:uiPriority w:val="0"/>
    <w:pPr>
      <w:ind w:firstLine="420"/>
    </w:pPr>
    <w:rPr>
      <w:rFonts w:cs="宋体"/>
    </w:rPr>
  </w:style>
  <w:style w:type="paragraph" w:customStyle="1" w:styleId="46">
    <w:name w:val="正文文本缩进1"/>
    <w:basedOn w:val="1"/>
    <w:next w:val="1"/>
    <w:qFormat/>
    <w:uiPriority w:val="0"/>
    <w:pPr>
      <w:spacing w:after="120"/>
      <w:ind w:left="420" w:leftChars="200"/>
    </w:pPr>
    <w:rPr>
      <w:color w:val="000000"/>
      <w:szCs w:val="21"/>
    </w:rPr>
  </w:style>
  <w:style w:type="paragraph" w:customStyle="1" w:styleId="47">
    <w:name w:val="L正文"/>
    <w:basedOn w:val="1"/>
    <w:qFormat/>
    <w:uiPriority w:val="0"/>
    <w:pPr>
      <w:autoSpaceDE w:val="0"/>
      <w:autoSpaceDN w:val="0"/>
      <w:adjustRightInd w:val="0"/>
      <w:spacing w:line="360" w:lineRule="auto"/>
      <w:ind w:firstLine="200" w:firstLineChars="200"/>
    </w:pPr>
    <w:rPr>
      <w:rFonts w:ascii="宋体" w:hAnsi="宋体"/>
      <w:kern w:val="0"/>
      <w:sz w:val="28"/>
      <w:szCs w:val="28"/>
    </w:rPr>
  </w:style>
  <w:style w:type="character" w:customStyle="1" w:styleId="48">
    <w:name w:val="副标题 Char"/>
    <w:basedOn w:val="22"/>
    <w:link w:val="15"/>
    <w:qFormat/>
    <w:uiPriority w:val="0"/>
    <w:rPr>
      <w:rFonts w:ascii="Cambria" w:hAnsi="Cambria"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65</Pages>
  <Words>42387</Words>
  <Characters>44400</Characters>
  <Lines>329</Lines>
  <Paragraphs>92</Paragraphs>
  <TotalTime>12</TotalTime>
  <ScaleCrop>false</ScaleCrop>
  <LinksUpToDate>false</LinksUpToDate>
  <CharactersWithSpaces>45651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2022-07-18T20:21:00Z</dcterms:created>
  <dc:creator>Administrator</dc:creator>
  <cp:lastModifiedBy>WPS_1660098805</cp:lastModifiedBy>
  <cp:lastPrinted>2022-05-18T16:26:00Z</cp:lastPrinted>
  <dcterms:modified xsi:type="dcterms:W3CDTF">2023-08-02T02:10:14Z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9E96E6D9992B42609A20720B46685896_13</vt:lpwstr>
  </property>
</Properties>
</file>