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31"/>
          <w:rFonts w:hint="eastAsia" w:hAnsi="宋体" w:cs="宋体"/>
          <w:color w:val="auto"/>
          <w:sz w:val="48"/>
        </w:rPr>
      </w:pPr>
    </w:p>
    <w:p>
      <w:pPr>
        <w:pStyle w:val="2"/>
        <w:rPr>
          <w:rFonts w:hint="eastAsia"/>
          <w:color w:val="auto"/>
        </w:rPr>
      </w:pPr>
    </w:p>
    <w:p>
      <w:pPr>
        <w:pStyle w:val="2"/>
        <w:rPr>
          <w:rFonts w:hint="eastAsia"/>
          <w:color w:val="auto"/>
        </w:rPr>
      </w:pPr>
    </w:p>
    <w:p>
      <w:pPr>
        <w:jc w:val="center"/>
        <w:rPr>
          <w:rStyle w:val="31"/>
          <w:rFonts w:hint="eastAsia" w:hAnsi="宋体" w:cs="宋体"/>
          <w:color w:val="auto"/>
          <w:sz w:val="48"/>
        </w:rPr>
      </w:pPr>
      <w:r>
        <w:rPr>
          <w:rStyle w:val="31"/>
          <w:rFonts w:hint="eastAsia" w:hAnsi="宋体" w:cs="宋体"/>
          <w:color w:val="auto"/>
          <w:sz w:val="48"/>
        </w:rPr>
        <w:t>福建省房屋建筑和市政基础设施工程</w:t>
      </w:r>
    </w:p>
    <w:p>
      <w:pPr>
        <w:pStyle w:val="9"/>
        <w:spacing w:line="420" w:lineRule="exact"/>
        <w:ind w:firstLine="720" w:firstLineChars="200"/>
        <w:rPr>
          <w:rFonts w:hint="eastAsia" w:ascii="宋体" w:hAnsi="宋体" w:cs="宋体"/>
          <w:color w:val="auto"/>
          <w:spacing w:val="60"/>
          <w:sz w:val="24"/>
        </w:rPr>
      </w:pPr>
    </w:p>
    <w:p>
      <w:pPr>
        <w:pStyle w:val="9"/>
        <w:spacing w:before="156" w:beforeLines="50" w:after="156" w:afterLines="50" w:line="920" w:lineRule="exact"/>
        <w:ind w:firstLine="0"/>
        <w:jc w:val="center"/>
        <w:rPr>
          <w:rFonts w:hint="eastAsia" w:ascii="宋体" w:hAnsi="宋体" w:cs="宋体"/>
          <w:b/>
          <w:color w:val="auto"/>
          <w:spacing w:val="60"/>
          <w:sz w:val="72"/>
        </w:rPr>
      </w:pPr>
      <w:r>
        <w:rPr>
          <w:rFonts w:hint="eastAsia" w:ascii="宋体" w:hAnsi="宋体" w:cs="宋体"/>
          <w:b/>
          <w:color w:val="auto"/>
          <w:spacing w:val="60"/>
          <w:sz w:val="72"/>
        </w:rPr>
        <w:t>标准施工招标文件</w:t>
      </w:r>
    </w:p>
    <w:p>
      <w:pPr>
        <w:pStyle w:val="9"/>
        <w:spacing w:before="480" w:after="240" w:line="360" w:lineRule="auto"/>
        <w:ind w:firstLine="0"/>
        <w:jc w:val="center"/>
        <w:rPr>
          <w:rFonts w:hint="eastAsia" w:ascii="宋体" w:hAnsi="宋体" w:cs="宋体"/>
          <w:b/>
          <w:color w:val="auto"/>
          <w:spacing w:val="60"/>
          <w:sz w:val="44"/>
        </w:rPr>
      </w:pPr>
      <w:r>
        <w:rPr>
          <w:rFonts w:hint="eastAsia" w:ascii="宋体" w:hAnsi="宋体" w:cs="宋体"/>
          <w:b/>
          <w:color w:val="auto"/>
          <w:spacing w:val="60"/>
          <w:sz w:val="44"/>
        </w:rPr>
        <w:t>专用本</w:t>
      </w:r>
    </w:p>
    <w:p>
      <w:pPr>
        <w:spacing w:before="312" w:beforeLines="100" w:line="360" w:lineRule="auto"/>
        <w:jc w:val="center"/>
        <w:rPr>
          <w:rFonts w:hint="eastAsia" w:ascii="宋体" w:hAnsi="宋体" w:cs="宋体"/>
          <w:b/>
          <w:color w:val="auto"/>
          <w:sz w:val="44"/>
          <w:szCs w:val="44"/>
        </w:rPr>
      </w:pPr>
      <w:r>
        <w:rPr>
          <w:rFonts w:hint="eastAsia" w:ascii="宋体" w:hAnsi="宋体" w:cs="宋体"/>
          <w:b/>
          <w:color w:val="auto"/>
          <w:sz w:val="44"/>
          <w:szCs w:val="44"/>
        </w:rPr>
        <w:t>（2022年版）</w:t>
      </w:r>
    </w:p>
    <w:p>
      <w:pPr>
        <w:pStyle w:val="9"/>
        <w:spacing w:line="420" w:lineRule="exact"/>
        <w:ind w:firstLine="480" w:firstLineChars="200"/>
        <w:rPr>
          <w:rFonts w:hint="eastAsia" w:ascii="宋体" w:hAnsi="宋体" w:cs="宋体"/>
          <w:color w:val="auto"/>
          <w:sz w:val="24"/>
        </w:rPr>
      </w:pPr>
    </w:p>
    <w:p>
      <w:pPr>
        <w:pStyle w:val="9"/>
        <w:spacing w:line="420" w:lineRule="exact"/>
        <w:ind w:firstLine="480" w:firstLineChars="200"/>
        <w:rPr>
          <w:rFonts w:hint="eastAsia" w:ascii="宋体" w:hAnsi="宋体" w:cs="宋体"/>
          <w:color w:val="auto"/>
          <w:sz w:val="24"/>
        </w:rPr>
      </w:pPr>
    </w:p>
    <w:p>
      <w:pPr>
        <w:pStyle w:val="9"/>
        <w:spacing w:before="240" w:after="240" w:line="360" w:lineRule="auto"/>
        <w:ind w:firstLine="1260" w:firstLineChars="450"/>
        <w:rPr>
          <w:rFonts w:hint="eastAsia" w:ascii="宋体" w:hAnsi="宋体" w:cs="宋体"/>
          <w:color w:val="auto"/>
          <w:sz w:val="28"/>
          <w:u w:val="single"/>
        </w:rPr>
      </w:pPr>
      <w:r>
        <w:rPr>
          <w:rFonts w:hint="eastAsia" w:ascii="宋体" w:hAnsi="宋体" w:cs="宋体"/>
          <w:color w:val="auto"/>
          <w:sz w:val="28"/>
        </w:rPr>
        <w:t>招标项目名称：</w:t>
      </w:r>
      <w:r>
        <w:rPr>
          <w:rFonts w:hint="eastAsia" w:ascii="宋体" w:hAnsi="宋体" w:cs="宋体"/>
          <w:color w:val="auto"/>
          <w:sz w:val="28"/>
          <w:u w:val="single"/>
        </w:rPr>
        <w:t>泉州市大气环境监测超级站</w:t>
      </w:r>
    </w:p>
    <w:p>
      <w:pPr>
        <w:pStyle w:val="9"/>
        <w:spacing w:before="240" w:after="240" w:line="360" w:lineRule="auto"/>
        <w:ind w:firstLine="1260" w:firstLineChars="450"/>
        <w:rPr>
          <w:rFonts w:hint="eastAsia" w:ascii="宋体" w:hAnsi="宋体" w:cs="宋体"/>
          <w:color w:val="auto"/>
          <w:sz w:val="28"/>
          <w:u w:val="single"/>
        </w:rPr>
      </w:pPr>
      <w:r>
        <w:rPr>
          <w:rFonts w:hint="eastAsia" w:ascii="宋体" w:hAnsi="宋体" w:cs="宋体"/>
          <w:color w:val="auto"/>
          <w:sz w:val="28"/>
        </w:rPr>
        <w:t>招标项目编号：</w:t>
      </w:r>
      <w:r>
        <w:rPr>
          <w:rFonts w:hint="eastAsia" w:ascii="宋体" w:hAnsi="宋体" w:cs="宋体"/>
          <w:color w:val="auto"/>
          <w:sz w:val="28"/>
          <w:u w:val="single"/>
        </w:rPr>
        <w:t>之一泉南招[2023]029号</w:t>
      </w:r>
    </w:p>
    <w:p>
      <w:pPr>
        <w:pStyle w:val="9"/>
        <w:spacing w:line="420" w:lineRule="exact"/>
        <w:ind w:firstLine="800" w:firstLineChars="200"/>
        <w:rPr>
          <w:rFonts w:hint="eastAsia" w:ascii="宋体" w:hAnsi="宋体" w:cs="宋体"/>
          <w:color w:val="auto"/>
          <w:spacing w:val="60"/>
          <w:sz w:val="28"/>
        </w:rPr>
      </w:pPr>
      <w:r>
        <w:rPr>
          <w:rFonts w:hint="eastAsia" w:ascii="宋体" w:hAnsi="宋体" w:cs="宋体"/>
          <w:color w:val="auto"/>
          <w:spacing w:val="60"/>
          <w:sz w:val="28"/>
        </w:rPr>
        <w:t xml:space="preserve"> </w:t>
      </w:r>
    </w:p>
    <w:p>
      <w:pPr>
        <w:pStyle w:val="9"/>
        <w:spacing w:line="420" w:lineRule="exact"/>
        <w:ind w:firstLine="800" w:firstLineChars="200"/>
        <w:rPr>
          <w:rFonts w:hint="eastAsia" w:ascii="宋体" w:hAnsi="宋体" w:cs="宋体"/>
          <w:color w:val="auto"/>
          <w:spacing w:val="60"/>
          <w:sz w:val="28"/>
        </w:rPr>
      </w:pPr>
    </w:p>
    <w:p>
      <w:pPr>
        <w:pStyle w:val="9"/>
        <w:spacing w:line="300" w:lineRule="auto"/>
        <w:ind w:firstLine="1260" w:firstLineChars="450"/>
        <w:rPr>
          <w:rFonts w:hint="eastAsia" w:ascii="宋体" w:hAnsi="宋体" w:cs="宋体"/>
          <w:color w:val="auto"/>
          <w:sz w:val="28"/>
        </w:rPr>
      </w:pPr>
      <w:r>
        <w:rPr>
          <w:rFonts w:hint="eastAsia" w:ascii="宋体" w:hAnsi="宋体" w:cs="宋体"/>
          <w:color w:val="auto"/>
          <w:sz w:val="28"/>
        </w:rPr>
        <w:t>招标人：</w:t>
      </w:r>
      <w:r>
        <w:rPr>
          <w:rFonts w:hint="eastAsia" w:ascii="宋体" w:hAnsi="宋体" w:cs="宋体"/>
          <w:color w:val="auto"/>
          <w:sz w:val="28"/>
          <w:u w:val="single"/>
          <w:lang w:val="en-US" w:eastAsia="zh-CN"/>
        </w:rPr>
        <w:t xml:space="preserve"> 泉州师范学院</w:t>
      </w:r>
      <w:r>
        <w:rPr>
          <w:rFonts w:hint="eastAsia" w:ascii="宋体" w:hAnsi="宋体" w:cs="宋体"/>
          <w:color w:val="auto"/>
          <w:sz w:val="28"/>
          <w:u w:val="single"/>
        </w:rPr>
        <w:t>（盖单位公章）</w:t>
      </w:r>
    </w:p>
    <w:p>
      <w:pPr>
        <w:pStyle w:val="9"/>
        <w:spacing w:line="300" w:lineRule="auto"/>
        <w:ind w:firstLine="1260" w:firstLineChars="450"/>
        <w:rPr>
          <w:rFonts w:hint="eastAsia" w:ascii="宋体" w:hAnsi="宋体" w:cs="宋体"/>
          <w:color w:val="auto"/>
          <w:sz w:val="28"/>
          <w:u w:val="single"/>
        </w:rPr>
      </w:pPr>
      <w:r>
        <w:rPr>
          <w:rFonts w:hint="eastAsia" w:ascii="宋体" w:hAnsi="宋体" w:cs="宋体"/>
          <w:color w:val="auto"/>
          <w:sz w:val="28"/>
        </w:rPr>
        <w:t>招标代理机构：</w:t>
      </w:r>
      <w:r>
        <w:rPr>
          <w:rFonts w:hint="eastAsia" w:ascii="宋体" w:hAnsi="宋体" w:cs="宋体"/>
          <w:color w:val="auto"/>
          <w:sz w:val="28"/>
          <w:u w:val="single"/>
        </w:rPr>
        <w:t xml:space="preserve"> 之一建设有限责任公司（盖单位公章）</w:t>
      </w:r>
    </w:p>
    <w:p>
      <w:pPr>
        <w:pStyle w:val="9"/>
        <w:spacing w:line="300" w:lineRule="auto"/>
        <w:ind w:firstLine="1260" w:firstLineChars="450"/>
        <w:rPr>
          <w:rStyle w:val="31"/>
          <w:rFonts w:hint="eastAsia" w:hAnsi="宋体" w:cs="宋体"/>
          <w:color w:val="auto"/>
          <w:sz w:val="48"/>
        </w:rPr>
      </w:pPr>
      <w:r>
        <w:rPr>
          <w:rFonts w:hint="eastAsia" w:ascii="宋体" w:hAnsi="宋体" w:cs="宋体"/>
          <w:color w:val="auto"/>
          <w:sz w:val="28"/>
        </w:rPr>
        <w:t>招标文件编制日期：</w:t>
      </w:r>
      <w:r>
        <w:rPr>
          <w:rFonts w:hint="eastAsia" w:ascii="宋体" w:hAnsi="宋体" w:cs="宋体"/>
          <w:color w:val="auto"/>
          <w:sz w:val="28"/>
          <w:u w:val="single"/>
          <w:lang w:val="en-US" w:eastAsia="zh-CN"/>
        </w:rPr>
        <w:t xml:space="preserve"> 2023 </w:t>
      </w:r>
      <w:r>
        <w:rPr>
          <w:rFonts w:hint="eastAsia" w:ascii="宋体" w:hAnsi="宋体" w:cs="宋体"/>
          <w:color w:val="auto"/>
          <w:sz w:val="28"/>
        </w:rPr>
        <w:t>年</w:t>
      </w:r>
      <w:r>
        <w:rPr>
          <w:rFonts w:hint="eastAsia" w:ascii="宋体" w:hAnsi="宋体" w:cs="宋体"/>
          <w:color w:val="auto"/>
          <w:sz w:val="28"/>
          <w:u w:val="single"/>
          <w:lang w:val="en-US" w:eastAsia="zh-CN"/>
        </w:rPr>
        <w:t>08</w:t>
      </w:r>
      <w:r>
        <w:rPr>
          <w:rFonts w:hint="eastAsia" w:ascii="宋体" w:hAnsi="宋体" w:cs="宋体"/>
          <w:color w:val="auto"/>
          <w:sz w:val="28"/>
        </w:rPr>
        <w:t>月</w:t>
      </w:r>
      <w:r>
        <w:rPr>
          <w:rFonts w:hint="eastAsia" w:ascii="宋体" w:hAnsi="宋体" w:cs="宋体"/>
          <w:color w:val="auto"/>
          <w:sz w:val="28"/>
          <w:u w:val="single"/>
          <w:lang w:val="en-US" w:eastAsia="zh-CN"/>
        </w:rPr>
        <w:t>08</w:t>
      </w:r>
      <w:r>
        <w:rPr>
          <w:rFonts w:hint="eastAsia" w:ascii="宋体" w:hAnsi="宋体" w:cs="宋体"/>
          <w:color w:val="auto"/>
          <w:sz w:val="28"/>
        </w:rPr>
        <w:t>日</w:t>
      </w:r>
    </w:p>
    <w:p>
      <w:pPr>
        <w:pStyle w:val="11"/>
        <w:rPr>
          <w:rStyle w:val="31"/>
          <w:rFonts w:hint="eastAsia" w:hAnsi="宋体" w:cs="宋体"/>
          <w:color w:val="auto"/>
          <w:sz w:val="48"/>
        </w:rPr>
      </w:pPr>
    </w:p>
    <w:p>
      <w:pPr>
        <w:rPr>
          <w:rStyle w:val="31"/>
          <w:rFonts w:hint="eastAsia" w:hAnsi="宋体" w:cs="宋体"/>
          <w:color w:val="auto"/>
          <w:sz w:val="48"/>
        </w:rPr>
      </w:pPr>
    </w:p>
    <w:p>
      <w:pPr>
        <w:pStyle w:val="29"/>
        <w:rPr>
          <w:rStyle w:val="31"/>
          <w:rFonts w:hint="eastAsia" w:hAnsi="宋体" w:cs="宋体"/>
          <w:color w:val="auto"/>
          <w:sz w:val="48"/>
        </w:rPr>
      </w:pPr>
    </w:p>
    <w:p>
      <w:pPr>
        <w:pStyle w:val="11"/>
        <w:rPr>
          <w:rFonts w:hint="eastAsia"/>
          <w:color w:val="auto"/>
        </w:rPr>
      </w:pPr>
    </w:p>
    <w:p>
      <w:pPr>
        <w:rPr>
          <w:rFonts w:hint="eastAsia"/>
          <w:color w:val="auto"/>
        </w:rPr>
      </w:pPr>
    </w:p>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cs="宋体"/>
          <w:b/>
          <w:color w:val="auto"/>
          <w:sz w:val="36"/>
          <w:szCs w:val="36"/>
        </w:rPr>
      </w:pPr>
    </w:p>
    <w:p>
      <w:pPr>
        <w:pStyle w:val="29"/>
        <w:rPr>
          <w:rFonts w:hint="eastAsia"/>
          <w:color w:val="auto"/>
        </w:rPr>
      </w:pPr>
    </w:p>
    <w:p>
      <w:pPr>
        <w:spacing w:before="156" w:beforeLines="50" w:after="312" w:afterLines="100" w:line="360" w:lineRule="auto"/>
        <w:jc w:val="center"/>
        <w:rPr>
          <w:rFonts w:hint="eastAsia" w:ascii="宋体" w:hAnsi="宋体" w:cs="宋体"/>
          <w:b/>
          <w:color w:val="auto"/>
          <w:sz w:val="36"/>
          <w:szCs w:val="36"/>
        </w:rPr>
      </w:pPr>
      <w:r>
        <w:rPr>
          <w:rFonts w:hint="eastAsia" w:ascii="宋体" w:hAnsi="宋体" w:cs="宋体"/>
          <w:b/>
          <w:color w:val="auto"/>
          <w:sz w:val="36"/>
          <w:szCs w:val="36"/>
        </w:rPr>
        <w:t>使用说明</w:t>
      </w:r>
    </w:p>
    <w:p>
      <w:pPr>
        <w:numPr>
          <w:ilvl w:val="0"/>
          <w:numId w:val="4"/>
        </w:numPr>
        <w:tabs>
          <w:tab w:val="left" w:pos="900"/>
        </w:tabs>
        <w:spacing w:line="480" w:lineRule="exact"/>
        <w:ind w:firstLine="482"/>
        <w:rPr>
          <w:rFonts w:hint="eastAsia" w:ascii="宋体" w:hAnsi="宋体" w:cs="宋体"/>
          <w:color w:val="auto"/>
          <w:sz w:val="24"/>
          <w:szCs w:val="24"/>
        </w:rPr>
      </w:pPr>
      <w:r>
        <w:rPr>
          <w:rFonts w:hint="eastAsia" w:ascii="宋体" w:hAnsi="宋体" w:cs="宋体"/>
          <w:color w:val="auto"/>
          <w:sz w:val="24"/>
          <w:szCs w:val="24"/>
        </w:rPr>
        <w:t>《福建省房屋建筑和市政基础设施工程标准施工招标文件（2022年版）》（以下简称“标准施工招标文件”）是根据《中华人民共和国标准施工招标文件（2007年版）》《中华人民共和国房屋建筑和市政工程标准施工招标文件（2010年版）》《电子招标投标办法》，结合我省实际情况编制的，适用于福建省</w:t>
      </w:r>
      <w:r>
        <w:rPr>
          <w:rFonts w:hint="eastAsia" w:ascii="宋体" w:hAnsi="宋体" w:cs="宋体"/>
          <w:snapToGrid w:val="0"/>
          <w:color w:val="auto"/>
          <w:sz w:val="24"/>
          <w:szCs w:val="24"/>
        </w:rPr>
        <w:t>行政区域内</w:t>
      </w:r>
      <w:r>
        <w:rPr>
          <w:rFonts w:hint="eastAsia" w:ascii="宋体" w:hAnsi="宋体" w:cs="宋体"/>
          <w:color w:val="auto"/>
          <w:sz w:val="24"/>
          <w:szCs w:val="24"/>
        </w:rPr>
        <w:t>依法必须进行招标的房屋建筑和市政基础设施工程施工招标项目，包括施工总承包工程、专业工程招标项目。</w:t>
      </w:r>
    </w:p>
    <w:p>
      <w:pPr>
        <w:numPr>
          <w:ilvl w:val="0"/>
          <w:numId w:val="4"/>
        </w:numPr>
        <w:tabs>
          <w:tab w:val="left" w:pos="900"/>
        </w:tabs>
        <w:spacing w:line="480" w:lineRule="exact"/>
        <w:ind w:firstLine="482"/>
        <w:rPr>
          <w:rFonts w:hint="eastAsia" w:ascii="宋体" w:hAnsi="宋体" w:cs="宋体"/>
          <w:color w:val="auto"/>
          <w:sz w:val="24"/>
          <w:szCs w:val="24"/>
        </w:rPr>
      </w:pPr>
      <w:r>
        <w:rPr>
          <w:rFonts w:hint="eastAsia" w:ascii="宋体" w:hAnsi="宋体" w:cs="宋体"/>
          <w:color w:val="auto"/>
          <w:sz w:val="24"/>
          <w:szCs w:val="24"/>
        </w:rPr>
        <w:t>《标准施工招标文件》包括第1章“招标公告/投标邀请书”、第2章“投标须知”、第3章“评标办法和标准”、第4章“合同条款及格式”、第5章“工程量清单及计价”、第6章“招标图纸”、第7章“技术标准和要求”和第8章“投标文件格式”。</w:t>
      </w:r>
    </w:p>
    <w:p>
      <w:pPr>
        <w:numPr>
          <w:ilvl w:val="0"/>
          <w:numId w:val="4"/>
        </w:numPr>
        <w:tabs>
          <w:tab w:val="left" w:pos="900"/>
        </w:tabs>
        <w:spacing w:line="480" w:lineRule="exact"/>
        <w:ind w:firstLine="482"/>
        <w:rPr>
          <w:rFonts w:hint="eastAsia" w:ascii="宋体" w:hAnsi="宋体" w:cs="宋体"/>
          <w:color w:val="auto"/>
          <w:sz w:val="24"/>
          <w:szCs w:val="24"/>
        </w:rPr>
      </w:pPr>
      <w:r>
        <w:rPr>
          <w:rFonts w:hint="eastAsia" w:ascii="宋体" w:hAnsi="宋体" w:cs="宋体"/>
          <w:color w:val="auto"/>
          <w:sz w:val="24"/>
          <w:szCs w:val="24"/>
        </w:rPr>
        <w:t>《标准施工招标文件》由《通用本》和《专用本》两部分构成。其中，《通用本》适用于所有房屋建筑和市政基础设施工程施工招标项目，每个招标项目不再另行发布。《专用本》由招标人按照《通用本》规定的格式和要求并结合招标项目具体情况进行编制。</w:t>
      </w:r>
    </w:p>
    <w:p>
      <w:pPr>
        <w:numPr>
          <w:ilvl w:val="0"/>
          <w:numId w:val="4"/>
        </w:numPr>
        <w:tabs>
          <w:tab w:val="left" w:pos="900"/>
        </w:tabs>
        <w:spacing w:line="480" w:lineRule="exact"/>
        <w:ind w:firstLine="482"/>
        <w:rPr>
          <w:rFonts w:hint="eastAsia" w:ascii="宋体" w:hAnsi="宋体" w:cs="宋体"/>
          <w:color w:val="auto"/>
          <w:sz w:val="24"/>
          <w:szCs w:val="24"/>
        </w:rPr>
      </w:pPr>
      <w:r>
        <w:rPr>
          <w:rFonts w:hint="eastAsia" w:ascii="宋体" w:hAnsi="宋体" w:cs="宋体"/>
          <w:color w:val="auto"/>
          <w:sz w:val="24"/>
          <w:szCs w:val="24"/>
        </w:rPr>
        <w:t>《通用本》的内容原则上应不加修改地直接引用，如确实需要修改或补充的，应当在《专用本》中相应章节进行修改或补充。</w:t>
      </w:r>
    </w:p>
    <w:p>
      <w:pPr>
        <w:numPr>
          <w:ilvl w:val="0"/>
          <w:numId w:val="4"/>
        </w:numPr>
        <w:tabs>
          <w:tab w:val="left" w:pos="900"/>
        </w:tabs>
        <w:spacing w:line="480" w:lineRule="exact"/>
        <w:ind w:firstLine="482"/>
        <w:rPr>
          <w:rFonts w:hint="eastAsia" w:ascii="宋体" w:hAnsi="宋体" w:cs="宋体"/>
          <w:color w:val="auto"/>
          <w:sz w:val="24"/>
          <w:szCs w:val="24"/>
        </w:rPr>
      </w:pPr>
      <w:r>
        <w:rPr>
          <w:rFonts w:hint="eastAsia" w:ascii="宋体" w:hAnsi="宋体" w:cs="宋体"/>
          <w:color w:val="auto"/>
          <w:sz w:val="24"/>
          <w:szCs w:val="24"/>
        </w:rPr>
        <w:t>《通用本》和《专用本》以及招标文件的澄清、修改（如有时）的内容为对应关联关系，可相互解释、互为说明。《通用本》与《专用本》约定不一致的，以《专用本》为准；《专用本》无约定的，从《通用本》的约定；《通用本》或《专用本》与招标文件的澄清、修改约定不一致的，以后者为准；招标文件的澄清、修改不同时间对同一内容存在不同约定时，以最后约定的内容为准。</w:t>
      </w:r>
      <w:r>
        <w:rPr>
          <w:rFonts w:hint="eastAsia" w:ascii="宋体" w:hAnsi="宋体" w:cs="宋体"/>
          <w:b/>
          <w:color w:val="auto"/>
          <w:sz w:val="24"/>
          <w:szCs w:val="24"/>
        </w:rPr>
        <w:t>《标准施工招标文件》中以双下划线或加粗斜体字标识的内容为实质性要求</w:t>
      </w:r>
      <w:r>
        <w:rPr>
          <w:rFonts w:hint="eastAsia" w:ascii="宋体" w:hAnsi="宋体" w:cs="宋体"/>
          <w:color w:val="auto"/>
          <w:sz w:val="24"/>
          <w:szCs w:val="24"/>
        </w:rPr>
        <w:t>；</w:t>
      </w:r>
      <w:r>
        <w:rPr>
          <w:rFonts w:hint="eastAsia" w:ascii="宋体" w:hAnsi="宋体" w:cs="宋体"/>
          <w:b w:val="0"/>
          <w:bCs w:val="0"/>
          <w:color w:val="auto"/>
          <w:sz w:val="24"/>
          <w:szCs w:val="24"/>
        </w:rPr>
        <w:t>以空格下划线标示的，由招标人编制招标文件或投标人编制投标文件时填入具体内容。</w:t>
      </w:r>
      <w:r>
        <w:rPr>
          <w:rFonts w:hint="eastAsia" w:ascii="宋体" w:hAnsi="宋体" w:cs="宋体"/>
          <w:color w:val="auto"/>
          <w:sz w:val="24"/>
          <w:szCs w:val="24"/>
        </w:rPr>
        <w:t>下划线上的括号内容为提示性内容，招标人在编制招标文件或投标人在编制投标文件时，填入的具体内容应将其覆盖。</w:t>
      </w:r>
    </w:p>
    <w:p>
      <w:pPr>
        <w:numPr>
          <w:ilvl w:val="0"/>
          <w:numId w:val="4"/>
        </w:numPr>
        <w:tabs>
          <w:tab w:val="left" w:pos="900"/>
        </w:tabs>
        <w:spacing w:line="480" w:lineRule="exact"/>
        <w:ind w:firstLine="482"/>
        <w:rPr>
          <w:rFonts w:hint="eastAsia" w:ascii="宋体" w:hAnsi="宋体" w:cs="宋体"/>
          <w:color w:val="auto"/>
          <w:sz w:val="24"/>
          <w:szCs w:val="24"/>
        </w:rPr>
      </w:pPr>
      <w:r>
        <w:rPr>
          <w:rStyle w:val="32"/>
          <w:rFonts w:hint="eastAsia" w:ascii="宋体" w:hAnsi="宋体" w:cs="宋体"/>
          <w:color w:val="auto"/>
          <w:sz w:val="24"/>
          <w:szCs w:val="24"/>
        </w:rPr>
        <w:t>全部使用国有资金投资或者国有资金投资占控股或者主导地位的建设工程，应当采用工程量清单招标。采用工程量清单招标的项目，工程量清单应当作为招标文件的组成部分并与招标文件同时发给各投标人，其准确性和完整性由招标人负责。招标人不得要求投标人在开标前核对工程量。</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Style w:val="32"/>
          <w:rFonts w:hint="eastAsia" w:ascii="宋体" w:hAnsi="宋体" w:cs="宋体"/>
          <w:color w:val="auto"/>
          <w:sz w:val="24"/>
          <w:szCs w:val="24"/>
        </w:rPr>
      </w:pPr>
      <w:r>
        <w:rPr>
          <w:rStyle w:val="32"/>
          <w:rFonts w:hint="eastAsia" w:ascii="宋体" w:hAnsi="宋体" w:cs="宋体"/>
          <w:color w:val="auto"/>
          <w:sz w:val="24"/>
          <w:szCs w:val="24"/>
        </w:rPr>
        <w:t>在招标项目的招投标过程中，招标人委托招标代理机构招标的，则招标代理机构应在招标全过程中以被代理人名义办理招标人委托范围内的事宜，并承担相应责任。</w:t>
      </w:r>
    </w:p>
    <w:p>
      <w:pPr>
        <w:jc w:val="center"/>
        <w:rPr>
          <w:rFonts w:hint="eastAsia"/>
          <w:b/>
          <w:bCs/>
          <w:color w:val="auto"/>
          <w:sz w:val="36"/>
          <w:szCs w:val="36"/>
          <w:lang w:val="en-US" w:eastAsia="zh-CN"/>
        </w:rPr>
      </w:pPr>
    </w:p>
    <w:p>
      <w:pPr>
        <w:pStyle w:val="2"/>
        <w:rPr>
          <w:rFonts w:hint="eastAsia"/>
          <w:b/>
          <w:bCs/>
          <w:color w:val="auto"/>
          <w:sz w:val="36"/>
          <w:szCs w:val="36"/>
          <w:lang w:val="en-US" w:eastAsia="zh-CN"/>
        </w:rPr>
      </w:pPr>
    </w:p>
    <w:p>
      <w:pPr>
        <w:jc w:val="center"/>
        <w:rPr>
          <w:rFonts w:hint="eastAsia" w:ascii="宋体" w:hAnsi="宋体" w:cs="宋体"/>
          <w:b/>
          <w:color w:val="auto"/>
          <w:sz w:val="32"/>
          <w:szCs w:val="32"/>
        </w:rPr>
      </w:pPr>
      <w:r>
        <w:rPr>
          <w:rFonts w:hint="eastAsia" w:ascii="宋体" w:hAnsi="宋体" w:cs="宋体"/>
          <w:b/>
          <w:color w:val="auto"/>
          <w:sz w:val="32"/>
          <w:szCs w:val="32"/>
        </w:rPr>
        <w:t>目录</w:t>
      </w:r>
    </w:p>
    <w:p>
      <w:pPr>
        <w:pStyle w:val="18"/>
        <w:tabs>
          <w:tab w:val="right" w:leader="dot" w:pos="9400"/>
        </w:tabs>
        <w:rPr>
          <w:color w:val="auto"/>
        </w:rPr>
      </w:pPr>
      <w:r>
        <w:rPr>
          <w:rFonts w:hint="eastAsia" w:ascii="宋体" w:hAnsi="宋体" w:cs="宋体"/>
          <w:b/>
          <w:bCs w:val="0"/>
          <w:color w:val="auto"/>
          <w:sz w:val="24"/>
          <w:szCs w:val="24"/>
        </w:rPr>
        <w:fldChar w:fldCharType="begin"/>
      </w:r>
      <w:r>
        <w:rPr>
          <w:rFonts w:hint="eastAsia" w:ascii="宋体" w:hAnsi="宋体" w:cs="宋体"/>
          <w:b/>
          <w:bCs w:val="0"/>
          <w:color w:val="auto"/>
          <w:sz w:val="24"/>
          <w:szCs w:val="24"/>
        </w:rPr>
        <w:instrText xml:space="preserve"> TOC \o "1-3" \h \u </w:instrText>
      </w:r>
      <w:r>
        <w:rPr>
          <w:rFonts w:hint="eastAsia" w:ascii="宋体" w:hAnsi="宋体" w:cs="宋体"/>
          <w:b/>
          <w:bCs w:val="0"/>
          <w:color w:val="auto"/>
          <w:sz w:val="24"/>
          <w:szCs w:val="24"/>
        </w:rPr>
        <w:fldChar w:fldCharType="separate"/>
      </w: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_Toc15928 </w:instrText>
      </w:r>
      <w:r>
        <w:rPr>
          <w:rFonts w:hint="eastAsia" w:ascii="宋体" w:hAnsi="宋体" w:cs="宋体"/>
          <w:bCs w:val="0"/>
          <w:color w:val="auto"/>
          <w:szCs w:val="24"/>
        </w:rPr>
        <w:fldChar w:fldCharType="separate"/>
      </w:r>
      <w:r>
        <w:rPr>
          <w:rFonts w:hint="eastAsia" w:ascii="宋体" w:hAnsi="宋体" w:eastAsia="宋体" w:cs="宋体"/>
          <w:i w:val="0"/>
          <w:color w:val="auto"/>
        </w:rPr>
        <w:t xml:space="preserve">第 1 章 </w:t>
      </w:r>
      <w:r>
        <w:rPr>
          <w:rFonts w:hint="eastAsia" w:ascii="宋体" w:hAnsi="宋体" w:cs="宋体"/>
          <w:color w:val="auto"/>
          <w:lang w:val="en-US" w:eastAsia="zh-CN"/>
        </w:rPr>
        <w:t>招标公告/投标邀请书</w:t>
      </w:r>
      <w:r>
        <w:rPr>
          <w:color w:val="auto"/>
        </w:rPr>
        <w:tab/>
      </w:r>
      <w:r>
        <w:rPr>
          <w:color w:val="auto"/>
        </w:rPr>
        <w:fldChar w:fldCharType="begin"/>
      </w:r>
      <w:r>
        <w:rPr>
          <w:color w:val="auto"/>
        </w:rPr>
        <w:instrText xml:space="preserve"> PAGEREF _Toc15928 \h </w:instrText>
      </w:r>
      <w:r>
        <w:rPr>
          <w:color w:val="auto"/>
        </w:rPr>
        <w:fldChar w:fldCharType="separate"/>
      </w:r>
      <w:r>
        <w:rPr>
          <w:color w:val="auto"/>
        </w:rPr>
        <w:t>4</w:t>
      </w:r>
      <w:r>
        <w:rPr>
          <w:color w:val="auto"/>
        </w:rPr>
        <w:fldChar w:fldCharType="end"/>
      </w:r>
      <w:r>
        <w:rPr>
          <w:rFonts w:hint="eastAsia" w:ascii="宋体" w:hAnsi="宋体" w:cs="宋体"/>
          <w:bCs w:val="0"/>
          <w:color w:val="auto"/>
          <w:szCs w:val="24"/>
        </w:rPr>
        <w:fldChar w:fldCharType="end"/>
      </w:r>
    </w:p>
    <w:p>
      <w:pPr>
        <w:pStyle w:val="18"/>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_Toc2200 </w:instrText>
      </w:r>
      <w:r>
        <w:rPr>
          <w:rFonts w:hint="eastAsia" w:ascii="宋体" w:hAnsi="宋体" w:cs="宋体"/>
          <w:bCs w:val="0"/>
          <w:color w:val="auto"/>
          <w:szCs w:val="24"/>
        </w:rPr>
        <w:fldChar w:fldCharType="separate"/>
      </w:r>
      <w:r>
        <w:rPr>
          <w:rFonts w:hint="eastAsia" w:ascii="宋体" w:hAnsi="宋体" w:eastAsia="宋体" w:cs="宋体"/>
          <w:i w:val="0"/>
          <w:color w:val="auto"/>
        </w:rPr>
        <w:t xml:space="preserve">第 2 章 </w:t>
      </w:r>
      <w:r>
        <w:rPr>
          <w:rFonts w:hint="eastAsia" w:ascii="宋体" w:hAnsi="宋体" w:eastAsia="宋体" w:cs="宋体"/>
          <w:color w:val="auto"/>
          <w:highlight w:val="none"/>
        </w:rPr>
        <w:t>投标须知</w:t>
      </w:r>
      <w:r>
        <w:rPr>
          <w:color w:val="auto"/>
        </w:rPr>
        <w:tab/>
      </w:r>
      <w:r>
        <w:rPr>
          <w:color w:val="auto"/>
        </w:rPr>
        <w:fldChar w:fldCharType="begin"/>
      </w:r>
      <w:r>
        <w:rPr>
          <w:color w:val="auto"/>
        </w:rPr>
        <w:instrText xml:space="preserve"> PAGEREF _Toc2200 \h </w:instrText>
      </w:r>
      <w:r>
        <w:rPr>
          <w:color w:val="auto"/>
        </w:rPr>
        <w:fldChar w:fldCharType="separate"/>
      </w:r>
      <w:r>
        <w:rPr>
          <w:color w:val="auto"/>
        </w:rPr>
        <w:t>7</w:t>
      </w:r>
      <w:r>
        <w:rPr>
          <w:color w:val="auto"/>
        </w:rPr>
        <w:fldChar w:fldCharType="end"/>
      </w:r>
      <w:r>
        <w:rPr>
          <w:rFonts w:hint="eastAsia" w:ascii="宋体" w:hAnsi="宋体" w:cs="宋体"/>
          <w:bCs w:val="0"/>
          <w:color w:val="auto"/>
          <w:szCs w:val="24"/>
        </w:rPr>
        <w:fldChar w:fldCharType="end"/>
      </w:r>
    </w:p>
    <w:p>
      <w:pPr>
        <w:pStyle w:val="20"/>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_Toc15120 </w:instrText>
      </w:r>
      <w:r>
        <w:rPr>
          <w:rFonts w:hint="eastAsia" w:ascii="宋体" w:hAnsi="宋体" w:cs="宋体"/>
          <w:bCs w:val="0"/>
          <w:color w:val="auto"/>
          <w:szCs w:val="24"/>
        </w:rPr>
        <w:fldChar w:fldCharType="separate"/>
      </w:r>
      <w:r>
        <w:rPr>
          <w:rFonts w:hint="eastAsia" w:ascii="宋体" w:hAnsi="宋体" w:eastAsia="宋体" w:cs="宋体"/>
          <w:color w:val="auto"/>
        </w:rPr>
        <w:t xml:space="preserve">第1节 </w:t>
      </w:r>
      <w:r>
        <w:rPr>
          <w:rFonts w:hint="eastAsia" w:ascii="宋体" w:hAnsi="宋体" w:eastAsia="宋体" w:cs="宋体"/>
          <w:bCs w:val="0"/>
          <w:color w:val="auto"/>
        </w:rPr>
        <w:t>投标须知前附表</w:t>
      </w:r>
      <w:r>
        <w:rPr>
          <w:color w:val="auto"/>
        </w:rPr>
        <w:tab/>
      </w:r>
      <w:r>
        <w:rPr>
          <w:color w:val="auto"/>
        </w:rPr>
        <w:fldChar w:fldCharType="begin"/>
      </w:r>
      <w:r>
        <w:rPr>
          <w:color w:val="auto"/>
        </w:rPr>
        <w:instrText xml:space="preserve"> PAGEREF _Toc15120 \h </w:instrText>
      </w:r>
      <w:r>
        <w:rPr>
          <w:color w:val="auto"/>
        </w:rPr>
        <w:fldChar w:fldCharType="separate"/>
      </w:r>
      <w:r>
        <w:rPr>
          <w:color w:val="auto"/>
        </w:rPr>
        <w:t>8</w:t>
      </w:r>
      <w:r>
        <w:rPr>
          <w:color w:val="auto"/>
        </w:rPr>
        <w:fldChar w:fldCharType="end"/>
      </w:r>
      <w:r>
        <w:rPr>
          <w:rFonts w:hint="eastAsia" w:ascii="宋体" w:hAnsi="宋体" w:cs="宋体"/>
          <w:bCs w:val="0"/>
          <w:color w:val="auto"/>
          <w:szCs w:val="24"/>
        </w:rPr>
        <w:fldChar w:fldCharType="end"/>
      </w:r>
    </w:p>
    <w:p>
      <w:pPr>
        <w:pStyle w:val="15"/>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_Toc6858 </w:instrText>
      </w:r>
      <w:r>
        <w:rPr>
          <w:rFonts w:hint="eastAsia" w:ascii="宋体" w:hAnsi="宋体" w:cs="宋体"/>
          <w:bCs w:val="0"/>
          <w:color w:val="auto"/>
          <w:szCs w:val="24"/>
        </w:rPr>
        <w:fldChar w:fldCharType="separate"/>
      </w:r>
      <w:r>
        <w:rPr>
          <w:rFonts w:hint="eastAsia" w:ascii="宋体" w:hAnsi="宋体" w:eastAsia="宋体" w:cs="宋体"/>
          <w:color w:val="auto"/>
          <w:highlight w:val="none"/>
        </w:rPr>
        <w:t>投标须知前附表</w:t>
      </w:r>
      <w:r>
        <w:rPr>
          <w:color w:val="auto"/>
        </w:rPr>
        <w:tab/>
      </w:r>
      <w:r>
        <w:rPr>
          <w:color w:val="auto"/>
        </w:rPr>
        <w:fldChar w:fldCharType="begin"/>
      </w:r>
      <w:r>
        <w:rPr>
          <w:color w:val="auto"/>
        </w:rPr>
        <w:instrText xml:space="preserve"> PAGEREF _Toc6858 \h </w:instrText>
      </w:r>
      <w:r>
        <w:rPr>
          <w:color w:val="auto"/>
        </w:rPr>
        <w:fldChar w:fldCharType="separate"/>
      </w:r>
      <w:r>
        <w:rPr>
          <w:color w:val="auto"/>
        </w:rPr>
        <w:t>8</w:t>
      </w:r>
      <w:r>
        <w:rPr>
          <w:color w:val="auto"/>
        </w:rPr>
        <w:fldChar w:fldCharType="end"/>
      </w:r>
      <w:r>
        <w:rPr>
          <w:rFonts w:hint="eastAsia" w:ascii="宋体" w:hAnsi="宋体" w:cs="宋体"/>
          <w:bCs w:val="0"/>
          <w:color w:val="auto"/>
          <w:szCs w:val="24"/>
        </w:rPr>
        <w:fldChar w:fldCharType="end"/>
      </w:r>
    </w:p>
    <w:p>
      <w:pPr>
        <w:pStyle w:val="20"/>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_Toc21097 </w:instrText>
      </w:r>
      <w:r>
        <w:rPr>
          <w:rFonts w:hint="eastAsia" w:ascii="宋体" w:hAnsi="宋体" w:cs="宋体"/>
          <w:bCs w:val="0"/>
          <w:color w:val="auto"/>
          <w:szCs w:val="24"/>
        </w:rPr>
        <w:fldChar w:fldCharType="separate"/>
      </w:r>
      <w:r>
        <w:rPr>
          <w:rFonts w:hint="eastAsia" w:ascii="宋体" w:hAnsi="宋体" w:eastAsia="宋体" w:cs="宋体"/>
          <w:color w:val="auto"/>
        </w:rPr>
        <w:t xml:space="preserve">第2节 </w:t>
      </w:r>
      <w:r>
        <w:rPr>
          <w:rFonts w:hint="eastAsia" w:ascii="宋体" w:hAnsi="宋体" w:eastAsia="宋体" w:cs="宋体"/>
          <w:bCs w:val="0"/>
          <w:color w:val="auto"/>
          <w:highlight w:val="none"/>
        </w:rPr>
        <w:t>投标须知</w:t>
      </w:r>
      <w:r>
        <w:rPr>
          <w:color w:val="auto"/>
        </w:rPr>
        <w:tab/>
      </w:r>
      <w:r>
        <w:rPr>
          <w:color w:val="auto"/>
        </w:rPr>
        <w:fldChar w:fldCharType="begin"/>
      </w:r>
      <w:r>
        <w:rPr>
          <w:color w:val="auto"/>
        </w:rPr>
        <w:instrText xml:space="preserve"> PAGEREF _Toc21097 \h </w:instrText>
      </w:r>
      <w:r>
        <w:rPr>
          <w:color w:val="auto"/>
        </w:rPr>
        <w:fldChar w:fldCharType="separate"/>
      </w:r>
      <w:r>
        <w:rPr>
          <w:color w:val="auto"/>
        </w:rPr>
        <w:t>14</w:t>
      </w:r>
      <w:r>
        <w:rPr>
          <w:color w:val="auto"/>
        </w:rPr>
        <w:fldChar w:fldCharType="end"/>
      </w:r>
      <w:r>
        <w:rPr>
          <w:rFonts w:hint="eastAsia" w:ascii="宋体" w:hAnsi="宋体" w:cs="宋体"/>
          <w:bCs w:val="0"/>
          <w:color w:val="auto"/>
          <w:szCs w:val="24"/>
        </w:rPr>
        <w:fldChar w:fldCharType="end"/>
      </w:r>
    </w:p>
    <w:p>
      <w:pPr>
        <w:pStyle w:val="15"/>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_Toc12951 </w:instrText>
      </w:r>
      <w:r>
        <w:rPr>
          <w:rFonts w:hint="eastAsia" w:ascii="宋体" w:hAnsi="宋体" w:cs="宋体"/>
          <w:bCs w:val="0"/>
          <w:color w:val="auto"/>
          <w:szCs w:val="24"/>
        </w:rPr>
        <w:fldChar w:fldCharType="separate"/>
      </w:r>
      <w:r>
        <w:rPr>
          <w:rFonts w:hint="eastAsia" w:ascii="宋体" w:hAnsi="宋体" w:eastAsia="宋体" w:cs="宋体"/>
          <w:color w:val="auto"/>
          <w:highlight w:val="none"/>
        </w:rPr>
        <w:t>（一）总则</w:t>
      </w:r>
      <w:r>
        <w:rPr>
          <w:color w:val="auto"/>
        </w:rPr>
        <w:tab/>
      </w:r>
      <w:r>
        <w:rPr>
          <w:color w:val="auto"/>
        </w:rPr>
        <w:fldChar w:fldCharType="begin"/>
      </w:r>
      <w:r>
        <w:rPr>
          <w:color w:val="auto"/>
        </w:rPr>
        <w:instrText xml:space="preserve"> PAGEREF _Toc12951 \h </w:instrText>
      </w:r>
      <w:r>
        <w:rPr>
          <w:color w:val="auto"/>
        </w:rPr>
        <w:fldChar w:fldCharType="separate"/>
      </w:r>
      <w:r>
        <w:rPr>
          <w:color w:val="auto"/>
        </w:rPr>
        <w:t>14</w:t>
      </w:r>
      <w:r>
        <w:rPr>
          <w:color w:val="auto"/>
        </w:rPr>
        <w:fldChar w:fldCharType="end"/>
      </w:r>
      <w:r>
        <w:rPr>
          <w:rFonts w:hint="eastAsia" w:ascii="宋体" w:hAnsi="宋体" w:cs="宋体"/>
          <w:bCs w:val="0"/>
          <w:color w:val="auto"/>
          <w:szCs w:val="24"/>
        </w:rPr>
        <w:fldChar w:fldCharType="end"/>
      </w:r>
    </w:p>
    <w:p>
      <w:pPr>
        <w:pStyle w:val="15"/>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_Toc6809 </w:instrText>
      </w:r>
      <w:r>
        <w:rPr>
          <w:rFonts w:hint="eastAsia" w:ascii="宋体" w:hAnsi="宋体" w:cs="宋体"/>
          <w:bCs w:val="0"/>
          <w:color w:val="auto"/>
          <w:szCs w:val="24"/>
        </w:rPr>
        <w:fldChar w:fldCharType="separate"/>
      </w:r>
      <w:r>
        <w:rPr>
          <w:rFonts w:hint="eastAsia" w:ascii="宋体" w:hAnsi="宋体" w:eastAsia="宋体" w:cs="宋体"/>
          <w:color w:val="auto"/>
          <w:highlight w:val="none"/>
        </w:rPr>
        <w:t>（二）招标文件</w:t>
      </w:r>
      <w:r>
        <w:rPr>
          <w:color w:val="auto"/>
        </w:rPr>
        <w:tab/>
      </w:r>
      <w:r>
        <w:rPr>
          <w:color w:val="auto"/>
        </w:rPr>
        <w:fldChar w:fldCharType="begin"/>
      </w:r>
      <w:r>
        <w:rPr>
          <w:color w:val="auto"/>
        </w:rPr>
        <w:instrText xml:space="preserve"> PAGEREF _Toc6809 \h </w:instrText>
      </w:r>
      <w:r>
        <w:rPr>
          <w:color w:val="auto"/>
        </w:rPr>
        <w:fldChar w:fldCharType="separate"/>
      </w:r>
      <w:r>
        <w:rPr>
          <w:color w:val="auto"/>
        </w:rPr>
        <w:t>16</w:t>
      </w:r>
      <w:r>
        <w:rPr>
          <w:color w:val="auto"/>
        </w:rPr>
        <w:fldChar w:fldCharType="end"/>
      </w:r>
      <w:r>
        <w:rPr>
          <w:rFonts w:hint="eastAsia" w:ascii="宋体" w:hAnsi="宋体" w:cs="宋体"/>
          <w:bCs w:val="0"/>
          <w:color w:val="auto"/>
          <w:szCs w:val="24"/>
        </w:rPr>
        <w:fldChar w:fldCharType="end"/>
      </w:r>
    </w:p>
    <w:p>
      <w:pPr>
        <w:pStyle w:val="15"/>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_Toc12253 </w:instrText>
      </w:r>
      <w:r>
        <w:rPr>
          <w:rFonts w:hint="eastAsia" w:ascii="宋体" w:hAnsi="宋体" w:cs="宋体"/>
          <w:bCs w:val="0"/>
          <w:color w:val="auto"/>
          <w:szCs w:val="24"/>
        </w:rPr>
        <w:fldChar w:fldCharType="separate"/>
      </w:r>
      <w:r>
        <w:rPr>
          <w:rFonts w:hint="eastAsia" w:ascii="宋体" w:hAnsi="宋体" w:eastAsia="宋体" w:cs="宋体"/>
          <w:color w:val="auto"/>
          <w:highlight w:val="none"/>
        </w:rPr>
        <w:t>（三）投标文件</w:t>
      </w:r>
      <w:r>
        <w:rPr>
          <w:color w:val="auto"/>
        </w:rPr>
        <w:tab/>
      </w:r>
      <w:r>
        <w:rPr>
          <w:color w:val="auto"/>
        </w:rPr>
        <w:fldChar w:fldCharType="begin"/>
      </w:r>
      <w:r>
        <w:rPr>
          <w:color w:val="auto"/>
        </w:rPr>
        <w:instrText xml:space="preserve"> PAGEREF _Toc12253 \h </w:instrText>
      </w:r>
      <w:r>
        <w:rPr>
          <w:color w:val="auto"/>
        </w:rPr>
        <w:fldChar w:fldCharType="separate"/>
      </w:r>
      <w:r>
        <w:rPr>
          <w:color w:val="auto"/>
        </w:rPr>
        <w:t>17</w:t>
      </w:r>
      <w:r>
        <w:rPr>
          <w:color w:val="auto"/>
        </w:rPr>
        <w:fldChar w:fldCharType="end"/>
      </w:r>
      <w:r>
        <w:rPr>
          <w:rFonts w:hint="eastAsia" w:ascii="宋体" w:hAnsi="宋体" w:cs="宋体"/>
          <w:bCs w:val="0"/>
          <w:color w:val="auto"/>
          <w:szCs w:val="24"/>
        </w:rPr>
        <w:fldChar w:fldCharType="end"/>
      </w:r>
    </w:p>
    <w:p>
      <w:pPr>
        <w:pStyle w:val="15"/>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_Toc4967 </w:instrText>
      </w:r>
      <w:r>
        <w:rPr>
          <w:rFonts w:hint="eastAsia" w:ascii="宋体" w:hAnsi="宋体" w:cs="宋体"/>
          <w:bCs w:val="0"/>
          <w:color w:val="auto"/>
          <w:szCs w:val="24"/>
        </w:rPr>
        <w:fldChar w:fldCharType="separate"/>
      </w:r>
      <w:r>
        <w:rPr>
          <w:rFonts w:hint="eastAsia" w:ascii="宋体" w:hAnsi="宋体" w:eastAsia="宋体" w:cs="宋体"/>
          <w:color w:val="auto"/>
          <w:highlight w:val="none"/>
        </w:rPr>
        <w:t>（四）投    标</w:t>
      </w:r>
      <w:r>
        <w:rPr>
          <w:color w:val="auto"/>
        </w:rPr>
        <w:tab/>
      </w:r>
      <w:r>
        <w:rPr>
          <w:color w:val="auto"/>
        </w:rPr>
        <w:fldChar w:fldCharType="begin"/>
      </w:r>
      <w:r>
        <w:rPr>
          <w:color w:val="auto"/>
        </w:rPr>
        <w:instrText xml:space="preserve"> PAGEREF _Toc4967 \h </w:instrText>
      </w:r>
      <w:r>
        <w:rPr>
          <w:color w:val="auto"/>
        </w:rPr>
        <w:fldChar w:fldCharType="separate"/>
      </w:r>
      <w:r>
        <w:rPr>
          <w:color w:val="auto"/>
        </w:rPr>
        <w:t>19</w:t>
      </w:r>
      <w:r>
        <w:rPr>
          <w:color w:val="auto"/>
        </w:rPr>
        <w:fldChar w:fldCharType="end"/>
      </w:r>
      <w:r>
        <w:rPr>
          <w:rFonts w:hint="eastAsia" w:ascii="宋体" w:hAnsi="宋体" w:cs="宋体"/>
          <w:bCs w:val="0"/>
          <w:color w:val="auto"/>
          <w:szCs w:val="24"/>
        </w:rPr>
        <w:fldChar w:fldCharType="end"/>
      </w:r>
    </w:p>
    <w:p>
      <w:pPr>
        <w:pStyle w:val="15"/>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_Toc7483 </w:instrText>
      </w:r>
      <w:r>
        <w:rPr>
          <w:rFonts w:hint="eastAsia" w:ascii="宋体" w:hAnsi="宋体" w:cs="宋体"/>
          <w:bCs w:val="0"/>
          <w:color w:val="auto"/>
          <w:szCs w:val="24"/>
        </w:rPr>
        <w:fldChar w:fldCharType="separate"/>
      </w:r>
      <w:r>
        <w:rPr>
          <w:rFonts w:hint="eastAsia" w:ascii="宋体" w:hAnsi="宋体" w:eastAsia="宋体" w:cs="宋体"/>
          <w:color w:val="auto"/>
          <w:highlight w:val="none"/>
        </w:rPr>
        <w:t>（五）开    标</w:t>
      </w:r>
      <w:r>
        <w:rPr>
          <w:color w:val="auto"/>
        </w:rPr>
        <w:tab/>
      </w:r>
      <w:r>
        <w:rPr>
          <w:color w:val="auto"/>
        </w:rPr>
        <w:fldChar w:fldCharType="begin"/>
      </w:r>
      <w:r>
        <w:rPr>
          <w:color w:val="auto"/>
        </w:rPr>
        <w:instrText xml:space="preserve"> PAGEREF _Toc7483 \h </w:instrText>
      </w:r>
      <w:r>
        <w:rPr>
          <w:color w:val="auto"/>
        </w:rPr>
        <w:fldChar w:fldCharType="separate"/>
      </w:r>
      <w:r>
        <w:rPr>
          <w:color w:val="auto"/>
        </w:rPr>
        <w:t>19</w:t>
      </w:r>
      <w:r>
        <w:rPr>
          <w:color w:val="auto"/>
        </w:rPr>
        <w:fldChar w:fldCharType="end"/>
      </w:r>
      <w:r>
        <w:rPr>
          <w:rFonts w:hint="eastAsia" w:ascii="宋体" w:hAnsi="宋体" w:cs="宋体"/>
          <w:bCs w:val="0"/>
          <w:color w:val="auto"/>
          <w:szCs w:val="24"/>
        </w:rPr>
        <w:fldChar w:fldCharType="end"/>
      </w:r>
    </w:p>
    <w:p>
      <w:pPr>
        <w:pStyle w:val="15"/>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_Toc18202 </w:instrText>
      </w:r>
      <w:r>
        <w:rPr>
          <w:rFonts w:hint="eastAsia" w:ascii="宋体" w:hAnsi="宋体" w:cs="宋体"/>
          <w:bCs w:val="0"/>
          <w:color w:val="auto"/>
          <w:szCs w:val="24"/>
        </w:rPr>
        <w:fldChar w:fldCharType="separate"/>
      </w:r>
      <w:r>
        <w:rPr>
          <w:rFonts w:hint="eastAsia" w:ascii="宋体" w:hAnsi="宋体" w:eastAsia="宋体" w:cs="宋体"/>
          <w:color w:val="auto"/>
          <w:highlight w:val="none"/>
        </w:rPr>
        <w:t>（六）评    标</w:t>
      </w:r>
      <w:r>
        <w:rPr>
          <w:color w:val="auto"/>
        </w:rPr>
        <w:tab/>
      </w:r>
      <w:r>
        <w:rPr>
          <w:color w:val="auto"/>
        </w:rPr>
        <w:fldChar w:fldCharType="begin"/>
      </w:r>
      <w:r>
        <w:rPr>
          <w:color w:val="auto"/>
        </w:rPr>
        <w:instrText xml:space="preserve"> PAGEREF _Toc18202 \h </w:instrText>
      </w:r>
      <w:r>
        <w:rPr>
          <w:color w:val="auto"/>
        </w:rPr>
        <w:fldChar w:fldCharType="separate"/>
      </w:r>
      <w:r>
        <w:rPr>
          <w:color w:val="auto"/>
        </w:rPr>
        <w:t>19</w:t>
      </w:r>
      <w:r>
        <w:rPr>
          <w:color w:val="auto"/>
        </w:rPr>
        <w:fldChar w:fldCharType="end"/>
      </w:r>
      <w:r>
        <w:rPr>
          <w:rFonts w:hint="eastAsia" w:ascii="宋体" w:hAnsi="宋体" w:cs="宋体"/>
          <w:bCs w:val="0"/>
          <w:color w:val="auto"/>
          <w:szCs w:val="24"/>
        </w:rPr>
        <w:fldChar w:fldCharType="end"/>
      </w:r>
    </w:p>
    <w:p>
      <w:pPr>
        <w:pStyle w:val="15"/>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_Toc1370 </w:instrText>
      </w:r>
      <w:r>
        <w:rPr>
          <w:rFonts w:hint="eastAsia" w:ascii="宋体" w:hAnsi="宋体" w:cs="宋体"/>
          <w:bCs w:val="0"/>
          <w:color w:val="auto"/>
          <w:szCs w:val="24"/>
        </w:rPr>
        <w:fldChar w:fldCharType="separate"/>
      </w:r>
      <w:r>
        <w:rPr>
          <w:rFonts w:hint="eastAsia" w:ascii="宋体" w:hAnsi="宋体" w:eastAsia="宋体" w:cs="宋体"/>
          <w:color w:val="auto"/>
          <w:highlight w:val="none"/>
        </w:rPr>
        <w:t>（七）中标</w:t>
      </w:r>
      <w:r>
        <w:rPr>
          <w:color w:val="auto"/>
        </w:rPr>
        <w:tab/>
      </w:r>
      <w:r>
        <w:rPr>
          <w:color w:val="auto"/>
        </w:rPr>
        <w:fldChar w:fldCharType="begin"/>
      </w:r>
      <w:r>
        <w:rPr>
          <w:color w:val="auto"/>
        </w:rPr>
        <w:instrText xml:space="preserve"> PAGEREF _Toc1370 \h </w:instrText>
      </w:r>
      <w:r>
        <w:rPr>
          <w:color w:val="auto"/>
        </w:rPr>
        <w:fldChar w:fldCharType="separate"/>
      </w:r>
      <w:r>
        <w:rPr>
          <w:color w:val="auto"/>
        </w:rPr>
        <w:t>21</w:t>
      </w:r>
      <w:r>
        <w:rPr>
          <w:color w:val="auto"/>
        </w:rPr>
        <w:fldChar w:fldCharType="end"/>
      </w:r>
      <w:r>
        <w:rPr>
          <w:rFonts w:hint="eastAsia" w:ascii="宋体" w:hAnsi="宋体" w:cs="宋体"/>
          <w:bCs w:val="0"/>
          <w:color w:val="auto"/>
          <w:szCs w:val="24"/>
        </w:rPr>
        <w:fldChar w:fldCharType="end"/>
      </w:r>
    </w:p>
    <w:p>
      <w:pPr>
        <w:pStyle w:val="15"/>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_Toc8499 </w:instrText>
      </w:r>
      <w:r>
        <w:rPr>
          <w:rFonts w:hint="eastAsia" w:ascii="宋体" w:hAnsi="宋体" w:cs="宋体"/>
          <w:bCs w:val="0"/>
          <w:color w:val="auto"/>
          <w:szCs w:val="24"/>
        </w:rPr>
        <w:fldChar w:fldCharType="separate"/>
      </w:r>
      <w:r>
        <w:rPr>
          <w:rFonts w:hint="eastAsia" w:ascii="宋体" w:hAnsi="宋体" w:eastAsia="宋体" w:cs="宋体"/>
          <w:color w:val="auto"/>
          <w:highlight w:val="none"/>
        </w:rPr>
        <w:t>（八）异议、投诉</w:t>
      </w:r>
      <w:r>
        <w:rPr>
          <w:color w:val="auto"/>
        </w:rPr>
        <w:tab/>
      </w:r>
      <w:r>
        <w:rPr>
          <w:color w:val="auto"/>
        </w:rPr>
        <w:fldChar w:fldCharType="begin"/>
      </w:r>
      <w:r>
        <w:rPr>
          <w:color w:val="auto"/>
        </w:rPr>
        <w:instrText xml:space="preserve"> PAGEREF _Toc8499 \h </w:instrText>
      </w:r>
      <w:r>
        <w:rPr>
          <w:color w:val="auto"/>
        </w:rPr>
        <w:fldChar w:fldCharType="separate"/>
      </w:r>
      <w:r>
        <w:rPr>
          <w:color w:val="auto"/>
        </w:rPr>
        <w:t>23</w:t>
      </w:r>
      <w:r>
        <w:rPr>
          <w:color w:val="auto"/>
        </w:rPr>
        <w:fldChar w:fldCharType="end"/>
      </w:r>
      <w:r>
        <w:rPr>
          <w:rFonts w:hint="eastAsia" w:ascii="宋体" w:hAnsi="宋体" w:cs="宋体"/>
          <w:bCs w:val="0"/>
          <w:color w:val="auto"/>
          <w:szCs w:val="24"/>
        </w:rPr>
        <w:fldChar w:fldCharType="end"/>
      </w:r>
    </w:p>
    <w:p>
      <w:pPr>
        <w:pStyle w:val="15"/>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_Toc27468 </w:instrText>
      </w:r>
      <w:r>
        <w:rPr>
          <w:rFonts w:hint="eastAsia" w:ascii="宋体" w:hAnsi="宋体" w:cs="宋体"/>
          <w:bCs w:val="0"/>
          <w:color w:val="auto"/>
          <w:szCs w:val="24"/>
        </w:rPr>
        <w:fldChar w:fldCharType="separate"/>
      </w:r>
      <w:r>
        <w:rPr>
          <w:rFonts w:hint="eastAsia" w:ascii="宋体" w:hAnsi="宋体" w:eastAsia="宋体" w:cs="宋体"/>
          <w:color w:val="auto"/>
          <w:highlight w:val="none"/>
        </w:rPr>
        <w:t>（九）其他</w:t>
      </w:r>
      <w:r>
        <w:rPr>
          <w:color w:val="auto"/>
        </w:rPr>
        <w:tab/>
      </w:r>
      <w:r>
        <w:rPr>
          <w:color w:val="auto"/>
        </w:rPr>
        <w:fldChar w:fldCharType="begin"/>
      </w:r>
      <w:r>
        <w:rPr>
          <w:color w:val="auto"/>
        </w:rPr>
        <w:instrText xml:space="preserve"> PAGEREF _Toc27468 \h </w:instrText>
      </w:r>
      <w:r>
        <w:rPr>
          <w:color w:val="auto"/>
        </w:rPr>
        <w:fldChar w:fldCharType="separate"/>
      </w:r>
      <w:r>
        <w:rPr>
          <w:color w:val="auto"/>
        </w:rPr>
        <w:t>24</w:t>
      </w:r>
      <w:r>
        <w:rPr>
          <w:color w:val="auto"/>
        </w:rPr>
        <w:fldChar w:fldCharType="end"/>
      </w:r>
      <w:r>
        <w:rPr>
          <w:rFonts w:hint="eastAsia" w:ascii="宋体" w:hAnsi="宋体" w:cs="宋体"/>
          <w:bCs w:val="0"/>
          <w:color w:val="auto"/>
          <w:szCs w:val="24"/>
        </w:rPr>
        <w:fldChar w:fldCharType="end"/>
      </w:r>
    </w:p>
    <w:p>
      <w:pPr>
        <w:pStyle w:val="18"/>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_Toc4040 </w:instrText>
      </w:r>
      <w:r>
        <w:rPr>
          <w:rFonts w:hint="eastAsia" w:ascii="宋体" w:hAnsi="宋体" w:cs="宋体"/>
          <w:bCs w:val="0"/>
          <w:color w:val="auto"/>
          <w:szCs w:val="24"/>
        </w:rPr>
        <w:fldChar w:fldCharType="separate"/>
      </w:r>
      <w:r>
        <w:rPr>
          <w:rFonts w:hint="eastAsia" w:ascii="宋体" w:hAnsi="宋体" w:eastAsia="宋体" w:cs="宋体"/>
          <w:i w:val="0"/>
          <w:color w:val="auto"/>
        </w:rPr>
        <w:t xml:space="preserve">第 3 章 </w:t>
      </w:r>
      <w:r>
        <w:rPr>
          <w:rFonts w:hint="eastAsia" w:ascii="宋体" w:hAnsi="宋体" w:eastAsia="宋体" w:cs="宋体"/>
          <w:color w:val="auto"/>
          <w:highlight w:val="none"/>
        </w:rPr>
        <w:t>评标办法和标准</w:t>
      </w:r>
      <w:r>
        <w:rPr>
          <w:color w:val="auto"/>
        </w:rPr>
        <w:tab/>
      </w:r>
      <w:r>
        <w:rPr>
          <w:color w:val="auto"/>
        </w:rPr>
        <w:fldChar w:fldCharType="begin"/>
      </w:r>
      <w:r>
        <w:rPr>
          <w:color w:val="auto"/>
        </w:rPr>
        <w:instrText xml:space="preserve"> PAGEREF _Toc4040 \h </w:instrText>
      </w:r>
      <w:r>
        <w:rPr>
          <w:color w:val="auto"/>
        </w:rPr>
        <w:fldChar w:fldCharType="separate"/>
      </w:r>
      <w:r>
        <w:rPr>
          <w:color w:val="auto"/>
        </w:rPr>
        <w:t>25</w:t>
      </w:r>
      <w:r>
        <w:rPr>
          <w:color w:val="auto"/>
        </w:rPr>
        <w:fldChar w:fldCharType="end"/>
      </w:r>
      <w:r>
        <w:rPr>
          <w:rFonts w:hint="eastAsia" w:ascii="宋体" w:hAnsi="宋体" w:cs="宋体"/>
          <w:bCs w:val="0"/>
          <w:color w:val="auto"/>
          <w:szCs w:val="24"/>
        </w:rPr>
        <w:fldChar w:fldCharType="end"/>
      </w:r>
    </w:p>
    <w:p>
      <w:pPr>
        <w:pStyle w:val="20"/>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_Toc18159 </w:instrText>
      </w:r>
      <w:r>
        <w:rPr>
          <w:rFonts w:hint="eastAsia" w:ascii="宋体" w:hAnsi="宋体" w:cs="宋体"/>
          <w:bCs w:val="0"/>
          <w:color w:val="auto"/>
          <w:szCs w:val="24"/>
        </w:rPr>
        <w:fldChar w:fldCharType="separate"/>
      </w:r>
      <w:r>
        <w:rPr>
          <w:rFonts w:hint="eastAsia" w:ascii="宋体" w:hAnsi="宋体" w:eastAsia="宋体" w:cs="宋体"/>
          <w:color w:val="auto"/>
        </w:rPr>
        <w:t xml:space="preserve">第1节 </w:t>
      </w:r>
      <w:r>
        <w:rPr>
          <w:rFonts w:hint="eastAsia" w:ascii="宋体" w:hAnsi="宋体" w:eastAsia="宋体" w:cs="宋体"/>
          <w:color w:val="auto"/>
          <w:highlight w:val="none"/>
        </w:rPr>
        <w:t>评标办法和标准数据表</w:t>
      </w:r>
      <w:r>
        <w:rPr>
          <w:color w:val="auto"/>
        </w:rPr>
        <w:tab/>
      </w:r>
      <w:r>
        <w:rPr>
          <w:color w:val="auto"/>
        </w:rPr>
        <w:fldChar w:fldCharType="begin"/>
      </w:r>
      <w:r>
        <w:rPr>
          <w:color w:val="auto"/>
        </w:rPr>
        <w:instrText xml:space="preserve"> PAGEREF _Toc18159 \h </w:instrText>
      </w:r>
      <w:r>
        <w:rPr>
          <w:color w:val="auto"/>
        </w:rPr>
        <w:fldChar w:fldCharType="separate"/>
      </w:r>
      <w:r>
        <w:rPr>
          <w:color w:val="auto"/>
        </w:rPr>
        <w:t>26</w:t>
      </w:r>
      <w:r>
        <w:rPr>
          <w:color w:val="auto"/>
        </w:rPr>
        <w:fldChar w:fldCharType="end"/>
      </w:r>
      <w:r>
        <w:rPr>
          <w:rFonts w:hint="eastAsia" w:ascii="宋体" w:hAnsi="宋体" w:cs="宋体"/>
          <w:bCs w:val="0"/>
          <w:color w:val="auto"/>
          <w:szCs w:val="24"/>
        </w:rPr>
        <w:fldChar w:fldCharType="end"/>
      </w:r>
    </w:p>
    <w:p>
      <w:pPr>
        <w:pStyle w:val="20"/>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_Toc27860 </w:instrText>
      </w:r>
      <w:r>
        <w:rPr>
          <w:rFonts w:hint="eastAsia" w:ascii="宋体" w:hAnsi="宋体" w:cs="宋体"/>
          <w:bCs w:val="0"/>
          <w:color w:val="auto"/>
          <w:szCs w:val="24"/>
        </w:rPr>
        <w:fldChar w:fldCharType="separate"/>
      </w:r>
      <w:r>
        <w:rPr>
          <w:rFonts w:hint="eastAsia" w:ascii="宋体" w:hAnsi="宋体" w:eastAsia="宋体" w:cs="宋体"/>
          <w:color w:val="auto"/>
        </w:rPr>
        <w:t xml:space="preserve">第2节 </w:t>
      </w:r>
      <w:r>
        <w:rPr>
          <w:rFonts w:hint="eastAsia" w:ascii="宋体" w:hAnsi="宋体" w:eastAsia="宋体" w:cs="宋体"/>
          <w:bCs w:val="0"/>
          <w:color w:val="auto"/>
          <w:highlight w:val="none"/>
        </w:rPr>
        <w:t>评标办法和标准</w:t>
      </w:r>
      <w:r>
        <w:rPr>
          <w:color w:val="auto"/>
        </w:rPr>
        <w:tab/>
      </w:r>
      <w:r>
        <w:rPr>
          <w:color w:val="auto"/>
        </w:rPr>
        <w:fldChar w:fldCharType="begin"/>
      </w:r>
      <w:r>
        <w:rPr>
          <w:color w:val="auto"/>
        </w:rPr>
        <w:instrText xml:space="preserve"> PAGEREF _Toc27860 \h </w:instrText>
      </w:r>
      <w:r>
        <w:rPr>
          <w:color w:val="auto"/>
        </w:rPr>
        <w:fldChar w:fldCharType="separate"/>
      </w:r>
      <w:r>
        <w:rPr>
          <w:color w:val="auto"/>
        </w:rPr>
        <w:t>28</w:t>
      </w:r>
      <w:r>
        <w:rPr>
          <w:color w:val="auto"/>
        </w:rPr>
        <w:fldChar w:fldCharType="end"/>
      </w:r>
      <w:r>
        <w:rPr>
          <w:rFonts w:hint="eastAsia" w:ascii="宋体" w:hAnsi="宋体" w:cs="宋体"/>
          <w:bCs w:val="0"/>
          <w:color w:val="auto"/>
          <w:szCs w:val="24"/>
        </w:rPr>
        <w:fldChar w:fldCharType="end"/>
      </w:r>
    </w:p>
    <w:p>
      <w:pPr>
        <w:pStyle w:val="15"/>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_Toc11653 </w:instrText>
      </w:r>
      <w:r>
        <w:rPr>
          <w:rFonts w:hint="eastAsia" w:ascii="宋体" w:hAnsi="宋体" w:cs="宋体"/>
          <w:bCs w:val="0"/>
          <w:color w:val="auto"/>
          <w:szCs w:val="24"/>
        </w:rPr>
        <w:fldChar w:fldCharType="separate"/>
      </w:r>
      <w:r>
        <w:rPr>
          <w:rFonts w:hint="eastAsia" w:ascii="宋体" w:hAnsi="宋体" w:eastAsia="宋体" w:cs="宋体"/>
          <w:color w:val="auto"/>
          <w:szCs w:val="30"/>
          <w:highlight w:val="none"/>
        </w:rPr>
        <w:t>简易评标法</w:t>
      </w:r>
      <w:r>
        <w:rPr>
          <w:color w:val="auto"/>
        </w:rPr>
        <w:tab/>
      </w:r>
      <w:r>
        <w:rPr>
          <w:color w:val="auto"/>
        </w:rPr>
        <w:fldChar w:fldCharType="begin"/>
      </w:r>
      <w:r>
        <w:rPr>
          <w:color w:val="auto"/>
        </w:rPr>
        <w:instrText xml:space="preserve"> PAGEREF _Toc11653 \h </w:instrText>
      </w:r>
      <w:r>
        <w:rPr>
          <w:color w:val="auto"/>
        </w:rPr>
        <w:fldChar w:fldCharType="separate"/>
      </w:r>
      <w:r>
        <w:rPr>
          <w:color w:val="auto"/>
        </w:rPr>
        <w:t>28</w:t>
      </w:r>
      <w:r>
        <w:rPr>
          <w:color w:val="auto"/>
        </w:rPr>
        <w:fldChar w:fldCharType="end"/>
      </w:r>
      <w:r>
        <w:rPr>
          <w:rFonts w:hint="eastAsia" w:ascii="宋体" w:hAnsi="宋体" w:cs="宋体"/>
          <w:bCs w:val="0"/>
          <w:color w:val="auto"/>
          <w:szCs w:val="24"/>
        </w:rPr>
        <w:fldChar w:fldCharType="end"/>
      </w:r>
    </w:p>
    <w:p>
      <w:pPr>
        <w:pStyle w:val="18"/>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_Toc22272 </w:instrText>
      </w:r>
      <w:r>
        <w:rPr>
          <w:rFonts w:hint="eastAsia" w:ascii="宋体" w:hAnsi="宋体" w:cs="宋体"/>
          <w:bCs w:val="0"/>
          <w:color w:val="auto"/>
          <w:szCs w:val="24"/>
        </w:rPr>
        <w:fldChar w:fldCharType="separate"/>
      </w:r>
      <w:r>
        <w:rPr>
          <w:rFonts w:hint="eastAsia" w:ascii="宋体" w:hAnsi="宋体" w:eastAsia="宋体" w:cs="宋体"/>
          <w:i w:val="0"/>
          <w:color w:val="auto"/>
        </w:rPr>
        <w:t xml:space="preserve">第 4 章 </w:t>
      </w:r>
      <w:r>
        <w:rPr>
          <w:rFonts w:hint="eastAsia" w:ascii="宋体" w:hAnsi="宋体" w:eastAsia="宋体" w:cs="宋体"/>
          <w:color w:val="auto"/>
          <w:highlight w:val="none"/>
        </w:rPr>
        <w:t>合同条款及格式</w:t>
      </w:r>
      <w:r>
        <w:rPr>
          <w:color w:val="auto"/>
        </w:rPr>
        <w:tab/>
      </w:r>
      <w:r>
        <w:rPr>
          <w:color w:val="auto"/>
        </w:rPr>
        <w:fldChar w:fldCharType="begin"/>
      </w:r>
      <w:r>
        <w:rPr>
          <w:color w:val="auto"/>
        </w:rPr>
        <w:instrText xml:space="preserve"> PAGEREF _Toc22272 \h </w:instrText>
      </w:r>
      <w:r>
        <w:rPr>
          <w:color w:val="auto"/>
        </w:rPr>
        <w:fldChar w:fldCharType="separate"/>
      </w:r>
      <w:r>
        <w:rPr>
          <w:color w:val="auto"/>
        </w:rPr>
        <w:t>32</w:t>
      </w:r>
      <w:r>
        <w:rPr>
          <w:color w:val="auto"/>
        </w:rPr>
        <w:fldChar w:fldCharType="end"/>
      </w:r>
      <w:r>
        <w:rPr>
          <w:rFonts w:hint="eastAsia" w:ascii="宋体" w:hAnsi="宋体" w:cs="宋体"/>
          <w:bCs w:val="0"/>
          <w:color w:val="auto"/>
          <w:szCs w:val="24"/>
        </w:rPr>
        <w:fldChar w:fldCharType="end"/>
      </w:r>
    </w:p>
    <w:p>
      <w:pPr>
        <w:pStyle w:val="18"/>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_Toc27390 </w:instrText>
      </w:r>
      <w:r>
        <w:rPr>
          <w:rFonts w:hint="eastAsia" w:ascii="宋体" w:hAnsi="宋体" w:cs="宋体"/>
          <w:bCs w:val="0"/>
          <w:color w:val="auto"/>
          <w:szCs w:val="24"/>
        </w:rPr>
        <w:fldChar w:fldCharType="separate"/>
      </w:r>
      <w:r>
        <w:rPr>
          <w:rFonts w:hint="eastAsia" w:ascii="宋体" w:hAnsi="宋体" w:eastAsia="宋体" w:cs="宋体"/>
          <w:i w:val="0"/>
          <w:color w:val="auto"/>
        </w:rPr>
        <w:t xml:space="preserve">第 5 章 </w:t>
      </w:r>
      <w:r>
        <w:rPr>
          <w:rFonts w:hint="eastAsia" w:ascii="宋体" w:hAnsi="宋体" w:eastAsia="宋体" w:cs="宋体"/>
          <w:color w:val="auto"/>
          <w:highlight w:val="none"/>
        </w:rPr>
        <w:t>工程量清单及计价</w:t>
      </w:r>
      <w:r>
        <w:rPr>
          <w:color w:val="auto"/>
        </w:rPr>
        <w:tab/>
      </w:r>
      <w:r>
        <w:rPr>
          <w:color w:val="auto"/>
        </w:rPr>
        <w:fldChar w:fldCharType="begin"/>
      </w:r>
      <w:r>
        <w:rPr>
          <w:color w:val="auto"/>
        </w:rPr>
        <w:instrText xml:space="preserve"> PAGEREF _Toc27390 \h </w:instrText>
      </w:r>
      <w:r>
        <w:rPr>
          <w:color w:val="auto"/>
        </w:rPr>
        <w:fldChar w:fldCharType="separate"/>
      </w:r>
      <w:r>
        <w:rPr>
          <w:color w:val="auto"/>
        </w:rPr>
        <w:t>65</w:t>
      </w:r>
      <w:r>
        <w:rPr>
          <w:color w:val="auto"/>
        </w:rPr>
        <w:fldChar w:fldCharType="end"/>
      </w:r>
      <w:r>
        <w:rPr>
          <w:rFonts w:hint="eastAsia" w:ascii="宋体" w:hAnsi="宋体" w:cs="宋体"/>
          <w:bCs w:val="0"/>
          <w:color w:val="auto"/>
          <w:szCs w:val="24"/>
        </w:rPr>
        <w:fldChar w:fldCharType="end"/>
      </w:r>
    </w:p>
    <w:p>
      <w:pPr>
        <w:pStyle w:val="18"/>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_Toc22496 </w:instrText>
      </w:r>
      <w:r>
        <w:rPr>
          <w:rFonts w:hint="eastAsia" w:ascii="宋体" w:hAnsi="宋体" w:cs="宋体"/>
          <w:bCs w:val="0"/>
          <w:color w:val="auto"/>
          <w:szCs w:val="24"/>
        </w:rPr>
        <w:fldChar w:fldCharType="separate"/>
      </w:r>
      <w:r>
        <w:rPr>
          <w:rFonts w:hint="eastAsia" w:ascii="宋体" w:hAnsi="宋体" w:eastAsia="宋体" w:cs="宋体"/>
          <w:i w:val="0"/>
          <w:color w:val="auto"/>
        </w:rPr>
        <w:t xml:space="preserve">第 6 章 </w:t>
      </w:r>
      <w:r>
        <w:rPr>
          <w:rFonts w:hint="eastAsia" w:ascii="宋体" w:hAnsi="宋体" w:eastAsia="宋体" w:cs="宋体"/>
          <w:color w:val="auto"/>
          <w:highlight w:val="none"/>
        </w:rPr>
        <w:t>招标图纸</w:t>
      </w:r>
      <w:r>
        <w:rPr>
          <w:color w:val="auto"/>
        </w:rPr>
        <w:tab/>
      </w:r>
      <w:r>
        <w:rPr>
          <w:color w:val="auto"/>
        </w:rPr>
        <w:fldChar w:fldCharType="begin"/>
      </w:r>
      <w:r>
        <w:rPr>
          <w:color w:val="auto"/>
        </w:rPr>
        <w:instrText xml:space="preserve"> PAGEREF _Toc22496 \h </w:instrText>
      </w:r>
      <w:r>
        <w:rPr>
          <w:color w:val="auto"/>
        </w:rPr>
        <w:fldChar w:fldCharType="separate"/>
      </w:r>
      <w:r>
        <w:rPr>
          <w:color w:val="auto"/>
        </w:rPr>
        <w:t>70</w:t>
      </w:r>
      <w:r>
        <w:rPr>
          <w:color w:val="auto"/>
        </w:rPr>
        <w:fldChar w:fldCharType="end"/>
      </w:r>
      <w:r>
        <w:rPr>
          <w:rFonts w:hint="eastAsia" w:ascii="宋体" w:hAnsi="宋体" w:cs="宋体"/>
          <w:bCs w:val="0"/>
          <w:color w:val="auto"/>
          <w:szCs w:val="24"/>
        </w:rPr>
        <w:fldChar w:fldCharType="end"/>
      </w:r>
    </w:p>
    <w:p>
      <w:pPr>
        <w:pStyle w:val="18"/>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_Toc4819 </w:instrText>
      </w:r>
      <w:r>
        <w:rPr>
          <w:rFonts w:hint="eastAsia" w:ascii="宋体" w:hAnsi="宋体" w:cs="宋体"/>
          <w:bCs w:val="0"/>
          <w:color w:val="auto"/>
          <w:szCs w:val="24"/>
        </w:rPr>
        <w:fldChar w:fldCharType="separate"/>
      </w:r>
      <w:r>
        <w:rPr>
          <w:rFonts w:hint="eastAsia" w:ascii="宋体" w:hAnsi="宋体" w:eastAsia="宋体" w:cs="宋体"/>
          <w:i w:val="0"/>
          <w:color w:val="auto"/>
        </w:rPr>
        <w:t xml:space="preserve">第 7 章 </w:t>
      </w:r>
      <w:r>
        <w:rPr>
          <w:rFonts w:hint="eastAsia" w:ascii="宋体" w:hAnsi="宋体" w:eastAsia="宋体" w:cs="宋体"/>
          <w:color w:val="auto"/>
          <w:highlight w:val="none"/>
        </w:rPr>
        <w:t>技术标准和要求</w:t>
      </w:r>
      <w:r>
        <w:rPr>
          <w:color w:val="auto"/>
        </w:rPr>
        <w:tab/>
      </w:r>
      <w:r>
        <w:rPr>
          <w:color w:val="auto"/>
        </w:rPr>
        <w:fldChar w:fldCharType="begin"/>
      </w:r>
      <w:r>
        <w:rPr>
          <w:color w:val="auto"/>
        </w:rPr>
        <w:instrText xml:space="preserve"> PAGEREF _Toc4819 \h </w:instrText>
      </w:r>
      <w:r>
        <w:rPr>
          <w:color w:val="auto"/>
        </w:rPr>
        <w:fldChar w:fldCharType="separate"/>
      </w:r>
      <w:r>
        <w:rPr>
          <w:color w:val="auto"/>
        </w:rPr>
        <w:t>71</w:t>
      </w:r>
      <w:r>
        <w:rPr>
          <w:color w:val="auto"/>
        </w:rPr>
        <w:fldChar w:fldCharType="end"/>
      </w:r>
      <w:r>
        <w:rPr>
          <w:rFonts w:hint="eastAsia" w:ascii="宋体" w:hAnsi="宋体" w:cs="宋体"/>
          <w:bCs w:val="0"/>
          <w:color w:val="auto"/>
          <w:szCs w:val="24"/>
        </w:rPr>
        <w:fldChar w:fldCharType="end"/>
      </w:r>
    </w:p>
    <w:p>
      <w:pPr>
        <w:pStyle w:val="18"/>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_Toc6306 </w:instrText>
      </w:r>
      <w:r>
        <w:rPr>
          <w:rFonts w:hint="eastAsia" w:ascii="宋体" w:hAnsi="宋体" w:cs="宋体"/>
          <w:bCs w:val="0"/>
          <w:color w:val="auto"/>
          <w:szCs w:val="24"/>
        </w:rPr>
        <w:fldChar w:fldCharType="separate"/>
      </w:r>
      <w:r>
        <w:rPr>
          <w:rFonts w:hint="eastAsia" w:ascii="宋体" w:hAnsi="宋体" w:eastAsia="宋体" w:cs="宋体"/>
          <w:i w:val="0"/>
          <w:color w:val="auto"/>
        </w:rPr>
        <w:t xml:space="preserve">第 8 章 </w:t>
      </w:r>
      <w:r>
        <w:rPr>
          <w:rFonts w:hint="eastAsia" w:ascii="宋体" w:hAnsi="宋体" w:eastAsia="宋体" w:cs="宋体"/>
          <w:color w:val="auto"/>
          <w:highlight w:val="none"/>
        </w:rPr>
        <w:t>投标文件格式</w:t>
      </w:r>
      <w:r>
        <w:rPr>
          <w:color w:val="auto"/>
        </w:rPr>
        <w:tab/>
      </w:r>
      <w:r>
        <w:rPr>
          <w:color w:val="auto"/>
        </w:rPr>
        <w:fldChar w:fldCharType="begin"/>
      </w:r>
      <w:r>
        <w:rPr>
          <w:color w:val="auto"/>
        </w:rPr>
        <w:instrText xml:space="preserve"> PAGEREF _Toc6306 \h </w:instrText>
      </w:r>
      <w:r>
        <w:rPr>
          <w:color w:val="auto"/>
        </w:rPr>
        <w:fldChar w:fldCharType="separate"/>
      </w:r>
      <w:r>
        <w:rPr>
          <w:color w:val="auto"/>
        </w:rPr>
        <w:t>79</w:t>
      </w:r>
      <w:r>
        <w:rPr>
          <w:color w:val="auto"/>
        </w:rPr>
        <w:fldChar w:fldCharType="end"/>
      </w:r>
      <w:r>
        <w:rPr>
          <w:rFonts w:hint="eastAsia" w:ascii="宋体" w:hAnsi="宋体" w:cs="宋体"/>
          <w:bCs w:val="0"/>
          <w:color w:val="auto"/>
          <w:szCs w:val="24"/>
        </w:rPr>
        <w:fldChar w:fldCharType="end"/>
      </w:r>
    </w:p>
    <w:p>
      <w:pPr>
        <w:pStyle w:val="20"/>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_Toc22749 </w:instrText>
      </w:r>
      <w:r>
        <w:rPr>
          <w:rFonts w:hint="eastAsia" w:ascii="宋体" w:hAnsi="宋体" w:cs="宋体"/>
          <w:bCs w:val="0"/>
          <w:color w:val="auto"/>
          <w:szCs w:val="24"/>
        </w:rPr>
        <w:fldChar w:fldCharType="separate"/>
      </w:r>
      <w:r>
        <w:rPr>
          <w:rFonts w:hint="eastAsia" w:ascii="宋体" w:hAnsi="宋体" w:eastAsia="宋体" w:cs="宋体"/>
          <w:color w:val="auto"/>
          <w:szCs w:val="36"/>
          <w:highlight w:val="none"/>
        </w:rPr>
        <w:t>第1节 资格文件</w:t>
      </w:r>
      <w:r>
        <w:rPr>
          <w:color w:val="auto"/>
        </w:rPr>
        <w:tab/>
      </w:r>
      <w:r>
        <w:rPr>
          <w:color w:val="auto"/>
        </w:rPr>
        <w:fldChar w:fldCharType="begin"/>
      </w:r>
      <w:r>
        <w:rPr>
          <w:color w:val="auto"/>
        </w:rPr>
        <w:instrText xml:space="preserve"> PAGEREF _Toc22749 \h </w:instrText>
      </w:r>
      <w:r>
        <w:rPr>
          <w:color w:val="auto"/>
        </w:rPr>
        <w:fldChar w:fldCharType="separate"/>
      </w:r>
      <w:r>
        <w:rPr>
          <w:color w:val="auto"/>
        </w:rPr>
        <w:t>80</w:t>
      </w:r>
      <w:r>
        <w:rPr>
          <w:color w:val="auto"/>
        </w:rPr>
        <w:fldChar w:fldCharType="end"/>
      </w:r>
      <w:r>
        <w:rPr>
          <w:rFonts w:hint="eastAsia" w:ascii="宋体" w:hAnsi="宋体" w:cs="宋体"/>
          <w:bCs w:val="0"/>
          <w:color w:val="auto"/>
          <w:szCs w:val="24"/>
        </w:rPr>
        <w:fldChar w:fldCharType="end"/>
      </w:r>
    </w:p>
    <w:p>
      <w:pPr>
        <w:pStyle w:val="20"/>
        <w:tabs>
          <w:tab w:val="right" w:leader="dot" w:pos="9400"/>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_Toc25305 </w:instrText>
      </w:r>
      <w:r>
        <w:rPr>
          <w:rFonts w:hint="eastAsia" w:ascii="宋体" w:hAnsi="宋体" w:cs="宋体"/>
          <w:bCs w:val="0"/>
          <w:color w:val="auto"/>
          <w:szCs w:val="24"/>
        </w:rPr>
        <w:fldChar w:fldCharType="separate"/>
      </w:r>
      <w:r>
        <w:rPr>
          <w:rFonts w:hint="eastAsia" w:ascii="宋体" w:hAnsi="宋体" w:eastAsia="宋体" w:cs="宋体"/>
          <w:color w:val="auto"/>
          <w:szCs w:val="36"/>
          <w:highlight w:val="none"/>
        </w:rPr>
        <w:t>第2节 商务文件</w:t>
      </w:r>
      <w:r>
        <w:rPr>
          <w:color w:val="auto"/>
        </w:rPr>
        <w:tab/>
      </w:r>
      <w:r>
        <w:rPr>
          <w:color w:val="auto"/>
        </w:rPr>
        <w:fldChar w:fldCharType="begin"/>
      </w:r>
      <w:r>
        <w:rPr>
          <w:color w:val="auto"/>
        </w:rPr>
        <w:instrText xml:space="preserve"> PAGEREF _Toc25305 \h </w:instrText>
      </w:r>
      <w:r>
        <w:rPr>
          <w:color w:val="auto"/>
        </w:rPr>
        <w:fldChar w:fldCharType="separate"/>
      </w:r>
      <w:r>
        <w:rPr>
          <w:color w:val="auto"/>
        </w:rPr>
        <w:t>96</w:t>
      </w:r>
      <w:r>
        <w:rPr>
          <w:color w:val="auto"/>
        </w:rPr>
        <w:fldChar w:fldCharType="end"/>
      </w:r>
      <w:r>
        <w:rPr>
          <w:rFonts w:hint="eastAsia" w:ascii="宋体" w:hAnsi="宋体" w:cs="宋体"/>
          <w:bCs w:val="0"/>
          <w:color w:val="auto"/>
          <w:szCs w:val="24"/>
        </w:rPr>
        <w:fldChar w:fldCharType="end"/>
      </w:r>
    </w:p>
    <w:p>
      <w:pPr>
        <w:jc w:val="center"/>
        <w:rPr>
          <w:rFonts w:hint="eastAsia"/>
          <w:b/>
          <w:bCs/>
          <w:color w:val="auto"/>
          <w:sz w:val="36"/>
          <w:szCs w:val="36"/>
          <w:lang w:val="en-US" w:eastAsia="zh-CN"/>
        </w:rPr>
      </w:pPr>
      <w:r>
        <w:rPr>
          <w:rFonts w:hint="eastAsia" w:ascii="宋体" w:hAnsi="宋体" w:cs="宋体"/>
          <w:bCs w:val="0"/>
          <w:color w:val="auto"/>
          <w:szCs w:val="24"/>
        </w:rPr>
        <w:fldChar w:fldCharType="end"/>
      </w:r>
    </w:p>
    <w:p>
      <w:pPr>
        <w:pStyle w:val="2"/>
        <w:rPr>
          <w:rFonts w:hint="eastAsia"/>
          <w:b/>
          <w:bCs/>
          <w:color w:val="auto"/>
          <w:sz w:val="36"/>
          <w:szCs w:val="36"/>
          <w:lang w:val="en-US" w:eastAsia="zh-CN"/>
        </w:rPr>
      </w:pPr>
    </w:p>
    <w:p>
      <w:pPr>
        <w:pStyle w:val="2"/>
        <w:rPr>
          <w:rFonts w:hint="eastAsia"/>
          <w:b/>
          <w:bCs/>
          <w:color w:val="auto"/>
          <w:sz w:val="36"/>
          <w:szCs w:val="36"/>
          <w:lang w:val="en-US" w:eastAsia="zh-CN"/>
        </w:rPr>
      </w:pPr>
    </w:p>
    <w:p>
      <w:pPr>
        <w:pStyle w:val="2"/>
        <w:rPr>
          <w:rFonts w:hint="eastAsia"/>
          <w:b/>
          <w:bCs/>
          <w:color w:val="auto"/>
          <w:sz w:val="36"/>
          <w:szCs w:val="36"/>
          <w:lang w:val="en-US" w:eastAsia="zh-CN"/>
        </w:rPr>
      </w:pPr>
    </w:p>
    <w:p>
      <w:pPr>
        <w:pStyle w:val="2"/>
        <w:rPr>
          <w:rFonts w:hint="eastAsia"/>
          <w:b/>
          <w:bCs/>
          <w:color w:val="auto"/>
          <w:sz w:val="36"/>
          <w:szCs w:val="36"/>
          <w:lang w:val="en-US" w:eastAsia="zh-CN"/>
        </w:rPr>
      </w:pPr>
    </w:p>
    <w:p>
      <w:pPr>
        <w:pStyle w:val="2"/>
        <w:rPr>
          <w:rFonts w:hint="eastAsia"/>
          <w:b/>
          <w:bCs/>
          <w:color w:val="auto"/>
          <w:sz w:val="36"/>
          <w:szCs w:val="36"/>
          <w:lang w:val="en-US" w:eastAsia="zh-CN"/>
        </w:rPr>
      </w:pPr>
    </w:p>
    <w:p>
      <w:pPr>
        <w:pStyle w:val="2"/>
        <w:rPr>
          <w:rFonts w:hint="eastAsia"/>
          <w:b/>
          <w:bCs/>
          <w:color w:val="auto"/>
          <w:sz w:val="36"/>
          <w:szCs w:val="36"/>
          <w:lang w:val="en-US" w:eastAsia="zh-CN"/>
        </w:rPr>
      </w:pPr>
    </w:p>
    <w:p>
      <w:pPr>
        <w:pStyle w:val="2"/>
        <w:rPr>
          <w:rFonts w:hint="eastAsia"/>
          <w:b/>
          <w:bCs/>
          <w:color w:val="auto"/>
          <w:sz w:val="36"/>
          <w:szCs w:val="36"/>
          <w:lang w:val="en-US" w:eastAsia="zh-CN"/>
        </w:rPr>
      </w:pPr>
    </w:p>
    <w:p>
      <w:pPr>
        <w:pStyle w:val="2"/>
        <w:ind w:left="0" w:leftChars="0" w:firstLine="0" w:firstLineChars="0"/>
        <w:rPr>
          <w:rFonts w:hint="eastAsia"/>
          <w:b/>
          <w:bCs/>
          <w:color w:val="auto"/>
          <w:sz w:val="2"/>
          <w:szCs w:val="2"/>
          <w:lang w:val="en-US" w:eastAsia="zh-CN"/>
        </w:rPr>
      </w:pPr>
    </w:p>
    <w:p>
      <w:pPr>
        <w:pStyle w:val="2"/>
        <w:ind w:left="0" w:leftChars="0" w:firstLine="0" w:firstLineChars="0"/>
        <w:rPr>
          <w:rFonts w:hint="eastAsia"/>
          <w:b/>
          <w:bCs/>
          <w:color w:val="auto"/>
          <w:sz w:val="2"/>
          <w:szCs w:val="2"/>
          <w:lang w:val="en-US" w:eastAsia="zh-CN"/>
        </w:rPr>
      </w:pPr>
    </w:p>
    <w:p>
      <w:pPr>
        <w:pStyle w:val="4"/>
        <w:spacing w:before="1440" w:after="120" w:line="360" w:lineRule="auto"/>
        <w:jc w:val="center"/>
        <w:rPr>
          <w:rFonts w:hint="eastAsia" w:ascii="宋体" w:hAnsi="宋体" w:cs="宋体"/>
          <w:color w:val="auto"/>
        </w:rPr>
      </w:pPr>
      <w:bookmarkStart w:id="0" w:name="_Toc15928"/>
      <w:r>
        <w:rPr>
          <w:rFonts w:hint="eastAsia" w:ascii="宋体" w:hAnsi="宋体" w:cs="宋体"/>
          <w:color w:val="auto"/>
          <w:lang w:val="en-US" w:eastAsia="zh-CN"/>
        </w:rPr>
        <w:t>招标公告</w:t>
      </w:r>
      <w:bookmarkEnd w:id="0"/>
      <w:r>
        <w:rPr>
          <w:rFonts w:hint="eastAsia" w:ascii="宋体" w:hAnsi="宋体" w:cs="宋体"/>
          <w:color w:val="auto"/>
          <w:lang w:val="en-US" w:eastAsia="zh-CN"/>
        </w:rPr>
        <w:t>/投标邀请书</w:t>
      </w: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pStyle w:val="2"/>
        <w:rPr>
          <w:rFonts w:hint="eastAsia"/>
          <w:color w:val="auto"/>
          <w:lang w:val="en-US" w:eastAsia="zh-CN"/>
        </w:rPr>
      </w:pPr>
    </w:p>
    <w:p>
      <w:pPr>
        <w:jc w:val="center"/>
        <w:rPr>
          <w:rFonts w:hint="eastAsia"/>
          <w:b/>
          <w:bCs/>
          <w:color w:val="auto"/>
          <w:sz w:val="36"/>
          <w:szCs w:val="36"/>
          <w:lang w:val="en-US" w:eastAsia="zh-CN"/>
        </w:rPr>
      </w:pPr>
    </w:p>
    <w:p>
      <w:pPr>
        <w:jc w:val="both"/>
        <w:rPr>
          <w:rFonts w:hint="eastAsia"/>
          <w:b/>
          <w:bCs/>
          <w:color w:val="auto"/>
          <w:sz w:val="36"/>
          <w:szCs w:val="36"/>
          <w:lang w:val="en-US" w:eastAsia="zh-CN"/>
        </w:rPr>
      </w:pPr>
    </w:p>
    <w:p>
      <w:pPr>
        <w:jc w:val="center"/>
        <w:rPr>
          <w:rFonts w:hint="eastAsia"/>
          <w:b/>
          <w:bCs/>
          <w:color w:val="auto"/>
          <w:sz w:val="36"/>
          <w:szCs w:val="36"/>
          <w:lang w:val="en-US" w:eastAsia="zh-CN"/>
        </w:rPr>
      </w:pPr>
      <w:r>
        <w:rPr>
          <w:rFonts w:hint="eastAsia"/>
          <w:b/>
          <w:bCs/>
          <w:color w:val="auto"/>
          <w:sz w:val="36"/>
          <w:szCs w:val="36"/>
          <w:lang w:val="en-US" w:eastAsia="zh-CN"/>
        </w:rPr>
        <w:t>招标公告</w:t>
      </w:r>
    </w:p>
    <w:p>
      <w:pPr>
        <w:jc w:val="center"/>
        <w:rPr>
          <w:rFonts w:hint="default"/>
          <w:color w:val="auto"/>
          <w:sz w:val="24"/>
          <w:szCs w:val="24"/>
          <w:lang w:val="en-US" w:eastAsia="zh-CN"/>
        </w:rPr>
      </w:pPr>
      <w:r>
        <w:rPr>
          <w:rFonts w:hint="default"/>
          <w:color w:val="auto"/>
          <w:sz w:val="24"/>
          <w:szCs w:val="24"/>
          <w:lang w:val="en-US" w:eastAsia="zh-CN"/>
        </w:rPr>
        <w:t>招标编号：</w:t>
      </w:r>
      <w:r>
        <w:rPr>
          <w:rFonts w:hint="eastAsia"/>
          <w:color w:val="auto"/>
          <w:sz w:val="24"/>
          <w:szCs w:val="24"/>
          <w:u w:val="single"/>
          <w:lang w:val="en-US" w:eastAsia="zh-CN"/>
        </w:rPr>
        <w:t>之一泉南招[2023]029号</w:t>
      </w:r>
    </w:p>
    <w:p>
      <w:pPr>
        <w:rPr>
          <w:rFonts w:hint="default"/>
          <w:b/>
          <w:bCs/>
          <w:color w:val="auto"/>
          <w:sz w:val="28"/>
          <w:szCs w:val="28"/>
          <w:lang w:val="en-US" w:eastAsia="zh-CN"/>
        </w:rPr>
      </w:pPr>
      <w:r>
        <w:rPr>
          <w:rFonts w:hint="default"/>
          <w:b/>
          <w:bCs/>
          <w:color w:val="auto"/>
          <w:sz w:val="28"/>
          <w:szCs w:val="28"/>
          <w:lang w:val="en-US" w:eastAsia="zh-CN"/>
        </w:rPr>
        <w:t>1. 招标条件</w:t>
      </w:r>
    </w:p>
    <w:p>
      <w:pPr>
        <w:widowControl/>
        <w:adjustRightInd/>
        <w:spacing w:line="300" w:lineRule="auto"/>
        <w:ind w:firstLine="499" w:firstLineChars="208"/>
        <w:jc w:val="left"/>
        <w:textAlignment w:val="auto"/>
        <w:rPr>
          <w:rFonts w:hint="default"/>
          <w:color w:val="auto"/>
          <w:sz w:val="24"/>
          <w:szCs w:val="24"/>
          <w:lang w:val="en-US" w:eastAsia="zh-CN"/>
        </w:rPr>
      </w:pPr>
      <w:r>
        <w:rPr>
          <w:rFonts w:hint="default"/>
          <w:color w:val="auto"/>
          <w:sz w:val="24"/>
          <w:szCs w:val="24"/>
          <w:lang w:val="en-US" w:eastAsia="zh-CN"/>
        </w:rPr>
        <w:t>本招标项目</w:t>
      </w:r>
      <w:r>
        <w:rPr>
          <w:rFonts w:hint="eastAsia"/>
          <w:color w:val="auto"/>
          <w:sz w:val="24"/>
          <w:szCs w:val="24"/>
          <w:u w:val="single"/>
          <w:lang w:val="en-US" w:eastAsia="zh-CN"/>
        </w:rPr>
        <w:t xml:space="preserve"> 泉州市大气环境监测超级站 </w:t>
      </w:r>
      <w:r>
        <w:rPr>
          <w:rFonts w:hint="eastAsia"/>
          <w:color w:val="auto"/>
          <w:sz w:val="24"/>
          <w:szCs w:val="24"/>
          <w:u w:val="none"/>
          <w:lang w:val="en-US" w:eastAsia="zh-CN"/>
        </w:rPr>
        <w:t>已批准建设，</w:t>
      </w:r>
      <w:r>
        <w:rPr>
          <w:rFonts w:hint="default"/>
          <w:color w:val="auto"/>
          <w:sz w:val="24"/>
          <w:szCs w:val="24"/>
          <w:u w:val="none"/>
          <w:lang w:val="en-US" w:eastAsia="zh-CN"/>
        </w:rPr>
        <w:t>建设单位为</w:t>
      </w:r>
      <w:r>
        <w:rPr>
          <w:rFonts w:hint="eastAsia"/>
          <w:color w:val="auto"/>
          <w:sz w:val="24"/>
          <w:szCs w:val="24"/>
          <w:u w:val="single"/>
          <w:lang w:val="en-US" w:eastAsia="zh-CN"/>
        </w:rPr>
        <w:t xml:space="preserve"> 泉州师范学院 </w:t>
      </w:r>
      <w:r>
        <w:rPr>
          <w:rFonts w:hint="default"/>
          <w:color w:val="auto"/>
          <w:sz w:val="24"/>
          <w:szCs w:val="24"/>
          <w:u w:val="none"/>
          <w:lang w:val="en-US" w:eastAsia="zh-CN"/>
        </w:rPr>
        <w:t>，</w:t>
      </w:r>
      <w:r>
        <w:rPr>
          <w:rFonts w:hint="default"/>
          <w:color w:val="auto"/>
          <w:sz w:val="24"/>
          <w:szCs w:val="24"/>
          <w:lang w:val="en-US" w:eastAsia="zh-CN"/>
        </w:rPr>
        <w:t>建设资金来源</w:t>
      </w:r>
      <w:r>
        <w:rPr>
          <w:rFonts w:hint="eastAsia"/>
          <w:color w:val="auto"/>
          <w:sz w:val="24"/>
          <w:szCs w:val="24"/>
          <w:u w:val="single"/>
          <w:lang w:val="en-US" w:eastAsia="zh-CN"/>
        </w:rPr>
        <w:t xml:space="preserve"> 专项经费</w:t>
      </w:r>
      <w:r>
        <w:rPr>
          <w:rFonts w:hint="default"/>
          <w:color w:val="auto"/>
          <w:sz w:val="24"/>
          <w:szCs w:val="24"/>
          <w:u w:val="single"/>
          <w:lang w:val="en-US" w:eastAsia="zh-CN"/>
        </w:rPr>
        <w:t>  </w:t>
      </w:r>
      <w:r>
        <w:rPr>
          <w:rFonts w:hint="eastAsia"/>
          <w:color w:val="auto"/>
          <w:sz w:val="24"/>
          <w:szCs w:val="24"/>
          <w:u w:val="none"/>
          <w:lang w:val="en-US" w:eastAsia="zh-CN"/>
        </w:rPr>
        <w:t>，</w:t>
      </w:r>
      <w:r>
        <w:rPr>
          <w:rFonts w:hint="default"/>
          <w:color w:val="auto"/>
          <w:sz w:val="24"/>
          <w:szCs w:val="24"/>
          <w:lang w:val="en-US" w:eastAsia="zh-CN"/>
        </w:rPr>
        <w:t>招标人为</w:t>
      </w:r>
      <w:r>
        <w:rPr>
          <w:rFonts w:hint="eastAsia"/>
          <w:color w:val="auto"/>
          <w:sz w:val="24"/>
          <w:szCs w:val="24"/>
          <w:u w:val="single"/>
          <w:lang w:val="en-US" w:eastAsia="zh-CN"/>
        </w:rPr>
        <w:t xml:space="preserve"> 泉州师范学院 </w:t>
      </w:r>
      <w:r>
        <w:rPr>
          <w:rFonts w:hint="default"/>
          <w:color w:val="auto"/>
          <w:sz w:val="24"/>
          <w:szCs w:val="24"/>
          <w:lang w:val="en-US" w:eastAsia="zh-CN"/>
        </w:rPr>
        <w:t>，委托的招标代理单位为</w:t>
      </w:r>
      <w:r>
        <w:rPr>
          <w:rFonts w:hint="eastAsia"/>
          <w:color w:val="auto"/>
          <w:sz w:val="24"/>
          <w:szCs w:val="24"/>
          <w:u w:val="single"/>
          <w:lang w:val="en-US" w:eastAsia="zh-CN"/>
        </w:rPr>
        <w:t xml:space="preserve"> 之一建设有限责任公司 </w:t>
      </w:r>
      <w:r>
        <w:rPr>
          <w:rFonts w:hint="default"/>
          <w:color w:val="auto"/>
          <w:sz w:val="24"/>
          <w:szCs w:val="24"/>
          <w:lang w:val="en-US" w:eastAsia="zh-CN"/>
        </w:rPr>
        <w:t>。本项目已具备招标条件，现对该项目的施工进行</w:t>
      </w:r>
      <w:r>
        <w:rPr>
          <w:rFonts w:hint="eastAsia"/>
          <w:color w:val="auto"/>
          <w:sz w:val="24"/>
          <w:szCs w:val="24"/>
          <w:u w:val="single"/>
          <w:lang w:val="en-US" w:eastAsia="zh-CN"/>
        </w:rPr>
        <w:t xml:space="preserve"> </w:t>
      </w:r>
      <w:r>
        <w:rPr>
          <w:rFonts w:hint="default"/>
          <w:color w:val="auto"/>
          <w:sz w:val="24"/>
          <w:szCs w:val="24"/>
          <w:u w:val="single"/>
          <w:lang w:val="en-US" w:eastAsia="zh-CN"/>
        </w:rPr>
        <w:t>公开</w:t>
      </w:r>
      <w:r>
        <w:rPr>
          <w:rFonts w:hint="eastAsia"/>
          <w:color w:val="auto"/>
          <w:sz w:val="24"/>
          <w:szCs w:val="24"/>
          <w:u w:val="single"/>
          <w:lang w:val="en-US" w:eastAsia="zh-CN"/>
        </w:rPr>
        <w:t xml:space="preserve"> </w:t>
      </w:r>
      <w:r>
        <w:rPr>
          <w:rFonts w:hint="default"/>
          <w:color w:val="auto"/>
          <w:sz w:val="24"/>
          <w:szCs w:val="24"/>
          <w:lang w:val="en-US" w:eastAsia="zh-CN"/>
        </w:rPr>
        <w:t>招标。</w:t>
      </w:r>
    </w:p>
    <w:p>
      <w:pPr>
        <w:rPr>
          <w:rFonts w:hint="default"/>
          <w:b/>
          <w:bCs/>
          <w:color w:val="auto"/>
          <w:sz w:val="28"/>
          <w:szCs w:val="28"/>
          <w:lang w:val="en-US" w:eastAsia="zh-CN"/>
        </w:rPr>
      </w:pPr>
      <w:r>
        <w:rPr>
          <w:rFonts w:hint="default"/>
          <w:b/>
          <w:bCs/>
          <w:color w:val="auto"/>
          <w:sz w:val="28"/>
          <w:szCs w:val="28"/>
          <w:lang w:val="en-US" w:eastAsia="zh-CN"/>
        </w:rPr>
        <w:t>2. 项目概况和招标范围</w:t>
      </w:r>
    </w:p>
    <w:p>
      <w:pPr>
        <w:ind w:firstLine="480" w:firstLineChars="200"/>
        <w:rPr>
          <w:rFonts w:hint="default"/>
          <w:color w:val="auto"/>
          <w:sz w:val="24"/>
          <w:szCs w:val="24"/>
          <w:lang w:val="en-US" w:eastAsia="zh-CN"/>
        </w:rPr>
      </w:pPr>
      <w:r>
        <w:rPr>
          <w:rFonts w:hint="default"/>
          <w:color w:val="auto"/>
          <w:sz w:val="24"/>
          <w:szCs w:val="24"/>
          <w:lang w:val="en-US" w:eastAsia="zh-CN"/>
        </w:rPr>
        <w:t>2.1. 工程建设地点：</w:t>
      </w:r>
      <w:r>
        <w:rPr>
          <w:rFonts w:hint="default"/>
          <w:color w:val="auto"/>
          <w:sz w:val="24"/>
          <w:szCs w:val="24"/>
          <w:u w:val="single"/>
          <w:lang w:val="en-US" w:eastAsia="zh-CN"/>
        </w:rPr>
        <w:t>泉州师范学院主校区内</w:t>
      </w:r>
      <w:r>
        <w:rPr>
          <w:rFonts w:hint="default"/>
          <w:color w:val="auto"/>
          <w:sz w:val="24"/>
          <w:szCs w:val="24"/>
          <w:lang w:val="en-US" w:eastAsia="zh-CN"/>
        </w:rPr>
        <w:t>；</w:t>
      </w:r>
    </w:p>
    <w:p>
      <w:pPr>
        <w:ind w:firstLine="480" w:firstLineChars="200"/>
        <w:rPr>
          <w:rFonts w:hint="default"/>
          <w:color w:val="auto"/>
          <w:sz w:val="24"/>
          <w:szCs w:val="24"/>
          <w:lang w:val="en-US" w:eastAsia="zh-CN"/>
        </w:rPr>
      </w:pPr>
      <w:r>
        <w:rPr>
          <w:rFonts w:hint="default"/>
          <w:color w:val="auto"/>
          <w:sz w:val="24"/>
          <w:szCs w:val="24"/>
          <w:lang w:val="en-US" w:eastAsia="zh-CN"/>
        </w:rPr>
        <w:t>2.2. 工程建设规模：</w:t>
      </w:r>
      <w:r>
        <w:rPr>
          <w:rFonts w:hint="default"/>
          <w:color w:val="auto"/>
          <w:sz w:val="24"/>
          <w:szCs w:val="24"/>
          <w:u w:val="single"/>
          <w:lang w:val="en-US" w:eastAsia="zh-CN"/>
        </w:rPr>
        <w:t>工程招标控制价为</w:t>
      </w:r>
      <w:r>
        <w:rPr>
          <w:rFonts w:hint="eastAsia"/>
          <w:color w:val="auto"/>
          <w:sz w:val="24"/>
          <w:szCs w:val="24"/>
          <w:u w:val="single"/>
          <w:lang w:val="en-US" w:eastAsia="zh-CN"/>
        </w:rPr>
        <w:t>326.4784万元</w:t>
      </w:r>
      <w:r>
        <w:rPr>
          <w:rFonts w:hint="default"/>
          <w:color w:val="auto"/>
          <w:sz w:val="24"/>
          <w:szCs w:val="24"/>
          <w:lang w:val="en-US" w:eastAsia="zh-CN"/>
        </w:rPr>
        <w:t>；</w:t>
      </w:r>
    </w:p>
    <w:p>
      <w:pPr>
        <w:ind w:firstLine="480" w:firstLineChars="200"/>
        <w:rPr>
          <w:rFonts w:hint="default"/>
          <w:color w:val="auto"/>
          <w:sz w:val="24"/>
          <w:szCs w:val="24"/>
          <w:lang w:val="en-US" w:eastAsia="zh-CN"/>
        </w:rPr>
      </w:pPr>
      <w:r>
        <w:rPr>
          <w:rFonts w:hint="default"/>
          <w:color w:val="auto"/>
          <w:sz w:val="24"/>
          <w:szCs w:val="24"/>
          <w:lang w:val="en-US" w:eastAsia="zh-CN"/>
        </w:rPr>
        <w:t>2.3. 招标范围和内容：</w:t>
      </w:r>
    </w:p>
    <w:p>
      <w:pPr>
        <w:ind w:firstLine="480" w:firstLineChars="200"/>
        <w:rPr>
          <w:rFonts w:hint="default"/>
          <w:color w:val="auto"/>
          <w:sz w:val="24"/>
          <w:szCs w:val="24"/>
          <w:lang w:val="en-US" w:eastAsia="zh-CN"/>
        </w:rPr>
      </w:pPr>
      <w:r>
        <w:rPr>
          <w:rFonts w:hint="default"/>
          <w:color w:val="auto"/>
          <w:sz w:val="24"/>
          <w:szCs w:val="24"/>
          <w:lang w:val="en-US" w:eastAsia="zh-CN"/>
        </w:rPr>
        <w:t>（1）工程类别：</w:t>
      </w:r>
      <w:r>
        <w:rPr>
          <w:rFonts w:hint="eastAsia"/>
          <w:color w:val="auto"/>
          <w:sz w:val="24"/>
          <w:szCs w:val="24"/>
          <w:u w:val="single"/>
          <w:lang w:val="en-US" w:eastAsia="zh-CN"/>
        </w:rPr>
        <w:t>建筑工程</w:t>
      </w:r>
      <w:r>
        <w:rPr>
          <w:rFonts w:hint="default"/>
          <w:color w:val="auto"/>
          <w:sz w:val="24"/>
          <w:szCs w:val="24"/>
          <w:lang w:val="en-US" w:eastAsia="zh-CN"/>
        </w:rPr>
        <w:t>；</w:t>
      </w:r>
    </w:p>
    <w:p>
      <w:pPr>
        <w:ind w:firstLine="480" w:firstLineChars="200"/>
        <w:rPr>
          <w:rFonts w:hint="default"/>
          <w:color w:val="auto"/>
          <w:sz w:val="24"/>
          <w:szCs w:val="24"/>
          <w:lang w:val="en-US" w:eastAsia="zh-CN"/>
        </w:rPr>
      </w:pPr>
      <w:r>
        <w:rPr>
          <w:rFonts w:hint="default"/>
          <w:color w:val="auto"/>
          <w:sz w:val="24"/>
          <w:szCs w:val="24"/>
          <w:lang w:val="en-US" w:eastAsia="zh-CN"/>
        </w:rPr>
        <w:t>（2）招标类型：</w:t>
      </w:r>
      <w:r>
        <w:rPr>
          <w:rFonts w:hint="default"/>
          <w:color w:val="auto"/>
          <w:sz w:val="24"/>
          <w:szCs w:val="24"/>
          <w:u w:val="single"/>
          <w:lang w:val="en-US" w:eastAsia="zh-CN"/>
        </w:rPr>
        <w:t>施工总承包</w:t>
      </w:r>
      <w:r>
        <w:rPr>
          <w:rFonts w:hint="default"/>
          <w:color w:val="auto"/>
          <w:sz w:val="24"/>
          <w:szCs w:val="24"/>
          <w:lang w:val="en-US" w:eastAsia="zh-CN"/>
        </w:rPr>
        <w:t>；</w:t>
      </w:r>
    </w:p>
    <w:p>
      <w:pPr>
        <w:ind w:firstLine="480" w:firstLineChars="200"/>
        <w:rPr>
          <w:rFonts w:hint="eastAsia"/>
          <w:color w:val="auto"/>
          <w:sz w:val="24"/>
          <w:szCs w:val="24"/>
          <w:lang w:val="en-US" w:eastAsia="zh-CN"/>
        </w:rPr>
      </w:pPr>
      <w:r>
        <w:rPr>
          <w:rFonts w:hint="default"/>
          <w:color w:val="auto"/>
          <w:sz w:val="24"/>
          <w:szCs w:val="24"/>
          <w:lang w:val="en-US" w:eastAsia="zh-CN"/>
        </w:rPr>
        <w:t>（3）招标范围和内容：</w:t>
      </w:r>
      <w:r>
        <w:rPr>
          <w:rFonts w:hint="default"/>
          <w:color w:val="auto"/>
          <w:sz w:val="24"/>
          <w:szCs w:val="24"/>
          <w:u w:val="single"/>
          <w:lang w:val="en-US" w:eastAsia="zh-CN"/>
        </w:rPr>
        <w:t>主要内容</w:t>
      </w:r>
      <w:r>
        <w:rPr>
          <w:rFonts w:hint="eastAsia"/>
          <w:color w:val="auto"/>
          <w:sz w:val="24"/>
          <w:szCs w:val="24"/>
          <w:u w:val="single"/>
          <w:lang w:val="en-US" w:eastAsia="zh-CN"/>
        </w:rPr>
        <w:t>为主体土建、屋面、室外总体工程、绿化工程、电气工程、电力工程、给排水工程、消防工程等；</w:t>
      </w:r>
      <w:r>
        <w:rPr>
          <w:rFonts w:hint="default"/>
          <w:color w:val="auto"/>
          <w:sz w:val="24"/>
          <w:szCs w:val="24"/>
          <w:u w:val="single"/>
          <w:lang w:val="en-US" w:eastAsia="zh-CN"/>
        </w:rPr>
        <w:t>具体详见招标人提供的</w:t>
      </w:r>
      <w:r>
        <w:rPr>
          <w:rFonts w:hint="eastAsia"/>
          <w:color w:val="auto"/>
          <w:sz w:val="24"/>
          <w:szCs w:val="24"/>
          <w:u w:val="single"/>
          <w:lang w:val="en-US" w:eastAsia="zh-CN"/>
        </w:rPr>
        <w:t>工程预算书及施工图纸</w:t>
      </w:r>
      <w:r>
        <w:rPr>
          <w:rFonts w:hint="default"/>
          <w:color w:val="auto"/>
          <w:sz w:val="24"/>
          <w:szCs w:val="24"/>
          <w:u w:val="single"/>
          <w:lang w:val="en-US" w:eastAsia="zh-CN"/>
        </w:rPr>
        <w:t> </w:t>
      </w:r>
      <w:r>
        <w:rPr>
          <w:rFonts w:hint="eastAsia"/>
          <w:color w:val="auto"/>
          <w:sz w:val="24"/>
          <w:szCs w:val="24"/>
          <w:lang w:val="en-US" w:eastAsia="zh-CN"/>
        </w:rPr>
        <w:t>；</w:t>
      </w:r>
    </w:p>
    <w:p>
      <w:pPr>
        <w:ind w:firstLine="480" w:firstLineChars="200"/>
        <w:rPr>
          <w:rFonts w:hint="default"/>
          <w:color w:val="auto"/>
          <w:sz w:val="24"/>
          <w:szCs w:val="24"/>
          <w:lang w:val="en-US" w:eastAsia="zh-CN"/>
        </w:rPr>
      </w:pPr>
      <w:r>
        <w:rPr>
          <w:rFonts w:hint="default"/>
          <w:color w:val="auto"/>
          <w:sz w:val="24"/>
          <w:szCs w:val="24"/>
          <w:lang w:val="en-US" w:eastAsia="zh-CN"/>
        </w:rPr>
        <w:t>2.4. 招标控制价（即最高投标限价，下同）：</w:t>
      </w:r>
      <w:r>
        <w:rPr>
          <w:rFonts w:hint="eastAsia"/>
          <w:color w:val="auto"/>
          <w:sz w:val="24"/>
          <w:szCs w:val="24"/>
          <w:u w:val="single"/>
          <w:lang w:val="en-US" w:eastAsia="zh-CN"/>
        </w:rPr>
        <w:t>3264784</w:t>
      </w:r>
      <w:r>
        <w:rPr>
          <w:rFonts w:hint="eastAsia"/>
          <w:color w:val="auto"/>
          <w:sz w:val="24"/>
          <w:szCs w:val="24"/>
          <w:u w:val="none"/>
          <w:lang w:val="en-US" w:eastAsia="zh-CN"/>
        </w:rPr>
        <w:t>元</w:t>
      </w:r>
      <w:r>
        <w:rPr>
          <w:rFonts w:hint="eastAsia" w:ascii="宋体" w:hAnsi="宋体" w:eastAsia="宋体" w:cs="宋体"/>
          <w:color w:val="auto"/>
          <w:sz w:val="24"/>
          <w:szCs w:val="24"/>
          <w:u w:val="none"/>
          <w:lang w:eastAsia="zh-CN"/>
        </w:rPr>
        <w:t>；</w:t>
      </w:r>
    </w:p>
    <w:p>
      <w:pPr>
        <w:ind w:firstLine="480" w:firstLineChars="200"/>
        <w:rPr>
          <w:rFonts w:hint="default"/>
          <w:color w:val="auto"/>
          <w:sz w:val="24"/>
          <w:szCs w:val="24"/>
          <w:lang w:val="en-US" w:eastAsia="zh-CN"/>
        </w:rPr>
      </w:pPr>
      <w:r>
        <w:rPr>
          <w:rFonts w:hint="default"/>
          <w:color w:val="auto"/>
          <w:sz w:val="24"/>
          <w:szCs w:val="24"/>
          <w:lang w:val="en-US" w:eastAsia="zh-CN"/>
        </w:rPr>
        <w:t>2.5. 工期要求：总工期为</w:t>
      </w:r>
      <w:r>
        <w:rPr>
          <w:rFonts w:hint="eastAsia"/>
          <w:color w:val="auto"/>
          <w:sz w:val="24"/>
          <w:szCs w:val="24"/>
          <w:u w:val="single"/>
          <w:lang w:val="en-US" w:eastAsia="zh-CN"/>
        </w:rPr>
        <w:t>140</w:t>
      </w:r>
      <w:r>
        <w:rPr>
          <w:rFonts w:hint="default"/>
          <w:color w:val="auto"/>
          <w:sz w:val="24"/>
          <w:szCs w:val="24"/>
          <w:u w:val="single"/>
          <w:lang w:val="en-US" w:eastAsia="zh-CN"/>
        </w:rPr>
        <w:t>个日历天</w:t>
      </w:r>
      <w:r>
        <w:rPr>
          <w:rFonts w:hint="default"/>
          <w:color w:val="auto"/>
          <w:sz w:val="24"/>
          <w:szCs w:val="24"/>
          <w:lang w:val="en-US" w:eastAsia="zh-CN"/>
        </w:rPr>
        <w:t>，定额工期</w:t>
      </w:r>
      <w:r>
        <w:rPr>
          <w:rFonts w:hint="eastAsia"/>
          <w:color w:val="auto"/>
          <w:sz w:val="24"/>
          <w:szCs w:val="24"/>
          <w:u w:val="single"/>
          <w:lang w:val="en-US" w:eastAsia="zh-CN"/>
        </w:rPr>
        <w:t xml:space="preserve"> / </w:t>
      </w:r>
      <w:r>
        <w:rPr>
          <w:rFonts w:hint="default"/>
          <w:color w:val="auto"/>
          <w:sz w:val="24"/>
          <w:szCs w:val="24"/>
          <w:lang w:val="en-US" w:eastAsia="zh-CN"/>
        </w:rPr>
        <w:t>个日历天（适用于国家或我省对工期有规定的项目）；其中各关键节点的工期要求为（如果有）</w:t>
      </w:r>
      <w:r>
        <w:rPr>
          <w:rFonts w:hint="eastAsia"/>
          <w:color w:val="auto"/>
          <w:sz w:val="24"/>
          <w:szCs w:val="24"/>
          <w:u w:val="single"/>
          <w:lang w:val="en-US" w:eastAsia="zh-CN"/>
        </w:rPr>
        <w:t xml:space="preserve"> / </w:t>
      </w:r>
      <w:r>
        <w:rPr>
          <w:rFonts w:hint="default"/>
          <w:color w:val="auto"/>
          <w:sz w:val="24"/>
          <w:szCs w:val="24"/>
          <w:lang w:val="en-US" w:eastAsia="zh-CN"/>
        </w:rPr>
        <w:t>；</w:t>
      </w:r>
    </w:p>
    <w:p>
      <w:pPr>
        <w:ind w:firstLine="480" w:firstLineChars="200"/>
        <w:rPr>
          <w:rFonts w:hint="default"/>
          <w:color w:val="auto"/>
          <w:sz w:val="24"/>
          <w:szCs w:val="24"/>
          <w:lang w:val="en-US" w:eastAsia="zh-CN"/>
        </w:rPr>
      </w:pPr>
      <w:r>
        <w:rPr>
          <w:rFonts w:hint="default"/>
          <w:color w:val="auto"/>
          <w:sz w:val="24"/>
          <w:szCs w:val="24"/>
          <w:lang w:val="en-US" w:eastAsia="zh-CN"/>
        </w:rPr>
        <w:t>2.6. 标段划分（如果有）：</w:t>
      </w:r>
      <w:r>
        <w:rPr>
          <w:rFonts w:hint="default"/>
          <w:color w:val="auto"/>
          <w:sz w:val="24"/>
          <w:szCs w:val="24"/>
          <w:u w:val="single"/>
          <w:lang w:val="en-US" w:eastAsia="zh-CN"/>
        </w:rPr>
        <w:t> 一个标段</w:t>
      </w:r>
      <w:r>
        <w:rPr>
          <w:rFonts w:hint="default"/>
          <w:color w:val="auto"/>
          <w:sz w:val="24"/>
          <w:szCs w:val="24"/>
          <w:lang w:val="en-US" w:eastAsia="zh-CN"/>
        </w:rPr>
        <w:t> ；</w:t>
      </w:r>
    </w:p>
    <w:p>
      <w:pPr>
        <w:ind w:firstLine="480" w:firstLineChars="200"/>
        <w:rPr>
          <w:rFonts w:hint="default"/>
          <w:color w:val="auto"/>
          <w:sz w:val="24"/>
          <w:szCs w:val="24"/>
          <w:lang w:val="en-US" w:eastAsia="zh-CN"/>
        </w:rPr>
      </w:pPr>
      <w:r>
        <w:rPr>
          <w:rFonts w:hint="default"/>
          <w:color w:val="auto"/>
          <w:sz w:val="24"/>
          <w:szCs w:val="24"/>
          <w:lang w:val="en-US" w:eastAsia="zh-CN"/>
        </w:rPr>
        <w:t>2.7. 质量要求：</w:t>
      </w:r>
      <w:r>
        <w:rPr>
          <w:rFonts w:hint="eastAsia"/>
          <w:color w:val="auto"/>
          <w:sz w:val="24"/>
          <w:szCs w:val="24"/>
          <w:u w:val="single"/>
          <w:lang w:val="en-US" w:eastAsia="zh-CN"/>
        </w:rPr>
        <w:t xml:space="preserve"> </w:t>
      </w:r>
      <w:r>
        <w:rPr>
          <w:rFonts w:hint="default"/>
          <w:color w:val="auto"/>
          <w:sz w:val="24"/>
          <w:szCs w:val="24"/>
          <w:u w:val="single"/>
          <w:lang w:val="en-US" w:eastAsia="zh-CN"/>
        </w:rPr>
        <w:t>符合《工程施工质量验收规范》并达到合格标准</w:t>
      </w:r>
      <w:r>
        <w:rPr>
          <w:rFonts w:hint="eastAsia"/>
          <w:color w:val="auto"/>
          <w:sz w:val="24"/>
          <w:szCs w:val="24"/>
          <w:u w:val="single"/>
          <w:lang w:val="en-US" w:eastAsia="zh-CN"/>
        </w:rPr>
        <w:t xml:space="preserve"> </w:t>
      </w:r>
      <w:r>
        <w:rPr>
          <w:rFonts w:hint="default"/>
          <w:color w:val="auto"/>
          <w:sz w:val="24"/>
          <w:szCs w:val="24"/>
          <w:lang w:val="en-US" w:eastAsia="zh-CN"/>
        </w:rPr>
        <w:t>。</w:t>
      </w:r>
    </w:p>
    <w:p>
      <w:pPr>
        <w:rPr>
          <w:rFonts w:hint="default"/>
          <w:b/>
          <w:bCs/>
          <w:color w:val="auto"/>
          <w:sz w:val="28"/>
          <w:szCs w:val="28"/>
          <w:lang w:val="en-US" w:eastAsia="zh-CN"/>
        </w:rPr>
      </w:pPr>
      <w:r>
        <w:rPr>
          <w:rFonts w:hint="default"/>
          <w:b/>
          <w:bCs/>
          <w:color w:val="auto"/>
          <w:sz w:val="28"/>
          <w:szCs w:val="28"/>
          <w:lang w:val="en-US" w:eastAsia="zh-CN"/>
        </w:rPr>
        <w:t>3. 投标人资格要求及审查办法</w:t>
      </w:r>
    </w:p>
    <w:p>
      <w:pPr>
        <w:ind w:firstLine="480" w:firstLineChars="200"/>
        <w:rPr>
          <w:rFonts w:hint="eastAsia"/>
          <w:color w:val="auto"/>
          <w:sz w:val="24"/>
          <w:szCs w:val="24"/>
          <w:lang w:val="en-US" w:eastAsia="zh-CN"/>
        </w:rPr>
      </w:pPr>
      <w:r>
        <w:rPr>
          <w:rFonts w:hint="default"/>
          <w:color w:val="auto"/>
          <w:sz w:val="24"/>
          <w:szCs w:val="24"/>
          <w:lang w:val="en-US" w:eastAsia="zh-CN"/>
        </w:rPr>
        <w:t>3.1. 本招标项目要求投标人须具备有效的不低于</w:t>
      </w:r>
      <w:r>
        <w:rPr>
          <w:rFonts w:hint="default"/>
          <w:b/>
          <w:bCs/>
          <w:color w:val="auto"/>
          <w:sz w:val="24"/>
          <w:szCs w:val="24"/>
          <w:u w:val="single"/>
          <w:lang w:val="en-US" w:eastAsia="zh-CN"/>
        </w:rPr>
        <w:t>叁</w:t>
      </w:r>
      <w:r>
        <w:rPr>
          <w:rFonts w:hint="default"/>
          <w:color w:val="auto"/>
          <w:sz w:val="24"/>
          <w:szCs w:val="24"/>
          <w:lang w:val="en-US" w:eastAsia="zh-CN"/>
        </w:rPr>
        <w:t>级</w:t>
      </w:r>
      <w:r>
        <w:rPr>
          <w:rFonts w:hint="default"/>
          <w:b/>
          <w:bCs/>
          <w:color w:val="auto"/>
          <w:sz w:val="24"/>
          <w:szCs w:val="24"/>
          <w:u w:val="single"/>
          <w:lang w:val="en-US" w:eastAsia="zh-CN"/>
        </w:rPr>
        <w:t>建筑工程施工总承包</w:t>
      </w:r>
      <w:r>
        <w:rPr>
          <w:rFonts w:hint="default"/>
          <w:color w:val="auto"/>
          <w:sz w:val="24"/>
          <w:szCs w:val="24"/>
          <w:lang w:val="en-US" w:eastAsia="zh-CN"/>
        </w:rPr>
        <w:t>资质和《施工企业安全生产许可证》。（无需要资质的项目，从其规定）</w:t>
      </w:r>
    </w:p>
    <w:p>
      <w:pPr>
        <w:ind w:firstLine="480" w:firstLineChars="200"/>
        <w:rPr>
          <w:rFonts w:hint="eastAsia" w:ascii="宋体" w:hAnsi="宋体" w:eastAsia="宋体" w:cs="宋体"/>
          <w:color w:val="auto"/>
          <w:sz w:val="24"/>
          <w:lang w:val="en-US" w:eastAsia="zh-CN"/>
        </w:rPr>
      </w:pPr>
      <w:r>
        <w:rPr>
          <w:rFonts w:hint="default"/>
          <w:color w:val="auto"/>
          <w:sz w:val="24"/>
          <w:szCs w:val="24"/>
          <w:lang w:val="en-US" w:eastAsia="zh-CN"/>
        </w:rPr>
        <w:t>3.2. 投标人拟担任本招标项目的项目负责人（即项目经理，下同）须具备有效的不低于</w:t>
      </w:r>
      <w:r>
        <w:rPr>
          <w:rFonts w:hint="eastAsia" w:ascii="宋体" w:hAnsi="宋体" w:eastAsia="宋体" w:cs="宋体"/>
          <w:b/>
          <w:bCs/>
          <w:color w:val="auto"/>
          <w:sz w:val="24"/>
          <w:u w:val="single"/>
          <w:lang w:val="en-US" w:eastAsia="zh-CN"/>
        </w:rPr>
        <w:t>贰</w:t>
      </w:r>
      <w:r>
        <w:rPr>
          <w:rFonts w:hint="eastAsia" w:ascii="宋体" w:hAnsi="宋体" w:eastAsia="宋体" w:cs="宋体"/>
          <w:color w:val="auto"/>
          <w:sz w:val="24"/>
          <w:lang w:val="en-US" w:eastAsia="zh-CN"/>
        </w:rPr>
        <w:t>级</w:t>
      </w:r>
      <w:r>
        <w:rPr>
          <w:rFonts w:hint="eastAsia" w:ascii="宋体" w:hAnsi="宋体" w:eastAsia="宋体" w:cs="宋体"/>
          <w:b/>
          <w:bCs/>
          <w:color w:val="auto"/>
          <w:sz w:val="24"/>
          <w:u w:val="single"/>
          <w:lang w:val="en-US" w:eastAsia="zh-CN"/>
        </w:rPr>
        <w:t>建筑工程</w:t>
      </w:r>
      <w:r>
        <w:rPr>
          <w:rFonts w:hint="eastAsia" w:ascii="宋体" w:hAnsi="宋体" w:eastAsia="宋体" w:cs="宋体"/>
          <w:color w:val="auto"/>
          <w:sz w:val="24"/>
          <w:lang w:val="en-US" w:eastAsia="zh-CN"/>
        </w:rPr>
        <w:t>专业注册建造师执业资格，并具备有效的安全生产考核合格证书（B证）。</w:t>
      </w:r>
    </w:p>
    <w:p>
      <w:pPr>
        <w:ind w:firstLine="480" w:firstLineChars="200"/>
        <w:rPr>
          <w:rFonts w:hint="default"/>
          <w:color w:val="auto"/>
          <w:sz w:val="24"/>
          <w:szCs w:val="24"/>
          <w:lang w:val="en-US" w:eastAsia="zh-CN"/>
        </w:rPr>
      </w:pPr>
      <w:r>
        <w:rPr>
          <w:rFonts w:hint="default"/>
          <w:color w:val="auto"/>
          <w:sz w:val="24"/>
          <w:szCs w:val="24"/>
          <w:lang w:val="en-US" w:eastAsia="zh-CN"/>
        </w:rPr>
        <w:t>3.3. 本招标项目</w:t>
      </w:r>
      <w:r>
        <w:rPr>
          <w:rFonts w:hint="default"/>
          <w:color w:val="auto"/>
          <w:sz w:val="24"/>
          <w:szCs w:val="24"/>
          <w:u w:val="single"/>
          <w:lang w:val="en-US" w:eastAsia="zh-CN"/>
        </w:rPr>
        <w:t> </w:t>
      </w:r>
      <w:r>
        <w:rPr>
          <w:rFonts w:hint="eastAsia"/>
          <w:color w:val="auto"/>
          <w:sz w:val="24"/>
          <w:szCs w:val="24"/>
          <w:u w:val="single"/>
          <w:lang w:val="en-US" w:eastAsia="zh-CN"/>
        </w:rPr>
        <w:t xml:space="preserve"> </w:t>
      </w:r>
      <w:r>
        <w:rPr>
          <w:rFonts w:hint="default"/>
          <w:color w:val="auto"/>
          <w:sz w:val="24"/>
          <w:szCs w:val="24"/>
          <w:u w:val="single"/>
          <w:lang w:val="en-US" w:eastAsia="zh-CN"/>
        </w:rPr>
        <w:t>不接受 </w:t>
      </w:r>
      <w:r>
        <w:rPr>
          <w:rFonts w:hint="eastAsia"/>
          <w:color w:val="auto"/>
          <w:sz w:val="24"/>
          <w:szCs w:val="24"/>
          <w:u w:val="single"/>
          <w:lang w:val="en-US" w:eastAsia="zh-CN"/>
        </w:rPr>
        <w:t xml:space="preserve"> </w:t>
      </w:r>
      <w:r>
        <w:rPr>
          <w:rFonts w:hint="default"/>
          <w:color w:val="auto"/>
          <w:sz w:val="24"/>
          <w:szCs w:val="24"/>
          <w:lang w:val="en-US" w:eastAsia="zh-CN"/>
        </w:rPr>
        <w:t>联合体投标。</w:t>
      </w:r>
    </w:p>
    <w:p>
      <w:pPr>
        <w:ind w:firstLine="480" w:firstLineChars="200"/>
        <w:rPr>
          <w:rFonts w:hint="default"/>
          <w:color w:val="auto"/>
          <w:sz w:val="24"/>
          <w:szCs w:val="24"/>
          <w:lang w:val="en-US" w:eastAsia="zh-CN"/>
        </w:rPr>
      </w:pPr>
      <w:r>
        <w:rPr>
          <w:rFonts w:hint="default"/>
          <w:color w:val="auto"/>
          <w:sz w:val="24"/>
          <w:szCs w:val="24"/>
          <w:lang w:val="en-US" w:eastAsia="zh-CN"/>
        </w:rPr>
        <w:t>3.4. 本招标项目</w:t>
      </w:r>
      <w:r>
        <w:rPr>
          <w:rFonts w:hint="default"/>
          <w:color w:val="auto"/>
          <w:sz w:val="24"/>
          <w:szCs w:val="24"/>
          <w:u w:val="single"/>
          <w:lang w:val="en-US" w:eastAsia="zh-CN"/>
        </w:rPr>
        <w:t> </w:t>
      </w:r>
      <w:r>
        <w:rPr>
          <w:rFonts w:hint="eastAsia"/>
          <w:color w:val="auto"/>
          <w:sz w:val="24"/>
          <w:szCs w:val="24"/>
          <w:u w:val="single"/>
          <w:lang w:val="en-US" w:eastAsia="zh-CN"/>
        </w:rPr>
        <w:t xml:space="preserve"> </w:t>
      </w:r>
      <w:r>
        <w:rPr>
          <w:rFonts w:hint="default"/>
          <w:color w:val="auto"/>
          <w:sz w:val="24"/>
          <w:szCs w:val="24"/>
          <w:u w:val="single"/>
          <w:lang w:val="en-US" w:eastAsia="zh-CN"/>
        </w:rPr>
        <w:t>不应用 </w:t>
      </w:r>
      <w:r>
        <w:rPr>
          <w:rFonts w:hint="eastAsia"/>
          <w:color w:val="auto"/>
          <w:sz w:val="24"/>
          <w:szCs w:val="24"/>
          <w:u w:val="single"/>
          <w:lang w:val="en-US" w:eastAsia="zh-CN"/>
        </w:rPr>
        <w:t xml:space="preserve"> </w:t>
      </w:r>
      <w:r>
        <w:rPr>
          <w:rFonts w:hint="default"/>
          <w:color w:val="auto"/>
          <w:sz w:val="24"/>
          <w:szCs w:val="24"/>
          <w:lang w:val="en-US" w:eastAsia="zh-CN"/>
        </w:rPr>
        <w:t>福建省建筑施工企业信用综合评价分值。</w:t>
      </w:r>
    </w:p>
    <w:p>
      <w:pPr>
        <w:ind w:firstLine="480" w:firstLineChars="200"/>
        <w:rPr>
          <w:rFonts w:hint="default"/>
          <w:color w:val="auto"/>
          <w:sz w:val="24"/>
          <w:szCs w:val="24"/>
          <w:lang w:val="en-US" w:eastAsia="zh-CN"/>
        </w:rPr>
      </w:pPr>
      <w:r>
        <w:rPr>
          <w:rFonts w:hint="default"/>
          <w:color w:val="auto"/>
          <w:sz w:val="24"/>
          <w:szCs w:val="24"/>
          <w:lang w:val="en-US" w:eastAsia="zh-CN"/>
        </w:rPr>
        <w:t>3.5. 投标人“类似工程业绩”要求：</w:t>
      </w:r>
      <w:r>
        <w:rPr>
          <w:rFonts w:hint="default"/>
          <w:color w:val="auto"/>
          <w:sz w:val="24"/>
          <w:szCs w:val="24"/>
          <w:u w:val="single"/>
          <w:lang w:val="en-US" w:eastAsia="zh-CN"/>
        </w:rPr>
        <w:t>不要求</w:t>
      </w:r>
      <w:r>
        <w:rPr>
          <w:rFonts w:hint="default"/>
          <w:color w:val="auto"/>
          <w:sz w:val="24"/>
          <w:szCs w:val="24"/>
          <w:lang w:val="en-US" w:eastAsia="zh-CN"/>
        </w:rPr>
        <w:t>。</w:t>
      </w:r>
    </w:p>
    <w:p>
      <w:pPr>
        <w:ind w:firstLine="480" w:firstLineChars="200"/>
        <w:rPr>
          <w:rFonts w:hint="default"/>
          <w:color w:val="auto"/>
          <w:sz w:val="24"/>
          <w:szCs w:val="24"/>
          <w:lang w:val="en-US" w:eastAsia="zh-CN"/>
        </w:rPr>
      </w:pPr>
      <w:r>
        <w:rPr>
          <w:rFonts w:hint="default"/>
          <w:color w:val="auto"/>
          <w:sz w:val="24"/>
          <w:szCs w:val="24"/>
          <w:lang w:val="en-US" w:eastAsia="zh-CN"/>
        </w:rPr>
        <w:t>3.6. 各投标人均可就本招标项目上述标段中的</w:t>
      </w:r>
      <w:r>
        <w:rPr>
          <w:rFonts w:hint="eastAsia"/>
          <w:color w:val="auto"/>
          <w:sz w:val="24"/>
          <w:szCs w:val="24"/>
          <w:u w:val="single"/>
          <w:lang w:val="en-US" w:eastAsia="zh-CN"/>
        </w:rPr>
        <w:t xml:space="preserve"> </w:t>
      </w:r>
      <w:r>
        <w:rPr>
          <w:rFonts w:hint="default"/>
          <w:color w:val="auto"/>
          <w:sz w:val="24"/>
          <w:szCs w:val="24"/>
          <w:u w:val="single"/>
          <w:lang w:val="en-US" w:eastAsia="zh-CN"/>
        </w:rPr>
        <w:t>一 </w:t>
      </w:r>
      <w:r>
        <w:rPr>
          <w:rFonts w:hint="eastAsia"/>
          <w:color w:val="auto"/>
          <w:sz w:val="24"/>
          <w:szCs w:val="24"/>
          <w:u w:val="single"/>
          <w:lang w:val="en-US" w:eastAsia="zh-CN"/>
        </w:rPr>
        <w:t xml:space="preserve"> </w:t>
      </w:r>
      <w:r>
        <w:rPr>
          <w:rFonts w:hint="default"/>
          <w:color w:val="auto"/>
          <w:sz w:val="24"/>
          <w:szCs w:val="24"/>
          <w:lang w:val="en-US" w:eastAsia="zh-CN"/>
        </w:rPr>
        <w:t>个标段投标，但最多允许中标</w:t>
      </w:r>
      <w:r>
        <w:rPr>
          <w:rFonts w:hint="eastAsia"/>
          <w:color w:val="auto"/>
          <w:sz w:val="24"/>
          <w:szCs w:val="24"/>
          <w:u w:val="single"/>
          <w:lang w:val="en-US" w:eastAsia="zh-CN"/>
        </w:rPr>
        <w:t xml:space="preserve"> </w:t>
      </w:r>
      <w:r>
        <w:rPr>
          <w:rFonts w:hint="default"/>
          <w:color w:val="auto"/>
          <w:sz w:val="24"/>
          <w:szCs w:val="24"/>
          <w:u w:val="single"/>
          <w:lang w:val="en-US" w:eastAsia="zh-CN"/>
        </w:rPr>
        <w:t>一</w:t>
      </w:r>
      <w:r>
        <w:rPr>
          <w:rFonts w:hint="eastAsia"/>
          <w:color w:val="auto"/>
          <w:sz w:val="24"/>
          <w:szCs w:val="24"/>
          <w:u w:val="single"/>
          <w:lang w:val="en-US" w:eastAsia="zh-CN"/>
        </w:rPr>
        <w:t xml:space="preserve"> </w:t>
      </w:r>
      <w:r>
        <w:rPr>
          <w:rFonts w:hint="default"/>
          <w:color w:val="auto"/>
          <w:sz w:val="24"/>
          <w:szCs w:val="24"/>
          <w:lang w:val="en-US" w:eastAsia="zh-CN"/>
        </w:rPr>
        <w:t>个标段。（适用于分标段的招标项目）</w:t>
      </w:r>
    </w:p>
    <w:p>
      <w:pPr>
        <w:ind w:firstLine="480" w:firstLineChars="200"/>
        <w:rPr>
          <w:rFonts w:hint="default"/>
          <w:color w:val="auto"/>
          <w:sz w:val="24"/>
          <w:szCs w:val="24"/>
          <w:lang w:val="en-US" w:eastAsia="zh-CN"/>
        </w:rPr>
      </w:pPr>
      <w:r>
        <w:rPr>
          <w:rFonts w:hint="default"/>
          <w:color w:val="auto"/>
          <w:sz w:val="24"/>
          <w:szCs w:val="24"/>
          <w:lang w:val="en-US" w:eastAsia="zh-CN"/>
        </w:rPr>
        <w:t>3.7. 其他资格要求：</w:t>
      </w:r>
      <w:r>
        <w:rPr>
          <w:rFonts w:hint="default"/>
          <w:color w:val="auto"/>
          <w:sz w:val="24"/>
          <w:szCs w:val="24"/>
          <w:u w:val="single"/>
          <w:lang w:val="en-US" w:eastAsia="zh-CN"/>
        </w:rPr>
        <w:t>1、投标人应在人员、设备、资金等方面具有承担本招标项目（标段）施工的能力，具体要求详见招标文件；2、本招标项目不要求中标人在项目所在地设立分（子）公司，中标人应当依法履行纳税义务。</w:t>
      </w:r>
    </w:p>
    <w:p>
      <w:pPr>
        <w:ind w:firstLine="480" w:firstLineChars="200"/>
        <w:rPr>
          <w:rFonts w:hint="default"/>
          <w:color w:val="auto"/>
          <w:sz w:val="24"/>
          <w:szCs w:val="24"/>
          <w:lang w:val="en-US" w:eastAsia="zh-CN"/>
        </w:rPr>
      </w:pPr>
      <w:r>
        <w:rPr>
          <w:rFonts w:hint="default"/>
          <w:color w:val="auto"/>
          <w:sz w:val="24"/>
          <w:szCs w:val="24"/>
          <w:lang w:val="en-US" w:eastAsia="zh-CN"/>
        </w:rPr>
        <w:t>3.8. 本招标项目采用</w:t>
      </w:r>
      <w:r>
        <w:rPr>
          <w:rFonts w:hint="eastAsia"/>
          <w:color w:val="auto"/>
          <w:sz w:val="24"/>
          <w:szCs w:val="24"/>
          <w:u w:val="single"/>
          <w:lang w:val="en-US" w:eastAsia="zh-CN"/>
        </w:rPr>
        <w:t xml:space="preserve"> </w:t>
      </w:r>
      <w:r>
        <w:rPr>
          <w:rFonts w:hint="default"/>
          <w:color w:val="auto"/>
          <w:sz w:val="24"/>
          <w:szCs w:val="24"/>
          <w:u w:val="single"/>
          <w:lang w:val="en-US" w:eastAsia="zh-CN"/>
        </w:rPr>
        <w:t>资格后审</w:t>
      </w:r>
      <w:r>
        <w:rPr>
          <w:rFonts w:hint="eastAsia"/>
          <w:color w:val="auto"/>
          <w:sz w:val="24"/>
          <w:szCs w:val="24"/>
          <w:u w:val="single"/>
          <w:lang w:val="en-US" w:eastAsia="zh-CN"/>
        </w:rPr>
        <w:t xml:space="preserve"> </w:t>
      </w:r>
      <w:r>
        <w:rPr>
          <w:rFonts w:hint="default"/>
          <w:color w:val="auto"/>
          <w:sz w:val="24"/>
          <w:szCs w:val="24"/>
          <w:lang w:val="en-US" w:eastAsia="zh-CN"/>
        </w:rPr>
        <w:t>方式对投标人的资格进行审查。</w:t>
      </w:r>
    </w:p>
    <w:p>
      <w:pPr>
        <w:rPr>
          <w:rFonts w:hint="default"/>
          <w:b/>
          <w:bCs/>
          <w:color w:val="auto"/>
          <w:sz w:val="28"/>
          <w:szCs w:val="28"/>
          <w:lang w:val="en-US" w:eastAsia="zh-CN"/>
        </w:rPr>
      </w:pPr>
      <w:r>
        <w:rPr>
          <w:rFonts w:hint="default"/>
          <w:b/>
          <w:bCs/>
          <w:color w:val="auto"/>
          <w:sz w:val="28"/>
          <w:szCs w:val="28"/>
          <w:lang w:val="en-US" w:eastAsia="zh-CN"/>
        </w:rPr>
        <w:t>4. 招标文件的获取</w:t>
      </w:r>
    </w:p>
    <w:p>
      <w:pPr>
        <w:ind w:firstLine="480" w:firstLineChars="200"/>
        <w:rPr>
          <w:rFonts w:hint="default"/>
          <w:b/>
          <w:bCs/>
          <w:color w:val="auto"/>
          <w:sz w:val="28"/>
          <w:szCs w:val="28"/>
          <w:lang w:val="en-US" w:eastAsia="zh-CN"/>
        </w:rPr>
      </w:pPr>
      <w:r>
        <w:rPr>
          <w:rFonts w:hint="default"/>
          <w:color w:val="auto"/>
          <w:sz w:val="24"/>
          <w:szCs w:val="24"/>
          <w:lang w:val="en-US" w:eastAsia="zh-CN"/>
        </w:rPr>
        <w:t>凡有意参加投标者，请于</w:t>
      </w:r>
      <w:r>
        <w:rPr>
          <w:rFonts w:hint="default"/>
          <w:color w:val="auto"/>
          <w:sz w:val="24"/>
          <w:szCs w:val="24"/>
          <w:u w:val="single"/>
          <w:lang w:val="en-US" w:eastAsia="zh-CN"/>
        </w:rPr>
        <w:t>202</w:t>
      </w:r>
      <w:r>
        <w:rPr>
          <w:rFonts w:hint="eastAsia"/>
          <w:color w:val="auto"/>
          <w:sz w:val="24"/>
          <w:szCs w:val="24"/>
          <w:u w:val="single"/>
          <w:lang w:val="en-US" w:eastAsia="zh-CN"/>
        </w:rPr>
        <w:t>3</w:t>
      </w:r>
      <w:r>
        <w:rPr>
          <w:rFonts w:hint="default"/>
          <w:color w:val="auto"/>
          <w:sz w:val="24"/>
          <w:szCs w:val="24"/>
          <w:lang w:val="en-US" w:eastAsia="zh-CN"/>
        </w:rPr>
        <w:t>年</w:t>
      </w:r>
      <w:r>
        <w:rPr>
          <w:rFonts w:hint="eastAsia"/>
          <w:color w:val="auto"/>
          <w:sz w:val="24"/>
          <w:szCs w:val="24"/>
          <w:u w:val="single"/>
          <w:lang w:val="en-US" w:eastAsia="zh-CN"/>
        </w:rPr>
        <w:t>08</w:t>
      </w:r>
      <w:r>
        <w:rPr>
          <w:rFonts w:hint="default"/>
          <w:color w:val="auto"/>
          <w:sz w:val="24"/>
          <w:szCs w:val="24"/>
          <w:lang w:val="en-US" w:eastAsia="zh-CN"/>
        </w:rPr>
        <w:t>月</w:t>
      </w:r>
      <w:r>
        <w:rPr>
          <w:rFonts w:hint="eastAsia"/>
          <w:color w:val="auto"/>
          <w:sz w:val="24"/>
          <w:szCs w:val="24"/>
          <w:u w:val="single"/>
          <w:lang w:val="en-US" w:eastAsia="zh-CN"/>
        </w:rPr>
        <w:t>08</w:t>
      </w:r>
      <w:r>
        <w:rPr>
          <w:rFonts w:hint="default"/>
          <w:color w:val="auto"/>
          <w:sz w:val="24"/>
          <w:szCs w:val="24"/>
          <w:lang w:val="en-US" w:eastAsia="zh-CN"/>
        </w:rPr>
        <w:t>日</w:t>
      </w:r>
      <w:r>
        <w:rPr>
          <w:rFonts w:hint="default"/>
          <w:color w:val="auto"/>
          <w:sz w:val="24"/>
          <w:szCs w:val="24"/>
          <w:u w:val="single"/>
          <w:lang w:val="en-US" w:eastAsia="zh-CN"/>
        </w:rPr>
        <w:t> 08</w:t>
      </w:r>
      <w:r>
        <w:rPr>
          <w:rFonts w:hint="default"/>
          <w:color w:val="auto"/>
          <w:sz w:val="24"/>
          <w:szCs w:val="24"/>
          <w:lang w:val="en-US" w:eastAsia="zh-CN"/>
        </w:rPr>
        <w:t>时</w:t>
      </w:r>
      <w:r>
        <w:rPr>
          <w:rFonts w:hint="default"/>
          <w:color w:val="auto"/>
          <w:sz w:val="24"/>
          <w:szCs w:val="24"/>
          <w:u w:val="single"/>
          <w:lang w:val="en-US" w:eastAsia="zh-CN"/>
        </w:rPr>
        <w:t>00</w:t>
      </w:r>
      <w:r>
        <w:rPr>
          <w:rFonts w:hint="default"/>
          <w:color w:val="auto"/>
          <w:sz w:val="24"/>
          <w:szCs w:val="24"/>
          <w:lang w:val="en-US" w:eastAsia="zh-CN"/>
        </w:rPr>
        <w:t>分</w:t>
      </w:r>
      <w:r>
        <w:rPr>
          <w:rFonts w:hint="default"/>
          <w:color w:val="auto"/>
          <w:sz w:val="24"/>
          <w:szCs w:val="24"/>
          <w:u w:val="single"/>
          <w:lang w:val="en-US" w:eastAsia="zh-CN"/>
        </w:rPr>
        <w:t>00</w:t>
      </w:r>
      <w:r>
        <w:rPr>
          <w:rFonts w:hint="default"/>
          <w:color w:val="auto"/>
          <w:sz w:val="24"/>
          <w:szCs w:val="24"/>
          <w:lang w:val="en-US" w:eastAsia="zh-CN"/>
        </w:rPr>
        <w:t>秒至</w:t>
      </w:r>
      <w:r>
        <w:rPr>
          <w:rFonts w:hint="default"/>
          <w:color w:val="auto"/>
          <w:sz w:val="24"/>
          <w:szCs w:val="24"/>
          <w:u w:val="single"/>
          <w:lang w:val="en-US" w:eastAsia="zh-CN"/>
        </w:rPr>
        <w:t>202</w:t>
      </w:r>
      <w:r>
        <w:rPr>
          <w:rFonts w:hint="eastAsia"/>
          <w:color w:val="auto"/>
          <w:sz w:val="24"/>
          <w:szCs w:val="24"/>
          <w:u w:val="single"/>
          <w:lang w:val="en-US" w:eastAsia="zh-CN"/>
        </w:rPr>
        <w:t>3</w:t>
      </w:r>
      <w:r>
        <w:rPr>
          <w:rFonts w:hint="default"/>
          <w:color w:val="auto"/>
          <w:sz w:val="24"/>
          <w:szCs w:val="24"/>
          <w:lang w:val="en-US" w:eastAsia="zh-CN"/>
        </w:rPr>
        <w:t>年</w:t>
      </w:r>
      <w:r>
        <w:rPr>
          <w:rFonts w:hint="eastAsia"/>
          <w:color w:val="auto"/>
          <w:sz w:val="24"/>
          <w:szCs w:val="24"/>
          <w:u w:val="single"/>
          <w:lang w:val="en-US" w:eastAsia="zh-CN"/>
        </w:rPr>
        <w:t>08</w:t>
      </w:r>
      <w:r>
        <w:rPr>
          <w:rFonts w:hint="default"/>
          <w:color w:val="auto"/>
          <w:sz w:val="24"/>
          <w:szCs w:val="24"/>
          <w:lang w:val="en-US" w:eastAsia="zh-CN"/>
        </w:rPr>
        <w:t>月</w:t>
      </w:r>
      <w:r>
        <w:rPr>
          <w:rFonts w:hint="eastAsia"/>
          <w:color w:val="auto"/>
          <w:sz w:val="24"/>
          <w:szCs w:val="24"/>
          <w:u w:val="single"/>
          <w:lang w:val="en-US" w:eastAsia="zh-CN"/>
        </w:rPr>
        <w:t>17</w:t>
      </w:r>
      <w:r>
        <w:rPr>
          <w:rFonts w:hint="default"/>
          <w:color w:val="auto"/>
          <w:sz w:val="24"/>
          <w:szCs w:val="24"/>
          <w:lang w:val="en-US" w:eastAsia="zh-CN"/>
        </w:rPr>
        <w:t>日</w:t>
      </w:r>
      <w:r>
        <w:rPr>
          <w:rFonts w:hint="default"/>
          <w:color w:val="auto"/>
          <w:sz w:val="24"/>
          <w:szCs w:val="24"/>
          <w:u w:val="single"/>
          <w:lang w:val="en-US" w:eastAsia="zh-CN"/>
        </w:rPr>
        <w:t>1</w:t>
      </w:r>
      <w:r>
        <w:rPr>
          <w:rFonts w:hint="eastAsia"/>
          <w:color w:val="auto"/>
          <w:sz w:val="24"/>
          <w:szCs w:val="24"/>
          <w:u w:val="single"/>
          <w:lang w:val="en-US" w:eastAsia="zh-CN"/>
        </w:rPr>
        <w:t>7</w:t>
      </w:r>
      <w:r>
        <w:rPr>
          <w:rFonts w:hint="default"/>
          <w:color w:val="auto"/>
          <w:sz w:val="24"/>
          <w:szCs w:val="24"/>
          <w:lang w:val="en-US" w:eastAsia="zh-CN"/>
        </w:rPr>
        <w:t>时</w:t>
      </w:r>
      <w:r>
        <w:rPr>
          <w:rFonts w:hint="eastAsia"/>
          <w:color w:val="auto"/>
          <w:sz w:val="24"/>
          <w:szCs w:val="24"/>
          <w:u w:val="single"/>
          <w:lang w:val="en-US" w:eastAsia="zh-CN"/>
        </w:rPr>
        <w:t>3</w:t>
      </w:r>
      <w:r>
        <w:rPr>
          <w:rFonts w:hint="default"/>
          <w:color w:val="auto"/>
          <w:sz w:val="24"/>
          <w:szCs w:val="24"/>
          <w:u w:val="single"/>
          <w:lang w:val="en-US" w:eastAsia="zh-CN"/>
        </w:rPr>
        <w:t>0</w:t>
      </w:r>
      <w:r>
        <w:rPr>
          <w:rFonts w:hint="default"/>
          <w:color w:val="auto"/>
          <w:sz w:val="24"/>
          <w:szCs w:val="24"/>
          <w:lang w:val="en-US" w:eastAsia="zh-CN"/>
        </w:rPr>
        <w:t>分</w:t>
      </w:r>
      <w:r>
        <w:rPr>
          <w:rFonts w:hint="default"/>
          <w:color w:val="auto"/>
          <w:sz w:val="24"/>
          <w:szCs w:val="24"/>
          <w:u w:val="single"/>
          <w:lang w:val="en-US" w:eastAsia="zh-CN"/>
        </w:rPr>
        <w:t>00</w:t>
      </w:r>
      <w:r>
        <w:rPr>
          <w:rFonts w:hint="default"/>
          <w:color w:val="auto"/>
          <w:sz w:val="24"/>
          <w:szCs w:val="24"/>
          <w:lang w:val="en-US" w:eastAsia="zh-CN"/>
        </w:rPr>
        <w:t>秒通过</w:t>
      </w:r>
      <w:r>
        <w:rPr>
          <w:rFonts w:hint="default"/>
          <w:color w:val="auto"/>
          <w:sz w:val="24"/>
          <w:szCs w:val="24"/>
          <w:u w:val="single"/>
          <w:lang w:val="en-US" w:eastAsia="zh-CN"/>
        </w:rPr>
        <w:t>易交易电子招标投标交易平台（https://www.enjoy5191.com/）</w:t>
      </w:r>
      <w:r>
        <w:rPr>
          <w:rFonts w:hint="default"/>
          <w:color w:val="auto"/>
          <w:sz w:val="24"/>
          <w:szCs w:val="24"/>
          <w:lang w:val="en-US" w:eastAsia="zh-CN"/>
        </w:rPr>
        <w:t>采取无记名方式下载电子招标文件等相关资料。本招标项目电子招标文件使用</w:t>
      </w:r>
      <w:r>
        <w:rPr>
          <w:rFonts w:hint="default"/>
          <w:color w:val="auto"/>
          <w:sz w:val="24"/>
          <w:szCs w:val="24"/>
          <w:u w:val="single"/>
          <w:lang w:val="en-US" w:eastAsia="zh-CN"/>
        </w:rPr>
        <w:t>福建随行软件有限公司易交易电子招标投标交易平台</w:t>
      </w:r>
      <w:r>
        <w:rPr>
          <w:rFonts w:hint="default"/>
          <w:color w:val="auto"/>
          <w:sz w:val="24"/>
          <w:szCs w:val="24"/>
          <w:lang w:val="en-US" w:eastAsia="zh-CN"/>
        </w:rPr>
        <w:t>打开。招标资料每套售价</w:t>
      </w:r>
      <w:r>
        <w:rPr>
          <w:rFonts w:hint="eastAsia"/>
          <w:color w:val="auto"/>
          <w:sz w:val="24"/>
          <w:szCs w:val="24"/>
          <w:u w:val="single"/>
          <w:lang w:val="en-US" w:eastAsia="zh-CN"/>
        </w:rPr>
        <w:t>3</w:t>
      </w:r>
      <w:r>
        <w:rPr>
          <w:rFonts w:hint="default"/>
          <w:color w:val="auto"/>
          <w:sz w:val="24"/>
          <w:szCs w:val="24"/>
          <w:u w:val="single"/>
          <w:lang w:val="en-US" w:eastAsia="zh-CN"/>
        </w:rPr>
        <w:t>00</w:t>
      </w:r>
      <w:r>
        <w:rPr>
          <w:rFonts w:hint="default"/>
          <w:color w:val="auto"/>
          <w:sz w:val="24"/>
          <w:szCs w:val="24"/>
          <w:lang w:val="en-US" w:eastAsia="zh-CN"/>
        </w:rPr>
        <w:t>元，过期不售，售后不退。对平台操作有任何疑问，请联系福建随行软件有限公司，联系电话:</w:t>
      </w:r>
      <w:r>
        <w:rPr>
          <w:rFonts w:hint="default"/>
          <w:color w:val="auto"/>
          <w:sz w:val="24"/>
          <w:szCs w:val="24"/>
          <w:u w:val="single"/>
          <w:lang w:val="en-US" w:eastAsia="zh-CN"/>
        </w:rPr>
        <w:t>4008705191</w:t>
      </w:r>
      <w:r>
        <w:rPr>
          <w:rFonts w:hint="default"/>
          <w:color w:val="auto"/>
          <w:sz w:val="24"/>
          <w:szCs w:val="24"/>
          <w:lang w:val="en-US" w:eastAsia="zh-CN"/>
        </w:rPr>
        <w:t>。</w:t>
      </w:r>
    </w:p>
    <w:p>
      <w:pPr>
        <w:rPr>
          <w:rFonts w:hint="default"/>
          <w:b/>
          <w:bCs/>
          <w:color w:val="auto"/>
          <w:sz w:val="28"/>
          <w:szCs w:val="28"/>
          <w:lang w:val="en-US" w:eastAsia="zh-CN"/>
        </w:rPr>
      </w:pPr>
      <w:r>
        <w:rPr>
          <w:rFonts w:hint="default"/>
          <w:b/>
          <w:bCs/>
          <w:color w:val="auto"/>
          <w:sz w:val="28"/>
          <w:szCs w:val="28"/>
          <w:lang w:val="en-US" w:eastAsia="zh-CN"/>
        </w:rPr>
        <w:t>5. 评标办法</w:t>
      </w:r>
    </w:p>
    <w:p>
      <w:pPr>
        <w:ind w:firstLine="480" w:firstLineChars="200"/>
        <w:rPr>
          <w:rFonts w:hint="default"/>
          <w:color w:val="auto"/>
          <w:sz w:val="24"/>
          <w:szCs w:val="24"/>
          <w:lang w:val="en-US" w:eastAsia="zh-CN"/>
        </w:rPr>
      </w:pPr>
      <w:r>
        <w:rPr>
          <w:rFonts w:hint="default"/>
          <w:color w:val="auto"/>
          <w:sz w:val="24"/>
          <w:szCs w:val="24"/>
          <w:lang w:val="en-US" w:eastAsia="zh-CN"/>
        </w:rPr>
        <w:t>本招标项目采用的评标办法 </w:t>
      </w:r>
      <w:r>
        <w:rPr>
          <w:rFonts w:hint="eastAsia"/>
          <w:color w:val="auto"/>
          <w:sz w:val="24"/>
          <w:szCs w:val="24"/>
          <w:lang w:val="en-US" w:eastAsia="zh-CN"/>
        </w:rPr>
        <w:t>：</w:t>
      </w:r>
      <w:r>
        <w:rPr>
          <w:rFonts w:hint="default"/>
          <w:color w:val="auto"/>
          <w:sz w:val="24"/>
          <w:szCs w:val="24"/>
          <w:u w:val="single"/>
          <w:lang w:val="en-US" w:eastAsia="zh-CN"/>
        </w:rPr>
        <w:t>简易评标法</w:t>
      </w:r>
      <w:r>
        <w:rPr>
          <w:rFonts w:hint="default"/>
          <w:color w:val="auto"/>
          <w:sz w:val="24"/>
          <w:szCs w:val="24"/>
          <w:lang w:val="en-US" w:eastAsia="zh-CN"/>
        </w:rPr>
        <w:t>。</w:t>
      </w:r>
    </w:p>
    <w:p>
      <w:pPr>
        <w:rPr>
          <w:rFonts w:hint="default"/>
          <w:b/>
          <w:bCs/>
          <w:color w:val="auto"/>
          <w:sz w:val="28"/>
          <w:szCs w:val="28"/>
          <w:lang w:val="en-US" w:eastAsia="zh-CN"/>
        </w:rPr>
      </w:pPr>
      <w:r>
        <w:rPr>
          <w:rFonts w:hint="default"/>
          <w:b/>
          <w:bCs/>
          <w:color w:val="auto"/>
          <w:sz w:val="28"/>
          <w:szCs w:val="28"/>
          <w:lang w:val="en-US" w:eastAsia="zh-CN"/>
        </w:rPr>
        <w:t>6. 投标保证金的提交</w:t>
      </w:r>
    </w:p>
    <w:p>
      <w:pPr>
        <w:ind w:firstLine="480" w:firstLineChars="200"/>
        <w:rPr>
          <w:rFonts w:hint="default"/>
          <w:color w:val="auto"/>
          <w:sz w:val="24"/>
          <w:szCs w:val="24"/>
          <w:u w:val="single"/>
          <w:lang w:val="en-US" w:eastAsia="zh-CN"/>
        </w:rPr>
      </w:pPr>
      <w:r>
        <w:rPr>
          <w:rFonts w:hint="default"/>
          <w:color w:val="auto"/>
          <w:sz w:val="24"/>
          <w:szCs w:val="24"/>
          <w:lang w:val="en-US" w:eastAsia="zh-CN"/>
        </w:rPr>
        <w:t>6.1.投标保证金提交的时间：</w:t>
      </w:r>
      <w:r>
        <w:rPr>
          <w:rFonts w:hint="default"/>
          <w:color w:val="auto"/>
          <w:sz w:val="24"/>
          <w:szCs w:val="24"/>
          <w:u w:val="single"/>
          <w:lang w:val="en-US" w:eastAsia="zh-CN"/>
        </w:rPr>
        <w:t>投标申请人应于202</w:t>
      </w:r>
      <w:r>
        <w:rPr>
          <w:rFonts w:hint="eastAsia"/>
          <w:color w:val="auto"/>
          <w:sz w:val="24"/>
          <w:szCs w:val="24"/>
          <w:u w:val="single"/>
          <w:lang w:val="en-US" w:eastAsia="zh-CN"/>
        </w:rPr>
        <w:t>3</w:t>
      </w:r>
      <w:r>
        <w:rPr>
          <w:rFonts w:hint="default"/>
          <w:color w:val="auto"/>
          <w:sz w:val="24"/>
          <w:szCs w:val="24"/>
          <w:u w:val="single"/>
          <w:lang w:val="en-US" w:eastAsia="zh-CN"/>
        </w:rPr>
        <w:t>年</w:t>
      </w:r>
      <w:r>
        <w:rPr>
          <w:rFonts w:hint="eastAsia"/>
          <w:color w:val="auto"/>
          <w:sz w:val="24"/>
          <w:szCs w:val="24"/>
          <w:u w:val="single"/>
          <w:lang w:val="en-US" w:eastAsia="zh-CN"/>
        </w:rPr>
        <w:t>08</w:t>
      </w:r>
      <w:r>
        <w:rPr>
          <w:rFonts w:hint="default"/>
          <w:color w:val="auto"/>
          <w:sz w:val="24"/>
          <w:szCs w:val="24"/>
          <w:u w:val="single"/>
          <w:lang w:val="en-US" w:eastAsia="zh-CN"/>
        </w:rPr>
        <w:t>月</w:t>
      </w:r>
      <w:r>
        <w:rPr>
          <w:rFonts w:hint="eastAsia"/>
          <w:color w:val="auto"/>
          <w:sz w:val="24"/>
          <w:szCs w:val="24"/>
          <w:u w:val="single"/>
          <w:lang w:val="en-US" w:eastAsia="zh-CN"/>
        </w:rPr>
        <w:t>17</w:t>
      </w:r>
      <w:r>
        <w:rPr>
          <w:rFonts w:hint="default"/>
          <w:color w:val="auto"/>
          <w:sz w:val="24"/>
          <w:szCs w:val="24"/>
          <w:u w:val="single"/>
          <w:lang w:val="en-US" w:eastAsia="zh-CN"/>
        </w:rPr>
        <w:t>日17：00 前（以银行实时</w:t>
      </w:r>
      <w:r>
        <w:rPr>
          <w:rFonts w:hint="eastAsia"/>
          <w:color w:val="auto"/>
          <w:sz w:val="24"/>
          <w:szCs w:val="24"/>
          <w:u w:val="single"/>
          <w:lang w:val="en-US" w:eastAsia="zh-CN"/>
        </w:rPr>
        <w:t>到</w:t>
      </w:r>
      <w:r>
        <w:rPr>
          <w:rFonts w:hint="default"/>
          <w:color w:val="auto"/>
          <w:sz w:val="24"/>
          <w:szCs w:val="24"/>
          <w:u w:val="single"/>
          <w:lang w:val="en-US" w:eastAsia="zh-CN"/>
        </w:rPr>
        <w:t>账为准）。</w:t>
      </w:r>
    </w:p>
    <w:p>
      <w:pPr>
        <w:ind w:firstLine="480" w:firstLineChars="200"/>
        <w:rPr>
          <w:rFonts w:hint="default"/>
          <w:color w:val="auto"/>
          <w:sz w:val="24"/>
          <w:szCs w:val="24"/>
          <w:lang w:val="en-US" w:eastAsia="zh-CN"/>
        </w:rPr>
      </w:pPr>
      <w:r>
        <w:rPr>
          <w:rFonts w:hint="default"/>
          <w:color w:val="auto"/>
          <w:sz w:val="24"/>
          <w:szCs w:val="24"/>
          <w:lang w:val="en-US" w:eastAsia="zh-CN"/>
        </w:rPr>
        <w:t>6.2.投标保证金提交的金额：人民币</w:t>
      </w:r>
      <w:r>
        <w:rPr>
          <w:rFonts w:hint="default"/>
          <w:color w:val="auto"/>
          <w:sz w:val="24"/>
          <w:szCs w:val="24"/>
          <w:u w:val="single"/>
          <w:lang w:val="en-US" w:eastAsia="zh-CN"/>
        </w:rPr>
        <w:t> </w:t>
      </w:r>
      <w:r>
        <w:rPr>
          <w:rFonts w:hint="eastAsia"/>
          <w:color w:val="auto"/>
          <w:sz w:val="24"/>
          <w:szCs w:val="24"/>
          <w:u w:val="single"/>
          <w:lang w:val="en-US" w:eastAsia="zh-CN"/>
        </w:rPr>
        <w:t>65000元</w:t>
      </w:r>
      <w:r>
        <w:rPr>
          <w:rFonts w:hint="default"/>
          <w:color w:val="auto"/>
          <w:sz w:val="24"/>
          <w:szCs w:val="24"/>
          <w:lang w:val="en-US" w:eastAsia="zh-CN"/>
        </w:rPr>
        <w:t>（下同）。</w:t>
      </w:r>
    </w:p>
    <w:p>
      <w:pPr>
        <w:ind w:firstLine="480" w:firstLineChars="200"/>
        <w:rPr>
          <w:rFonts w:hint="default"/>
          <w:color w:val="auto"/>
          <w:sz w:val="24"/>
          <w:szCs w:val="24"/>
          <w:lang w:val="en-US" w:eastAsia="zh-CN"/>
        </w:rPr>
      </w:pPr>
      <w:r>
        <w:rPr>
          <w:rFonts w:hint="default"/>
          <w:color w:val="auto"/>
          <w:sz w:val="24"/>
          <w:szCs w:val="24"/>
          <w:lang w:val="en-US" w:eastAsia="zh-CN"/>
        </w:rPr>
        <w:t>6.3.投标保证金提交的方式：</w:t>
      </w:r>
      <w:r>
        <w:rPr>
          <w:rFonts w:hint="eastAsia" w:hAnsi="宋体" w:cs="宋体"/>
          <w:color w:val="auto"/>
          <w:sz w:val="24"/>
          <w:szCs w:val="24"/>
          <w:u w:val="single"/>
        </w:rPr>
        <w:t>①</w:t>
      </w:r>
      <w:r>
        <w:rPr>
          <w:rFonts w:hint="eastAsia" w:hAnsi="宋体" w:cs="宋体"/>
          <w:color w:val="auto"/>
          <w:sz w:val="24"/>
          <w:szCs w:val="24"/>
          <w:u w:val="single"/>
          <w:lang w:eastAsia="zh-CN"/>
        </w:rPr>
        <w:t>从投标人企业基本账户以电汇或银行转账的形式汇达投标保证金指定账户；或②电子保险保函应在投标截止时间之前通过随行易交易电子招标投标交易平台在线申请，否则视为未按规定提交投标保证金，资格审查不合格。</w:t>
      </w:r>
      <w:r>
        <w:rPr>
          <w:rFonts w:hint="default"/>
          <w:color w:val="auto"/>
          <w:sz w:val="24"/>
          <w:szCs w:val="24"/>
          <w:lang w:val="en-US" w:eastAsia="zh-CN"/>
        </w:rPr>
        <w:t>   </w:t>
      </w:r>
    </w:p>
    <w:p>
      <w:pPr>
        <w:rPr>
          <w:rFonts w:hint="default"/>
          <w:b/>
          <w:bCs/>
          <w:color w:val="auto"/>
          <w:sz w:val="28"/>
          <w:szCs w:val="28"/>
          <w:lang w:val="en-US" w:eastAsia="zh-CN"/>
        </w:rPr>
      </w:pPr>
      <w:r>
        <w:rPr>
          <w:rFonts w:hint="default"/>
          <w:b/>
          <w:bCs/>
          <w:color w:val="auto"/>
          <w:sz w:val="28"/>
          <w:szCs w:val="28"/>
          <w:lang w:val="en-US" w:eastAsia="zh-CN"/>
        </w:rPr>
        <w:t>7. 投标文件的递交</w:t>
      </w:r>
    </w:p>
    <w:p>
      <w:pPr>
        <w:ind w:firstLine="480" w:firstLineChars="200"/>
        <w:rPr>
          <w:rFonts w:hint="default"/>
          <w:color w:val="auto"/>
          <w:sz w:val="24"/>
          <w:szCs w:val="24"/>
          <w:lang w:val="en-US" w:eastAsia="zh-CN"/>
        </w:rPr>
      </w:pPr>
      <w:r>
        <w:rPr>
          <w:rFonts w:hint="default"/>
          <w:color w:val="auto"/>
          <w:sz w:val="24"/>
          <w:szCs w:val="24"/>
          <w:lang w:val="en-US" w:eastAsia="zh-CN"/>
        </w:rPr>
        <w:t>7.1.投标文件递交的截止时间（开标时间）：</w:t>
      </w:r>
      <w:r>
        <w:rPr>
          <w:rFonts w:hint="default"/>
          <w:color w:val="auto"/>
          <w:sz w:val="24"/>
          <w:szCs w:val="24"/>
          <w:u w:val="single"/>
          <w:lang w:val="en-US" w:eastAsia="zh-CN"/>
        </w:rPr>
        <w:t>202</w:t>
      </w:r>
      <w:r>
        <w:rPr>
          <w:rFonts w:hint="eastAsia"/>
          <w:color w:val="auto"/>
          <w:sz w:val="24"/>
          <w:szCs w:val="24"/>
          <w:u w:val="single"/>
          <w:lang w:val="en-US" w:eastAsia="zh-CN"/>
        </w:rPr>
        <w:t>3</w:t>
      </w:r>
      <w:r>
        <w:rPr>
          <w:rFonts w:hint="default"/>
          <w:color w:val="auto"/>
          <w:sz w:val="24"/>
          <w:szCs w:val="24"/>
          <w:lang w:val="en-US" w:eastAsia="zh-CN"/>
        </w:rPr>
        <w:t>年</w:t>
      </w:r>
      <w:r>
        <w:rPr>
          <w:rFonts w:hint="eastAsia"/>
          <w:color w:val="auto"/>
          <w:sz w:val="24"/>
          <w:szCs w:val="24"/>
          <w:u w:val="single"/>
          <w:lang w:val="en-US" w:eastAsia="zh-CN"/>
        </w:rPr>
        <w:t>08</w:t>
      </w:r>
      <w:r>
        <w:rPr>
          <w:rFonts w:hint="default"/>
          <w:color w:val="auto"/>
          <w:sz w:val="24"/>
          <w:szCs w:val="24"/>
          <w:lang w:val="en-US" w:eastAsia="zh-CN"/>
        </w:rPr>
        <w:t>月</w:t>
      </w:r>
      <w:r>
        <w:rPr>
          <w:rFonts w:hint="eastAsia"/>
          <w:color w:val="auto"/>
          <w:sz w:val="24"/>
          <w:szCs w:val="24"/>
          <w:u w:val="single"/>
          <w:lang w:val="en-US" w:eastAsia="zh-CN"/>
        </w:rPr>
        <w:t>18</w:t>
      </w:r>
      <w:r>
        <w:rPr>
          <w:rFonts w:hint="default"/>
          <w:color w:val="auto"/>
          <w:sz w:val="24"/>
          <w:szCs w:val="24"/>
          <w:lang w:val="en-US" w:eastAsia="zh-CN"/>
        </w:rPr>
        <w:t>日</w:t>
      </w:r>
      <w:r>
        <w:rPr>
          <w:rFonts w:hint="eastAsia"/>
          <w:color w:val="auto"/>
          <w:sz w:val="24"/>
          <w:szCs w:val="24"/>
          <w:u w:val="single"/>
          <w:lang w:val="en-US" w:eastAsia="zh-CN"/>
        </w:rPr>
        <w:t>09</w:t>
      </w:r>
      <w:r>
        <w:rPr>
          <w:rFonts w:hint="default"/>
          <w:color w:val="auto"/>
          <w:sz w:val="24"/>
          <w:szCs w:val="24"/>
          <w:lang w:val="en-US" w:eastAsia="zh-CN"/>
        </w:rPr>
        <w:t>时</w:t>
      </w:r>
      <w:r>
        <w:rPr>
          <w:rFonts w:hint="eastAsia"/>
          <w:color w:val="auto"/>
          <w:sz w:val="24"/>
          <w:szCs w:val="24"/>
          <w:u w:val="single"/>
          <w:lang w:val="en-US" w:eastAsia="zh-CN"/>
        </w:rPr>
        <w:t>30</w:t>
      </w:r>
      <w:r>
        <w:rPr>
          <w:rFonts w:hint="default"/>
          <w:color w:val="auto"/>
          <w:sz w:val="24"/>
          <w:szCs w:val="24"/>
          <w:lang w:val="en-US" w:eastAsia="zh-CN"/>
        </w:rPr>
        <w:t>分，投标人应在截止时间前通过</w:t>
      </w:r>
      <w:r>
        <w:rPr>
          <w:rFonts w:hint="default"/>
          <w:color w:val="auto"/>
          <w:sz w:val="24"/>
          <w:szCs w:val="24"/>
          <w:u w:val="single"/>
          <w:lang w:val="en-US" w:eastAsia="zh-CN"/>
        </w:rPr>
        <w:t> 易交易电子招标投标交易平台（https://www.enjoy5191.com）</w:t>
      </w:r>
      <w:r>
        <w:rPr>
          <w:rFonts w:hint="default"/>
          <w:color w:val="auto"/>
          <w:sz w:val="24"/>
          <w:szCs w:val="24"/>
          <w:u w:val="none"/>
          <w:lang w:val="en-US" w:eastAsia="zh-CN"/>
        </w:rPr>
        <w:t>递</w:t>
      </w:r>
      <w:r>
        <w:rPr>
          <w:rFonts w:hint="default"/>
          <w:color w:val="auto"/>
          <w:sz w:val="24"/>
          <w:szCs w:val="24"/>
          <w:lang w:val="en-US" w:eastAsia="zh-CN"/>
        </w:rPr>
        <w:t>交电子投标文件。</w:t>
      </w:r>
    </w:p>
    <w:p>
      <w:pPr>
        <w:ind w:firstLine="480" w:firstLineChars="200"/>
        <w:rPr>
          <w:rFonts w:hint="default"/>
          <w:color w:val="auto"/>
          <w:sz w:val="24"/>
          <w:szCs w:val="24"/>
          <w:lang w:val="en-US" w:eastAsia="zh-CN"/>
        </w:rPr>
      </w:pPr>
      <w:r>
        <w:rPr>
          <w:rFonts w:hint="default"/>
          <w:color w:val="auto"/>
          <w:sz w:val="24"/>
          <w:szCs w:val="24"/>
          <w:lang w:val="en-US" w:eastAsia="zh-CN"/>
        </w:rPr>
        <w:t>7.2.逾期递交电子投标文件的，电子招标投标交易平台将予以拒收。</w:t>
      </w:r>
    </w:p>
    <w:p>
      <w:pPr>
        <w:ind w:firstLine="480" w:firstLineChars="200"/>
        <w:rPr>
          <w:rFonts w:hint="default"/>
          <w:color w:val="auto"/>
          <w:sz w:val="24"/>
          <w:szCs w:val="24"/>
          <w:lang w:val="en-US" w:eastAsia="zh-CN"/>
        </w:rPr>
      </w:pPr>
      <w:r>
        <w:rPr>
          <w:rFonts w:hint="default"/>
          <w:color w:val="auto"/>
          <w:sz w:val="24"/>
          <w:szCs w:val="24"/>
          <w:lang w:val="en-US" w:eastAsia="zh-CN"/>
        </w:rPr>
        <w:t>7.3.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pPr>
        <w:ind w:firstLine="480" w:firstLineChars="200"/>
        <w:rPr>
          <w:rFonts w:hint="default"/>
          <w:color w:val="auto"/>
          <w:sz w:val="24"/>
          <w:szCs w:val="24"/>
          <w:lang w:val="en-US" w:eastAsia="zh-CN"/>
        </w:rPr>
      </w:pPr>
      <w:r>
        <w:rPr>
          <w:rFonts w:hint="default"/>
          <w:color w:val="auto"/>
          <w:sz w:val="24"/>
          <w:szCs w:val="24"/>
          <w:lang w:val="en-US" w:eastAsia="zh-CN"/>
        </w:rPr>
        <w:t>7.4电子投标文件解密：</w:t>
      </w:r>
    </w:p>
    <w:p>
      <w:pPr>
        <w:ind w:firstLine="480" w:firstLineChars="200"/>
        <w:rPr>
          <w:rFonts w:hint="default"/>
          <w:color w:val="auto"/>
          <w:sz w:val="24"/>
          <w:szCs w:val="24"/>
          <w:lang w:val="en-US" w:eastAsia="zh-CN"/>
        </w:rPr>
      </w:pPr>
      <w:r>
        <w:rPr>
          <w:rFonts w:hint="default"/>
          <w:color w:val="auto"/>
          <w:sz w:val="24"/>
          <w:szCs w:val="24"/>
          <w:lang w:val="en-US" w:eastAsia="zh-CN"/>
        </w:rPr>
        <w:t>投标人应在开始解密时间起</w:t>
      </w:r>
      <w:r>
        <w:rPr>
          <w:rFonts w:hint="default"/>
          <w:color w:val="auto"/>
          <w:sz w:val="24"/>
          <w:szCs w:val="24"/>
          <w:u w:val="single"/>
          <w:lang w:val="en-US" w:eastAsia="zh-CN"/>
        </w:rPr>
        <w:t> 30 </w:t>
      </w:r>
      <w:r>
        <w:rPr>
          <w:rFonts w:hint="default"/>
          <w:color w:val="auto"/>
          <w:sz w:val="24"/>
          <w:szCs w:val="24"/>
          <w:lang w:val="en-US" w:eastAsia="zh-CN"/>
        </w:rPr>
        <w:t>分钟内在线进行电子投标文件的解密操作，因投标人原因未在规定时间内解密，其投标视为无效。</w:t>
      </w:r>
    </w:p>
    <w:p>
      <w:pPr>
        <w:rPr>
          <w:rFonts w:hint="default"/>
          <w:b/>
          <w:bCs/>
          <w:color w:val="auto"/>
          <w:sz w:val="28"/>
          <w:szCs w:val="28"/>
          <w:lang w:val="en-US" w:eastAsia="zh-CN"/>
        </w:rPr>
      </w:pPr>
      <w:r>
        <w:rPr>
          <w:rFonts w:hint="default"/>
          <w:b/>
          <w:bCs/>
          <w:color w:val="auto"/>
          <w:sz w:val="28"/>
          <w:szCs w:val="28"/>
          <w:lang w:val="en-US" w:eastAsia="zh-CN"/>
        </w:rPr>
        <w:t>8. 发布公告的媒介</w:t>
      </w:r>
    </w:p>
    <w:p>
      <w:pPr>
        <w:ind w:firstLine="224"/>
        <w:rPr>
          <w:rFonts w:hint="default"/>
          <w:color w:val="auto"/>
          <w:sz w:val="24"/>
          <w:szCs w:val="24"/>
          <w:lang w:val="en-US" w:eastAsia="zh-CN"/>
        </w:rPr>
      </w:pPr>
      <w:r>
        <w:rPr>
          <w:rFonts w:hint="default"/>
          <w:color w:val="auto"/>
          <w:sz w:val="24"/>
          <w:szCs w:val="24"/>
          <w:lang w:val="en-US" w:eastAsia="zh-CN"/>
        </w:rPr>
        <w:t>本次招标公告</w:t>
      </w:r>
      <w:r>
        <w:rPr>
          <w:rFonts w:hint="eastAsia"/>
          <w:color w:val="auto"/>
          <w:sz w:val="24"/>
          <w:szCs w:val="24"/>
          <w:lang w:val="en-US" w:eastAsia="zh-CN"/>
        </w:rPr>
        <w:t>同时</w:t>
      </w:r>
      <w:r>
        <w:rPr>
          <w:rFonts w:hint="default"/>
          <w:color w:val="auto"/>
          <w:sz w:val="24"/>
          <w:szCs w:val="24"/>
          <w:lang w:val="en-US" w:eastAsia="zh-CN"/>
        </w:rPr>
        <w:t>在</w:t>
      </w:r>
      <w:r>
        <w:rPr>
          <w:rFonts w:hint="default"/>
          <w:color w:val="auto"/>
          <w:sz w:val="24"/>
          <w:szCs w:val="24"/>
          <w:u w:val="single"/>
          <w:lang w:val="en-US" w:eastAsia="zh-CN"/>
        </w:rPr>
        <w:t>泉州师范学院网（http://www.qztc.edu.cn/）</w:t>
      </w:r>
      <w:r>
        <w:rPr>
          <w:rFonts w:hint="eastAsia" w:ascii="宋体" w:hAnsi="宋体" w:eastAsia="宋体" w:cs="宋体"/>
          <w:i w:val="0"/>
          <w:iCs w:val="0"/>
          <w:caps w:val="0"/>
          <w:color w:val="auto"/>
          <w:spacing w:val="0"/>
          <w:sz w:val="24"/>
          <w:szCs w:val="24"/>
          <w:u w:val="single"/>
          <w:shd w:val="clear" w:fill="FFFFFF"/>
          <w:lang w:eastAsia="zh-CN"/>
        </w:rPr>
        <w:t>、</w:t>
      </w:r>
      <w:r>
        <w:rPr>
          <w:rFonts w:hint="default"/>
          <w:color w:val="auto"/>
          <w:sz w:val="24"/>
          <w:szCs w:val="24"/>
          <w:u w:val="single"/>
          <w:lang w:val="en-US" w:eastAsia="zh-CN"/>
        </w:rPr>
        <w:t>易交易电子招标投标交易平台（https://www.enjoy5191.com）上发布。</w:t>
      </w:r>
    </w:p>
    <w:p>
      <w:pPr>
        <w:rPr>
          <w:rFonts w:hint="default"/>
          <w:b/>
          <w:bCs/>
          <w:color w:val="auto"/>
          <w:sz w:val="28"/>
          <w:szCs w:val="28"/>
          <w:lang w:val="en-US" w:eastAsia="zh-CN"/>
        </w:rPr>
      </w:pPr>
      <w:r>
        <w:rPr>
          <w:rFonts w:hint="default"/>
          <w:b/>
          <w:bCs/>
          <w:color w:val="auto"/>
          <w:sz w:val="28"/>
          <w:szCs w:val="28"/>
          <w:lang w:val="en-US" w:eastAsia="zh-CN"/>
        </w:rPr>
        <w:t>9. 联系方式</w:t>
      </w:r>
    </w:p>
    <w:p>
      <w:pPr>
        <w:ind w:firstLine="480" w:firstLineChars="200"/>
        <w:rPr>
          <w:rFonts w:hint="default"/>
          <w:color w:val="auto"/>
          <w:sz w:val="24"/>
          <w:szCs w:val="24"/>
          <w:lang w:val="en-US" w:eastAsia="zh-CN"/>
        </w:rPr>
      </w:pPr>
      <w:r>
        <w:rPr>
          <w:rFonts w:hint="default"/>
          <w:color w:val="auto"/>
          <w:sz w:val="24"/>
          <w:szCs w:val="24"/>
          <w:lang w:val="en-US" w:eastAsia="zh-CN"/>
        </w:rPr>
        <w:t>招标人：</w:t>
      </w:r>
      <w:r>
        <w:rPr>
          <w:rFonts w:hint="eastAsia"/>
          <w:color w:val="auto"/>
          <w:sz w:val="24"/>
          <w:szCs w:val="24"/>
          <w:u w:val="single"/>
          <w:lang w:val="en-US" w:eastAsia="zh-CN"/>
        </w:rPr>
        <w:t>泉州师范学院</w:t>
      </w:r>
      <w:r>
        <w:rPr>
          <w:rFonts w:hint="default"/>
          <w:color w:val="auto"/>
          <w:sz w:val="24"/>
          <w:szCs w:val="24"/>
          <w:lang w:val="en-US" w:eastAsia="zh-CN"/>
        </w:rPr>
        <w:t>  </w:t>
      </w:r>
    </w:p>
    <w:p>
      <w:pPr>
        <w:ind w:firstLine="480" w:firstLineChars="200"/>
        <w:rPr>
          <w:rFonts w:hint="default"/>
          <w:color w:val="auto"/>
          <w:sz w:val="24"/>
          <w:szCs w:val="24"/>
          <w:lang w:val="en-US" w:eastAsia="zh-CN"/>
        </w:rPr>
      </w:pPr>
      <w:r>
        <w:rPr>
          <w:rFonts w:hint="default"/>
          <w:color w:val="auto"/>
          <w:sz w:val="24"/>
          <w:szCs w:val="24"/>
          <w:lang w:val="en-US" w:eastAsia="zh-CN"/>
        </w:rPr>
        <w:t>地址：</w:t>
      </w:r>
      <w:r>
        <w:rPr>
          <w:rFonts w:hint="default"/>
          <w:color w:val="auto"/>
          <w:sz w:val="24"/>
          <w:szCs w:val="24"/>
          <w:u w:val="single"/>
          <w:lang w:val="en-US" w:eastAsia="zh-CN"/>
        </w:rPr>
        <w:t>泉州市丰泽区东海大街398号</w:t>
      </w:r>
      <w:r>
        <w:rPr>
          <w:rFonts w:hint="default"/>
          <w:color w:val="auto"/>
          <w:sz w:val="24"/>
          <w:szCs w:val="24"/>
          <w:lang w:val="en-US" w:eastAsia="zh-CN"/>
        </w:rPr>
        <w:t> ，邮编：</w:t>
      </w:r>
      <w:r>
        <w:rPr>
          <w:rFonts w:hint="eastAsia"/>
          <w:color w:val="auto"/>
          <w:sz w:val="24"/>
          <w:szCs w:val="24"/>
          <w:u w:val="single"/>
          <w:lang w:val="en-US" w:eastAsia="zh-CN"/>
        </w:rPr>
        <w:t>362046</w:t>
      </w:r>
      <w:r>
        <w:rPr>
          <w:rFonts w:hint="default"/>
          <w:color w:val="auto"/>
          <w:sz w:val="24"/>
          <w:szCs w:val="24"/>
          <w:lang w:val="en-US" w:eastAsia="zh-CN"/>
        </w:rPr>
        <w:t>　</w:t>
      </w:r>
    </w:p>
    <w:p>
      <w:pPr>
        <w:ind w:firstLine="480" w:firstLineChars="200"/>
        <w:rPr>
          <w:rFonts w:hint="eastAsia"/>
          <w:color w:val="auto"/>
          <w:sz w:val="24"/>
          <w:szCs w:val="24"/>
          <w:u w:val="none"/>
          <w:lang w:val="en-US" w:eastAsia="zh-CN"/>
        </w:rPr>
      </w:pPr>
      <w:r>
        <w:rPr>
          <w:rFonts w:hint="default"/>
          <w:color w:val="auto"/>
          <w:sz w:val="24"/>
          <w:szCs w:val="24"/>
          <w:lang w:val="en-US" w:eastAsia="zh-CN"/>
        </w:rPr>
        <w:t>联系人：</w:t>
      </w:r>
      <w:r>
        <w:rPr>
          <w:rFonts w:hint="eastAsia"/>
          <w:color w:val="auto"/>
          <w:sz w:val="24"/>
          <w:szCs w:val="24"/>
          <w:u w:val="single"/>
          <w:lang w:val="en-US" w:eastAsia="zh-CN"/>
        </w:rPr>
        <w:t>陈老师</w:t>
      </w:r>
    </w:p>
    <w:p>
      <w:pPr>
        <w:ind w:firstLine="480" w:firstLineChars="200"/>
        <w:rPr>
          <w:rFonts w:hint="default"/>
          <w:color w:val="auto"/>
          <w:sz w:val="24"/>
          <w:szCs w:val="24"/>
          <w:lang w:val="en-US" w:eastAsia="zh-CN"/>
        </w:rPr>
      </w:pPr>
      <w:r>
        <w:rPr>
          <w:rFonts w:hint="default"/>
          <w:color w:val="auto"/>
          <w:sz w:val="24"/>
          <w:szCs w:val="24"/>
          <w:lang w:val="en-US" w:eastAsia="zh-CN"/>
        </w:rPr>
        <w:t>电话：</w:t>
      </w:r>
      <w:r>
        <w:rPr>
          <w:rFonts w:hint="eastAsia"/>
          <w:color w:val="auto"/>
          <w:sz w:val="24"/>
          <w:szCs w:val="24"/>
          <w:u w:val="single"/>
          <w:lang w:val="en-US" w:eastAsia="zh-CN"/>
        </w:rPr>
        <w:t>0595-22919532</w:t>
      </w:r>
    </w:p>
    <w:p>
      <w:pPr>
        <w:rPr>
          <w:rFonts w:hint="default"/>
          <w:color w:val="auto"/>
          <w:sz w:val="2"/>
          <w:szCs w:val="2"/>
          <w:lang w:val="en-US" w:eastAsia="zh-CN"/>
        </w:rPr>
      </w:pPr>
      <w:r>
        <w:rPr>
          <w:rFonts w:hint="default"/>
          <w:color w:val="auto"/>
          <w:sz w:val="2"/>
          <w:szCs w:val="2"/>
          <w:lang w:val="en-US" w:eastAsia="zh-CN"/>
        </w:rPr>
        <w:t> </w:t>
      </w:r>
    </w:p>
    <w:p>
      <w:pPr>
        <w:ind w:firstLine="480" w:firstLineChars="200"/>
        <w:rPr>
          <w:rFonts w:hint="default"/>
          <w:color w:val="auto"/>
          <w:sz w:val="24"/>
          <w:szCs w:val="24"/>
          <w:lang w:val="en-US" w:eastAsia="zh-CN"/>
        </w:rPr>
      </w:pPr>
      <w:r>
        <w:rPr>
          <w:rFonts w:hint="default"/>
          <w:color w:val="auto"/>
          <w:sz w:val="24"/>
          <w:szCs w:val="24"/>
          <w:lang w:val="en-US" w:eastAsia="zh-CN"/>
        </w:rPr>
        <w:t>招标代理机构： </w:t>
      </w:r>
      <w:r>
        <w:rPr>
          <w:rFonts w:hint="eastAsia"/>
          <w:i w:val="0"/>
          <w:iCs w:val="0"/>
          <w:color w:val="auto"/>
          <w:sz w:val="24"/>
          <w:szCs w:val="24"/>
          <w:u w:val="single"/>
          <w:lang w:val="en-US" w:eastAsia="zh-CN"/>
        </w:rPr>
        <w:t>之一建设有限责任公司</w:t>
      </w:r>
      <w:r>
        <w:rPr>
          <w:rFonts w:hint="default"/>
          <w:color w:val="auto"/>
          <w:sz w:val="24"/>
          <w:szCs w:val="24"/>
          <w:lang w:val="en-US" w:eastAsia="zh-CN"/>
        </w:rPr>
        <w:t> </w:t>
      </w:r>
    </w:p>
    <w:p>
      <w:pPr>
        <w:ind w:firstLine="480" w:firstLineChars="200"/>
        <w:rPr>
          <w:rFonts w:hint="default"/>
          <w:color w:val="auto"/>
          <w:sz w:val="24"/>
          <w:szCs w:val="24"/>
          <w:lang w:val="en-US" w:eastAsia="zh-CN"/>
        </w:rPr>
      </w:pPr>
      <w:r>
        <w:rPr>
          <w:rFonts w:hint="default"/>
          <w:color w:val="auto"/>
          <w:sz w:val="24"/>
          <w:szCs w:val="24"/>
          <w:lang w:val="en-US" w:eastAsia="zh-CN"/>
        </w:rPr>
        <w:t>地址：</w:t>
      </w:r>
      <w:r>
        <w:rPr>
          <w:rFonts w:hint="eastAsia"/>
          <w:color w:val="auto"/>
          <w:sz w:val="24"/>
          <w:szCs w:val="24"/>
          <w:u w:val="single"/>
          <w:lang w:val="en-US" w:eastAsia="zh-CN"/>
        </w:rPr>
        <w:t>泉州市丰泽区东海街道北星社区滨海街109号</w:t>
      </w:r>
      <w:r>
        <w:rPr>
          <w:rFonts w:hint="default"/>
          <w:color w:val="auto"/>
          <w:sz w:val="24"/>
          <w:szCs w:val="24"/>
          <w:lang w:val="en-US" w:eastAsia="zh-CN"/>
        </w:rPr>
        <w:t>，邮编：</w:t>
      </w:r>
      <w:r>
        <w:rPr>
          <w:rFonts w:hint="eastAsia"/>
          <w:color w:val="auto"/>
          <w:sz w:val="24"/>
          <w:szCs w:val="24"/>
          <w:u w:val="single"/>
          <w:lang w:val="en-US" w:eastAsia="zh-CN"/>
        </w:rPr>
        <w:t>362018</w:t>
      </w:r>
      <w:r>
        <w:rPr>
          <w:rFonts w:hint="default"/>
          <w:color w:val="auto"/>
          <w:sz w:val="24"/>
          <w:szCs w:val="24"/>
          <w:lang w:val="en-US" w:eastAsia="zh-CN"/>
        </w:rPr>
        <w:t>  </w:t>
      </w:r>
    </w:p>
    <w:p>
      <w:pPr>
        <w:ind w:firstLine="480" w:firstLineChars="200"/>
        <w:rPr>
          <w:rFonts w:hint="eastAsia"/>
          <w:color w:val="auto"/>
          <w:sz w:val="24"/>
          <w:szCs w:val="24"/>
          <w:u w:val="none"/>
          <w:lang w:val="en-US" w:eastAsia="zh-CN"/>
        </w:rPr>
      </w:pPr>
      <w:r>
        <w:rPr>
          <w:rFonts w:hint="default"/>
          <w:color w:val="auto"/>
          <w:sz w:val="24"/>
          <w:szCs w:val="24"/>
          <w:lang w:val="en-US" w:eastAsia="zh-CN"/>
        </w:rPr>
        <w:t>联系人：</w:t>
      </w:r>
      <w:r>
        <w:rPr>
          <w:rFonts w:hint="eastAsia"/>
          <w:color w:val="auto"/>
          <w:sz w:val="24"/>
          <w:szCs w:val="24"/>
          <w:u w:val="single"/>
          <w:lang w:val="en-US" w:eastAsia="zh-CN"/>
        </w:rPr>
        <w:t>小陈</w:t>
      </w:r>
    </w:p>
    <w:p>
      <w:pPr>
        <w:ind w:firstLine="480" w:firstLineChars="200"/>
        <w:rPr>
          <w:rFonts w:hint="default"/>
          <w:color w:val="auto"/>
          <w:sz w:val="24"/>
          <w:szCs w:val="24"/>
          <w:lang w:val="en-US" w:eastAsia="zh-CN"/>
        </w:rPr>
      </w:pPr>
      <w:r>
        <w:rPr>
          <w:rFonts w:hint="default"/>
          <w:color w:val="auto"/>
          <w:sz w:val="24"/>
          <w:szCs w:val="24"/>
          <w:lang w:val="en-US" w:eastAsia="zh-CN"/>
        </w:rPr>
        <w:t>电话：</w:t>
      </w:r>
      <w:r>
        <w:rPr>
          <w:rFonts w:hint="eastAsia"/>
          <w:i w:val="0"/>
          <w:iCs w:val="0"/>
          <w:color w:val="auto"/>
          <w:sz w:val="24"/>
          <w:szCs w:val="24"/>
          <w:u w:val="single"/>
          <w:lang w:val="en-US" w:eastAsia="zh-CN"/>
        </w:rPr>
        <w:t>13859778025</w:t>
      </w:r>
      <w:r>
        <w:rPr>
          <w:rFonts w:hint="default"/>
          <w:color w:val="auto"/>
          <w:sz w:val="24"/>
          <w:szCs w:val="24"/>
          <w:lang w:val="en-US" w:eastAsia="zh-CN"/>
        </w:rPr>
        <w:t> </w:t>
      </w:r>
    </w:p>
    <w:p>
      <w:pPr>
        <w:ind w:firstLine="480" w:firstLineChars="200"/>
        <w:rPr>
          <w:rFonts w:hint="default"/>
          <w:color w:val="auto"/>
          <w:sz w:val="10"/>
          <w:szCs w:val="10"/>
          <w:lang w:val="en-US" w:eastAsia="zh-CN"/>
        </w:rPr>
      </w:pPr>
      <w:r>
        <w:rPr>
          <w:rFonts w:hint="default"/>
          <w:color w:val="auto"/>
          <w:sz w:val="24"/>
          <w:szCs w:val="24"/>
          <w:lang w:val="en-US" w:eastAsia="zh-CN"/>
        </w:rPr>
        <w:t> </w:t>
      </w:r>
      <w:r>
        <w:rPr>
          <w:rFonts w:hint="default"/>
          <w:color w:val="auto"/>
          <w:sz w:val="10"/>
          <w:szCs w:val="10"/>
          <w:lang w:val="en-US" w:eastAsia="zh-CN"/>
        </w:rPr>
        <w:t>    </w:t>
      </w:r>
    </w:p>
    <w:p>
      <w:pPr>
        <w:ind w:firstLine="480" w:firstLineChars="200"/>
        <w:rPr>
          <w:rFonts w:hint="default"/>
          <w:color w:val="auto"/>
          <w:sz w:val="24"/>
          <w:szCs w:val="24"/>
          <w:lang w:val="en-US" w:eastAsia="zh-CN"/>
        </w:rPr>
      </w:pPr>
      <w:r>
        <w:rPr>
          <w:rFonts w:hint="default"/>
          <w:color w:val="auto"/>
          <w:sz w:val="24"/>
          <w:szCs w:val="24"/>
          <w:lang w:val="en-US" w:eastAsia="zh-CN"/>
        </w:rPr>
        <w:t>公共资源电子交易平台名称：</w:t>
      </w:r>
      <w:r>
        <w:rPr>
          <w:rFonts w:hint="default"/>
          <w:color w:val="auto"/>
          <w:sz w:val="24"/>
          <w:szCs w:val="24"/>
          <w:u w:val="single"/>
          <w:lang w:val="en-US" w:eastAsia="zh-CN"/>
        </w:rPr>
        <w:t>易交易电子招标投标交易平台</w:t>
      </w:r>
    </w:p>
    <w:p>
      <w:pPr>
        <w:ind w:firstLine="480" w:firstLineChars="200"/>
        <w:rPr>
          <w:rFonts w:hint="default"/>
          <w:color w:val="auto"/>
          <w:sz w:val="24"/>
          <w:szCs w:val="24"/>
          <w:lang w:val="en-US" w:eastAsia="zh-CN"/>
        </w:rPr>
      </w:pPr>
      <w:r>
        <w:rPr>
          <w:rFonts w:hint="default"/>
          <w:color w:val="auto"/>
          <w:sz w:val="24"/>
          <w:szCs w:val="24"/>
          <w:lang w:val="en-US" w:eastAsia="zh-CN"/>
        </w:rPr>
        <w:t>网址：</w:t>
      </w:r>
      <w:r>
        <w:rPr>
          <w:rFonts w:hint="default"/>
          <w:color w:val="auto"/>
          <w:sz w:val="24"/>
          <w:szCs w:val="24"/>
          <w:u w:val="single"/>
          <w:lang w:val="en-US" w:eastAsia="zh-CN"/>
        </w:rPr>
        <w:t>https://www.enjoy5191.com</w:t>
      </w:r>
    </w:p>
    <w:p>
      <w:pPr>
        <w:ind w:firstLine="480" w:firstLineChars="200"/>
        <w:rPr>
          <w:rFonts w:hint="default"/>
          <w:color w:val="auto"/>
          <w:sz w:val="24"/>
          <w:szCs w:val="24"/>
          <w:lang w:val="en-US" w:eastAsia="zh-CN"/>
        </w:rPr>
      </w:pPr>
      <w:r>
        <w:rPr>
          <w:rFonts w:hint="default"/>
          <w:color w:val="auto"/>
          <w:sz w:val="24"/>
          <w:szCs w:val="24"/>
          <w:lang w:val="en-US" w:eastAsia="zh-CN"/>
        </w:rPr>
        <w:t>联系电话：</w:t>
      </w:r>
      <w:r>
        <w:rPr>
          <w:rFonts w:hint="default"/>
          <w:color w:val="auto"/>
          <w:sz w:val="24"/>
          <w:szCs w:val="24"/>
          <w:u w:val="single"/>
          <w:lang w:val="en-US" w:eastAsia="zh-CN"/>
        </w:rPr>
        <w:t>4008705191</w:t>
      </w:r>
    </w:p>
    <w:p>
      <w:pPr>
        <w:ind w:firstLine="480" w:firstLineChars="200"/>
        <w:rPr>
          <w:rFonts w:hint="default"/>
          <w:color w:val="auto"/>
          <w:sz w:val="24"/>
          <w:szCs w:val="24"/>
          <w:u w:val="single"/>
          <w:lang w:val="en-US" w:eastAsia="zh-CN"/>
        </w:rPr>
      </w:pPr>
      <w:r>
        <w:rPr>
          <w:rFonts w:hint="default"/>
          <w:color w:val="auto"/>
          <w:sz w:val="24"/>
          <w:szCs w:val="24"/>
          <w:lang w:val="en-US" w:eastAsia="zh-CN"/>
        </w:rPr>
        <w:t>地址：</w:t>
      </w:r>
      <w:r>
        <w:rPr>
          <w:rFonts w:hint="default"/>
          <w:color w:val="auto"/>
          <w:sz w:val="24"/>
          <w:szCs w:val="24"/>
          <w:u w:val="single"/>
          <w:lang w:val="en-US" w:eastAsia="zh-CN"/>
        </w:rPr>
        <w:t>福建省泉州市丰泽区华大街道体育街西辅路801号7楼随行易交易（泉州）公共资源交易平台开标室</w:t>
      </w:r>
    </w:p>
    <w:p>
      <w:pPr>
        <w:pStyle w:val="2"/>
        <w:rPr>
          <w:rFonts w:hint="default"/>
          <w:color w:val="auto"/>
          <w:sz w:val="24"/>
          <w:szCs w:val="24"/>
          <w:u w:val="single"/>
          <w:lang w:val="en-US" w:eastAsia="zh-CN"/>
        </w:rPr>
      </w:pPr>
    </w:p>
    <w:p>
      <w:pPr>
        <w:pStyle w:val="2"/>
        <w:ind w:left="0" w:leftChars="0" w:firstLine="0" w:firstLineChars="0"/>
        <w:rPr>
          <w:rFonts w:hint="default"/>
          <w:color w:val="auto"/>
          <w:sz w:val="24"/>
          <w:szCs w:val="24"/>
          <w:u w:val="single"/>
          <w:lang w:val="en-US" w:eastAsia="zh-CN"/>
        </w:rPr>
      </w:pPr>
    </w:p>
    <w:p>
      <w:pPr>
        <w:pStyle w:val="4"/>
        <w:spacing w:before="1440" w:after="120" w:line="360" w:lineRule="auto"/>
        <w:jc w:val="center"/>
        <w:rPr>
          <w:rFonts w:hint="eastAsia" w:ascii="宋体" w:hAnsi="宋体" w:eastAsia="宋体" w:cs="宋体"/>
          <w:color w:val="auto"/>
          <w:highlight w:val="none"/>
        </w:rPr>
      </w:pPr>
      <w:bookmarkStart w:id="1" w:name="_Toc2200"/>
      <w:bookmarkStart w:id="2" w:name="_Toc13309366"/>
      <w:bookmarkStart w:id="3" w:name="_Toc525120821"/>
      <w:r>
        <w:rPr>
          <w:rFonts w:hint="eastAsia" w:ascii="宋体" w:hAnsi="宋体" w:eastAsia="宋体" w:cs="宋体"/>
          <w:color w:val="auto"/>
          <w:highlight w:val="none"/>
        </w:rPr>
        <w:t>投标须知</w:t>
      </w:r>
      <w:bookmarkEnd w:id="1"/>
      <w:bookmarkEnd w:id="2"/>
      <w:bookmarkEnd w:id="3"/>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rPr>
          <w:rFonts w:hint="eastAsia" w:ascii="宋体" w:hAnsi="宋体" w:cs="宋体"/>
          <w:color w:val="auto"/>
        </w:rPr>
      </w:pPr>
      <w:bookmarkStart w:id="4" w:name="_Toc15120"/>
      <w:bookmarkStart w:id="5" w:name="_Toc49663095"/>
      <w:bookmarkStart w:id="6" w:name="_Toc13309367"/>
      <w:bookmarkStart w:id="7" w:name="_Toc300038918"/>
      <w:bookmarkStart w:id="8" w:name="_Toc63471355"/>
      <w:r>
        <w:rPr>
          <w:rFonts w:hint="eastAsia" w:ascii="宋体" w:hAnsi="宋体" w:eastAsia="宋体" w:cs="宋体"/>
          <w:b w:val="0"/>
          <w:bCs w:val="0"/>
          <w:color w:val="auto"/>
        </w:rPr>
        <w:t>投标须知前附表</w:t>
      </w:r>
      <w:bookmarkEnd w:id="4"/>
      <w:bookmarkEnd w:id="5"/>
      <w:bookmarkEnd w:id="6"/>
      <w:bookmarkEnd w:id="7"/>
      <w:bookmarkEnd w:id="8"/>
      <w:bookmarkStart w:id="9" w:name="_Toc24527"/>
      <w:bookmarkStart w:id="10" w:name="_Toc13309368"/>
      <w:bookmarkStart w:id="11" w:name="_Toc63471356"/>
      <w:bookmarkStart w:id="12" w:name="_Toc300038920"/>
      <w:bookmarkStart w:id="13" w:name="_Toc371260468"/>
      <w:bookmarkStart w:id="14" w:name="_Toc49663096"/>
    </w:p>
    <w:bookmarkEnd w:id="9"/>
    <w:bookmarkEnd w:id="10"/>
    <w:bookmarkEnd w:id="11"/>
    <w:bookmarkEnd w:id="12"/>
    <w:bookmarkEnd w:id="13"/>
    <w:bookmarkEnd w:id="14"/>
    <w:p>
      <w:pPr>
        <w:pStyle w:val="6"/>
        <w:spacing w:before="120" w:after="120" w:line="360" w:lineRule="auto"/>
        <w:jc w:val="center"/>
        <w:rPr>
          <w:rFonts w:hint="eastAsia" w:ascii="宋体" w:hAnsi="宋体" w:eastAsia="宋体" w:cs="宋体"/>
          <w:color w:val="auto"/>
          <w:highlight w:val="none"/>
        </w:rPr>
      </w:pPr>
      <w:bookmarkStart w:id="15" w:name="_Toc6858"/>
      <w:bookmarkStart w:id="16" w:name="_Toc893"/>
      <w:bookmarkStart w:id="17" w:name="_Toc525120823"/>
      <w:r>
        <w:rPr>
          <w:rFonts w:hint="eastAsia" w:ascii="宋体" w:hAnsi="宋体" w:eastAsia="宋体" w:cs="宋体"/>
          <w:color w:val="auto"/>
          <w:highlight w:val="none"/>
        </w:rPr>
        <w:t>投标须知前附表</w:t>
      </w:r>
      <w:bookmarkEnd w:id="15"/>
      <w:bookmarkEnd w:id="16"/>
      <w:bookmarkEnd w:id="17"/>
    </w:p>
    <w:p>
      <w:pPr>
        <w:ind w:left="1111" w:hanging="1106" w:hangingChars="527"/>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p>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（1）本表各项应一一填写，除“不适用”外，不留空白。如某日期一时定不下来，可先填计划日期。</w:t>
      </w:r>
    </w:p>
    <w:p>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（2）如某项内容对本项目不适用，应在相应栏目中注明“不适用”。</w:t>
      </w:r>
    </w:p>
    <w:p>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（3）投标须知前附表是投标须知的说明和补充，如两者有矛盾之处，以前附表内容为准。</w:t>
      </w:r>
    </w:p>
    <w:tbl>
      <w:tblPr>
        <w:tblStyle w:val="24"/>
        <w:tblpPr w:leftFromText="180" w:rightFromText="180" w:vertAnchor="text" w:tblpX="-111" w:tblpY="1"/>
        <w:tblOverlap w:val="never"/>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888"/>
        <w:gridCol w:w="1522"/>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top w:val="single" w:color="auto" w:sz="8" w:space="0"/>
              <w:left w:val="single" w:color="auto" w:sz="8"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项号</w:t>
            </w:r>
          </w:p>
        </w:tc>
        <w:tc>
          <w:tcPr>
            <w:tcW w:w="888" w:type="dxa"/>
            <w:tcBorders>
              <w:top w:val="single" w:color="auto" w:sz="8"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条款号</w:t>
            </w:r>
          </w:p>
        </w:tc>
        <w:tc>
          <w:tcPr>
            <w:tcW w:w="1522" w:type="dxa"/>
            <w:tcBorders>
              <w:top w:val="single" w:color="auto" w:sz="4" w:space="0"/>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条款名称</w:t>
            </w:r>
          </w:p>
        </w:tc>
        <w:tc>
          <w:tcPr>
            <w:tcW w:w="6855" w:type="dxa"/>
            <w:tcBorders>
              <w:top w:val="single" w:color="auto" w:sz="4" w:space="0"/>
              <w:left w:val="single" w:color="auto" w:sz="4" w:space="0"/>
              <w:right w:val="single" w:color="auto" w:sz="8" w:space="0"/>
            </w:tcBorders>
            <w:noWrap w:val="0"/>
            <w:vAlign w:val="center"/>
          </w:tcPr>
          <w:p>
            <w:pPr>
              <w:pStyle w:val="9"/>
              <w:keepNext w:val="0"/>
              <w:keepLines/>
              <w:pageBreakBefore w:val="0"/>
              <w:kinsoku/>
              <w:wordWrap/>
              <w:overflowPunct/>
              <w:topLinePunct w:val="0"/>
              <w:autoSpaceDE/>
              <w:autoSpaceDN/>
              <w:bidi w:val="0"/>
              <w:snapToGrid w:val="0"/>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招标人和招标代理机构</w:t>
            </w:r>
          </w:p>
        </w:tc>
        <w:tc>
          <w:tcPr>
            <w:tcW w:w="6855" w:type="dxa"/>
            <w:noWrap w:val="0"/>
            <w:vAlign w:val="center"/>
          </w:tcPr>
          <w:p>
            <w:pPr>
              <w:pStyle w:val="9"/>
              <w:keepNext w:val="0"/>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 w:val="21"/>
                <w:szCs w:val="21"/>
                <w:highlight w:val="none"/>
                <w:u w:val="single"/>
                <w:lang w:val="en-US" w:eastAsia="zh-CN"/>
              </w:rPr>
              <w:t>泉州师范学院</w:t>
            </w:r>
          </w:p>
          <w:p>
            <w:pPr>
              <w:pStyle w:val="9"/>
              <w:keepNext w:val="0"/>
              <w:pageBreakBefore w:val="0"/>
              <w:kinsoku/>
              <w:wordWrap/>
              <w:overflowPunct/>
              <w:topLinePunct w:val="0"/>
              <w:autoSpaceDE/>
              <w:autoSpaceDN/>
              <w:bidi w:val="0"/>
              <w:snapToGrid w:val="0"/>
              <w:spacing w:line="360" w:lineRule="exac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地址：</w:t>
            </w:r>
            <w:r>
              <w:rPr>
                <w:rFonts w:hint="eastAsia" w:ascii="宋体" w:hAnsi="宋体" w:eastAsia="宋体" w:cs="宋体"/>
                <w:color w:val="auto"/>
                <w:szCs w:val="21"/>
                <w:highlight w:val="none"/>
                <w:u w:val="single"/>
                <w:lang w:val="en-US" w:eastAsia="zh-CN"/>
              </w:rPr>
              <w:t>泉州师范学院</w:t>
            </w:r>
          </w:p>
          <w:p>
            <w:pPr>
              <w:pStyle w:val="9"/>
              <w:keepNext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w:t>
            </w:r>
            <w:r>
              <w:rPr>
                <w:rFonts w:hint="eastAsia" w:ascii="宋体" w:hAnsi="宋体" w:eastAsia="宋体" w:cs="宋体"/>
                <w:color w:val="auto"/>
                <w:szCs w:val="21"/>
                <w:highlight w:val="none"/>
                <w:u w:val="single"/>
                <w:lang w:val="en-US" w:eastAsia="zh-CN"/>
              </w:rPr>
              <w:t>陈老师</w:t>
            </w:r>
          </w:p>
          <w:p>
            <w:pPr>
              <w:pStyle w:val="9"/>
              <w:keepNext w:val="0"/>
              <w:pageBreakBefore w:val="0"/>
              <w:kinsoku/>
              <w:wordWrap/>
              <w:overflowPunct/>
              <w:topLinePunct w:val="0"/>
              <w:autoSpaceDE/>
              <w:autoSpaceDN/>
              <w:bidi w:val="0"/>
              <w:snapToGrid w:val="0"/>
              <w:spacing w:line="360" w:lineRule="exac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电话：</w:t>
            </w:r>
            <w:r>
              <w:rPr>
                <w:rFonts w:hint="eastAsia" w:ascii="宋体" w:hAnsi="宋体" w:eastAsia="宋体" w:cs="宋体"/>
                <w:color w:val="auto"/>
                <w:szCs w:val="21"/>
                <w:highlight w:val="none"/>
                <w:u w:val="single"/>
                <w:lang w:val="en-US" w:eastAsia="zh-CN"/>
              </w:rPr>
              <w:t>0595-22919532</w:t>
            </w:r>
          </w:p>
          <w:p>
            <w:pPr>
              <w:pStyle w:val="9"/>
              <w:keepNext w:val="0"/>
              <w:pageBreakBefore w:val="0"/>
              <w:kinsoku/>
              <w:wordWrap/>
              <w:overflowPunct/>
              <w:topLinePunct w:val="0"/>
              <w:autoSpaceDE/>
              <w:autoSpaceDN/>
              <w:bidi w:val="0"/>
              <w:snapToGrid w:val="0"/>
              <w:spacing w:line="240" w:lineRule="auto"/>
              <w:ind w:firstLine="0"/>
              <w:rPr>
                <w:rFonts w:hint="eastAsia" w:ascii="宋体" w:hAnsi="宋体" w:eastAsia="宋体" w:cs="宋体"/>
                <w:color w:val="auto"/>
                <w:sz w:val="15"/>
                <w:szCs w:val="15"/>
                <w:highlight w:val="none"/>
                <w:lang w:val="en-US" w:eastAsia="zh-CN"/>
              </w:rPr>
            </w:pPr>
          </w:p>
          <w:p>
            <w:pPr>
              <w:pStyle w:val="9"/>
              <w:keepNext w:val="0"/>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招标代理机构：</w:t>
            </w:r>
            <w:r>
              <w:rPr>
                <w:rFonts w:hint="eastAsia" w:ascii="宋体" w:hAnsi="宋体" w:eastAsia="宋体" w:cs="宋体"/>
                <w:color w:val="auto"/>
                <w:szCs w:val="21"/>
                <w:highlight w:val="none"/>
                <w:u w:val="single"/>
                <w:lang w:val="en-US" w:eastAsia="zh-CN"/>
              </w:rPr>
              <w:t>之一建设有限责任公司</w:t>
            </w:r>
          </w:p>
          <w:p>
            <w:pPr>
              <w:pStyle w:val="9"/>
              <w:keepNext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地址：</w:t>
            </w:r>
            <w:r>
              <w:rPr>
                <w:rFonts w:hint="eastAsia" w:ascii="宋体" w:hAnsi="宋体" w:eastAsia="宋体" w:cs="宋体"/>
                <w:color w:val="auto"/>
                <w:szCs w:val="21"/>
                <w:highlight w:val="none"/>
                <w:u w:val="single"/>
                <w:lang w:val="en-US" w:eastAsia="zh-CN"/>
              </w:rPr>
              <w:t>泉州市丰泽区东海街道北星社区滨海街109号</w:t>
            </w:r>
          </w:p>
          <w:p>
            <w:pPr>
              <w:pStyle w:val="9"/>
              <w:keepNext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w:t>
            </w:r>
            <w:r>
              <w:rPr>
                <w:rFonts w:hint="eastAsia" w:ascii="宋体" w:hAnsi="宋体" w:eastAsia="宋体" w:cs="宋体"/>
                <w:color w:val="auto"/>
                <w:szCs w:val="21"/>
                <w:highlight w:val="none"/>
                <w:u w:val="single"/>
                <w:lang w:val="en-US" w:eastAsia="zh-CN"/>
              </w:rPr>
              <w:t>小陈</w:t>
            </w:r>
          </w:p>
          <w:p>
            <w:pPr>
              <w:pStyle w:val="9"/>
              <w:keepNext w:val="0"/>
              <w:keepLines/>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电话：</w:t>
            </w:r>
            <w:r>
              <w:rPr>
                <w:rFonts w:hint="eastAsia" w:ascii="宋体" w:hAnsi="宋体" w:eastAsia="宋体" w:cs="宋体"/>
                <w:color w:val="auto"/>
                <w:szCs w:val="21"/>
                <w:highlight w:val="none"/>
                <w:u w:val="single"/>
                <w:lang w:val="en-US" w:eastAsia="zh-CN"/>
              </w:rPr>
              <w:t>13859778025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本招标项目名称、报建编号、招标项目编号和标段划分（如果有）</w:t>
            </w:r>
          </w:p>
        </w:tc>
        <w:tc>
          <w:tcPr>
            <w:tcW w:w="6855"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招标项目名称：</w:t>
            </w:r>
            <w:r>
              <w:rPr>
                <w:rFonts w:hint="eastAsia" w:ascii="宋体" w:hAnsi="宋体" w:eastAsia="宋体" w:cs="宋体"/>
                <w:color w:val="auto"/>
                <w:szCs w:val="21"/>
                <w:highlight w:val="none"/>
                <w:u w:val="single"/>
                <w:lang w:val="en-US" w:eastAsia="zh-CN"/>
              </w:rPr>
              <w:t>泉州市大气环境监测超级站</w:t>
            </w:r>
          </w:p>
          <w:p>
            <w:pPr>
              <w:pStyle w:val="9"/>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招标项目编号：</w:t>
            </w:r>
            <w:r>
              <w:rPr>
                <w:rFonts w:hint="eastAsia" w:ascii="宋体" w:hAnsi="宋体" w:eastAsia="宋体" w:cs="宋体"/>
                <w:color w:val="auto"/>
                <w:szCs w:val="21"/>
                <w:highlight w:val="none"/>
                <w:u w:val="single"/>
                <w:lang w:val="en-US" w:eastAsia="zh-CN"/>
              </w:rPr>
              <w:t>之一泉南招[2023]029号</w:t>
            </w:r>
          </w:p>
          <w:p>
            <w:pPr>
              <w:pStyle w:val="9"/>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标段名称（如果有）：</w:t>
            </w:r>
            <w:r>
              <w:rPr>
                <w:rFonts w:hint="eastAsia" w:ascii="宋体" w:hAnsi="宋体" w:eastAsia="宋体" w:cs="宋体"/>
                <w:color w:val="auto"/>
                <w:szCs w:val="21"/>
                <w:highlight w:val="none"/>
                <w:u w:val="single"/>
                <w:lang w:val="en-US" w:eastAsia="zh-CN"/>
              </w:rPr>
              <w:t xml:space="preserve">     /   </w:t>
            </w:r>
          </w:p>
          <w:p>
            <w:pPr>
              <w:pStyle w:val="9"/>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标段编号（如果有）：</w:t>
            </w:r>
            <w:r>
              <w:rPr>
                <w:rFonts w:hint="eastAsia" w:ascii="宋体" w:hAnsi="宋体" w:eastAsia="宋体" w:cs="宋体"/>
                <w:color w:val="auto"/>
                <w:szCs w:val="21"/>
                <w:highlight w:val="none"/>
                <w:u w:val="single"/>
                <w:lang w:val="en-US" w:eastAsia="zh-CN"/>
              </w:rPr>
              <w:t xml:space="preserve">     /    </w:t>
            </w:r>
          </w:p>
          <w:p>
            <w:pPr>
              <w:pStyle w:val="9"/>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招标人允许投标人参加投标的标段数量：</w:t>
            </w:r>
            <w:r>
              <w:rPr>
                <w:rFonts w:hint="eastAsia" w:ascii="宋体" w:hAnsi="宋体" w:eastAsia="宋体" w:cs="宋体"/>
                <w:color w:val="auto"/>
                <w:szCs w:val="21"/>
                <w:highlight w:val="none"/>
                <w:u w:val="single"/>
                <w:lang w:val="en-US" w:eastAsia="zh-CN"/>
              </w:rPr>
              <w:t xml:space="preserve"> 一个标段 </w:t>
            </w:r>
          </w:p>
          <w:p>
            <w:pPr>
              <w:pStyle w:val="9"/>
              <w:keepNext w:val="0"/>
              <w:keepLines/>
              <w:pageBreakBefore w:val="0"/>
              <w:kinsoku/>
              <w:wordWrap/>
              <w:overflowPunct/>
              <w:topLinePunct w:val="0"/>
              <w:autoSpaceDE/>
              <w:autoSpaceDN/>
              <w:bidi w:val="0"/>
              <w:snapToGrid w:val="0"/>
              <w:spacing w:line="360" w:lineRule="exact"/>
              <w:ind w:firstLine="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招标人最多允许投标人中标的标段数量：</w:t>
            </w:r>
            <w:r>
              <w:rPr>
                <w:rFonts w:hint="eastAsia" w:ascii="宋体" w:hAnsi="宋体" w:eastAsia="宋体" w:cs="宋体"/>
                <w:color w:val="auto"/>
                <w:szCs w:val="21"/>
                <w:highlight w:val="none"/>
                <w:u w:val="single"/>
                <w:lang w:val="en-US" w:eastAsia="zh-CN"/>
              </w:rPr>
              <w:t xml:space="preserve"> 一个标段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资金来源和落实情况</w:t>
            </w:r>
          </w:p>
        </w:tc>
        <w:tc>
          <w:tcPr>
            <w:tcW w:w="6855" w:type="dxa"/>
            <w:tcBorders>
              <w:left w:val="single" w:color="auto" w:sz="4" w:space="0"/>
              <w:right w:val="single" w:color="auto" w:sz="4" w:space="0"/>
            </w:tcBorders>
            <w:noWrap w:val="0"/>
            <w:vAlign w:val="center"/>
          </w:tcPr>
          <w:p>
            <w:pPr>
              <w:pStyle w:val="9"/>
              <w:keepNext w:val="0"/>
              <w:keepLines/>
              <w:pageBreakBefore w:val="0"/>
              <w:kinsoku/>
              <w:wordWrap/>
              <w:overflowPunct/>
              <w:topLinePunct w:val="0"/>
              <w:autoSpaceDE/>
              <w:autoSpaceDN/>
              <w:bidi w:val="0"/>
              <w:spacing w:line="360" w:lineRule="exact"/>
              <w:ind w:firstLine="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资金来源：</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 w:val="0"/>
                <w:bCs w:val="0"/>
                <w:color w:val="auto"/>
                <w:szCs w:val="21"/>
                <w:highlight w:val="none"/>
                <w:u w:val="single"/>
                <w:lang w:val="en-US" w:eastAsia="zh-CN"/>
              </w:rPr>
              <w:t xml:space="preserve">专项经费 </w:t>
            </w:r>
          </w:p>
          <w:p>
            <w:pPr>
              <w:pStyle w:val="9"/>
              <w:keepNext w:val="0"/>
              <w:keepLines/>
              <w:pageBreakBefore w:val="0"/>
              <w:kinsoku/>
              <w:wordWrap/>
              <w:overflowPunct/>
              <w:topLinePunct w:val="0"/>
              <w:autoSpaceDE/>
              <w:autoSpaceDN/>
              <w:bidi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出资比例：</w:t>
            </w:r>
            <w:r>
              <w:rPr>
                <w:rFonts w:hint="eastAsia" w:ascii="宋体" w:hAnsi="宋体" w:eastAsia="宋体" w:cs="宋体"/>
                <w:color w:val="auto"/>
                <w:szCs w:val="21"/>
                <w:highlight w:val="none"/>
                <w:u w:val="single"/>
                <w:lang w:val="en-US" w:eastAsia="zh-CN"/>
              </w:rPr>
              <w:t xml:space="preserve"> 100% </w:t>
            </w:r>
          </w:p>
          <w:p>
            <w:pPr>
              <w:pStyle w:val="9"/>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资金落实情况：</w:t>
            </w:r>
            <w:r>
              <w:rPr>
                <w:rFonts w:hint="eastAsia" w:ascii="宋体" w:hAnsi="宋体" w:eastAsia="宋体" w:cs="宋体"/>
                <w:color w:val="auto"/>
                <w:szCs w:val="21"/>
                <w:highlight w:val="none"/>
                <w:u w:val="single"/>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工程建设地点</w:t>
            </w:r>
          </w:p>
        </w:tc>
        <w:tc>
          <w:tcPr>
            <w:tcW w:w="6855" w:type="dxa"/>
            <w:tcBorders>
              <w:left w:val="single" w:color="auto" w:sz="4" w:space="0"/>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pacing w:val="-3"/>
                <w:szCs w:val="21"/>
                <w:highlight w:val="none"/>
                <w:u w:val="single"/>
                <w:lang w:val="en-US" w:eastAsia="zh-CN"/>
              </w:rPr>
              <w:t>泉州师范学院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工程建设规模</w:t>
            </w:r>
          </w:p>
        </w:tc>
        <w:tc>
          <w:tcPr>
            <w:tcW w:w="6855" w:type="dxa"/>
            <w:tcBorders>
              <w:left w:val="single" w:color="auto" w:sz="4" w:space="0"/>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pacing w:val="-6"/>
                <w:sz w:val="21"/>
                <w:szCs w:val="21"/>
                <w:highlight w:val="none"/>
                <w:u w:val="single"/>
                <w:lang w:val="en-US" w:eastAsia="zh-CN"/>
              </w:rPr>
              <w:t>工程招标控制价326.4784万元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left="-10"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招标范围和内容</w:t>
            </w:r>
          </w:p>
        </w:tc>
        <w:tc>
          <w:tcPr>
            <w:tcW w:w="6855" w:type="dxa"/>
            <w:noWrap w:val="0"/>
            <w:vAlign w:val="center"/>
          </w:tcPr>
          <w:p>
            <w:pPr>
              <w:pStyle w:val="9"/>
              <w:keepNext w:val="0"/>
              <w:keepLines/>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主要内容为主体土建、屋面、室外总体工程、绿化工程、电气工程、电力工程、给排水工程、消防工程等；具体详见招标人提供的工程预算书及施工图纸。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/21.2</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left="-10"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本招标项目使用的公共资源电子交易平台</w:t>
            </w:r>
          </w:p>
        </w:tc>
        <w:tc>
          <w:tcPr>
            <w:tcW w:w="6855" w:type="dxa"/>
            <w:noWrap w:val="0"/>
            <w:vAlign w:val="center"/>
          </w:tcPr>
          <w:p>
            <w:pPr>
              <w:pStyle w:val="9"/>
              <w:keepNext w:val="0"/>
              <w:keepLines/>
              <w:pageBreakBefore w:val="0"/>
              <w:widowControl w:val="0"/>
              <w:kinsoku/>
              <w:wordWrap/>
              <w:overflowPunct/>
              <w:topLinePunct w:val="0"/>
              <w:autoSpaceDE/>
              <w:autoSpaceDN/>
              <w:bidi w:val="0"/>
              <w:adjustRightInd w:val="0"/>
              <w:snapToGrid w:val="0"/>
              <w:spacing w:line="400" w:lineRule="exact"/>
              <w:ind w:right="420" w:firstLineChars="200"/>
              <w:jc w:val="left"/>
              <w:textAlignment w:val="baseline"/>
              <w:rPr>
                <w:rFonts w:hint="eastAsia" w:ascii="宋体" w:hAnsi="宋体" w:eastAsia="宋体" w:cs="宋体"/>
                <w:color w:val="auto"/>
                <w:szCs w:val="21"/>
                <w:highlight w:val="none"/>
                <w:u w:val="single"/>
                <w:lang w:val="en-US" w:eastAsia="zh-CN" w:bidi="zh-CN"/>
              </w:rPr>
            </w:pPr>
            <w:r>
              <w:rPr>
                <w:rFonts w:hint="eastAsia" w:ascii="宋体" w:hAnsi="宋体" w:eastAsia="宋体" w:cs="宋体"/>
                <w:color w:val="auto"/>
                <w:szCs w:val="21"/>
                <w:highlight w:val="none"/>
                <w:lang w:val="en-US" w:eastAsia="zh-CN" w:bidi="zh-CN"/>
              </w:rPr>
              <w:t>公共资源电子交易平台名称：</w:t>
            </w:r>
            <w:r>
              <w:rPr>
                <w:rFonts w:hint="eastAsia" w:ascii="宋体" w:hAnsi="宋体" w:eastAsia="宋体" w:cs="宋体"/>
                <w:color w:val="auto"/>
                <w:szCs w:val="21"/>
                <w:highlight w:val="none"/>
                <w:u w:val="single"/>
                <w:lang w:val="en-US" w:eastAsia="zh-CN" w:bidi="zh-CN"/>
              </w:rPr>
              <w:t>易交易电子招标投标交易平台</w:t>
            </w:r>
          </w:p>
          <w:p>
            <w:pPr>
              <w:pStyle w:val="9"/>
              <w:keepNext w:val="0"/>
              <w:keepLines/>
              <w:pageBreakBefore w:val="0"/>
              <w:widowControl w:val="0"/>
              <w:kinsoku/>
              <w:wordWrap/>
              <w:overflowPunct/>
              <w:topLinePunct w:val="0"/>
              <w:autoSpaceDE/>
              <w:autoSpaceDN/>
              <w:bidi w:val="0"/>
              <w:adjustRightInd w:val="0"/>
              <w:snapToGrid w:val="0"/>
              <w:spacing w:line="400" w:lineRule="exact"/>
              <w:ind w:firstLineChars="200"/>
              <w:jc w:val="left"/>
              <w:textAlignment w:val="baseline"/>
              <w:rPr>
                <w:rFonts w:hint="eastAsia" w:ascii="宋体" w:hAnsi="宋体" w:eastAsia="宋体" w:cs="宋体"/>
                <w:color w:val="auto"/>
                <w:szCs w:val="21"/>
                <w:highlight w:val="none"/>
                <w:lang w:val="en-US" w:eastAsia="zh-CN" w:bidi="zh-CN"/>
              </w:rPr>
            </w:pPr>
            <w:r>
              <w:rPr>
                <w:rFonts w:hint="eastAsia" w:ascii="宋体" w:hAnsi="宋体" w:eastAsia="宋体" w:cs="宋体"/>
                <w:color w:val="auto"/>
                <w:szCs w:val="21"/>
                <w:highlight w:val="none"/>
                <w:lang w:val="en-US" w:eastAsia="zh-CN" w:bidi="zh-CN"/>
              </w:rPr>
              <w:t>网址：</w:t>
            </w:r>
            <w:r>
              <w:rPr>
                <w:rFonts w:hint="eastAsia" w:ascii="宋体" w:hAnsi="宋体" w:eastAsia="宋体" w:cs="宋体"/>
                <w:color w:val="auto"/>
                <w:szCs w:val="21"/>
                <w:highlight w:val="none"/>
                <w:u w:val="single"/>
                <w:lang w:val="en-US" w:eastAsia="zh-CN" w:bidi="zh-CN"/>
              </w:rPr>
              <w:t>https://www.enjoy5191.com/</w:t>
            </w:r>
          </w:p>
          <w:p>
            <w:pPr>
              <w:pStyle w:val="9"/>
              <w:keepNext w:val="0"/>
              <w:keepLines/>
              <w:pageBreakBefore w:val="0"/>
              <w:widowControl w:val="0"/>
              <w:kinsoku/>
              <w:wordWrap/>
              <w:overflowPunct/>
              <w:topLinePunct w:val="0"/>
              <w:autoSpaceDE/>
              <w:autoSpaceDN/>
              <w:bidi w:val="0"/>
              <w:adjustRightInd w:val="0"/>
              <w:snapToGrid w:val="0"/>
              <w:spacing w:line="400" w:lineRule="exact"/>
              <w:ind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bidi="zh-CN"/>
              </w:rPr>
              <w:t>联系电话：</w:t>
            </w:r>
            <w:r>
              <w:rPr>
                <w:rFonts w:hint="eastAsia" w:ascii="宋体" w:hAnsi="宋体" w:eastAsia="宋体" w:cs="宋体"/>
                <w:color w:val="auto"/>
                <w:szCs w:val="21"/>
                <w:highlight w:val="none"/>
                <w:u w:val="single"/>
                <w:lang w:val="en-US" w:eastAsia="zh-CN" w:bidi="zh-CN"/>
              </w:rPr>
              <w:t>4008705191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left="-10"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电子招投标基本要求</w:t>
            </w:r>
          </w:p>
        </w:tc>
        <w:tc>
          <w:tcPr>
            <w:tcW w:w="6855" w:type="dxa"/>
            <w:noWrap w:val="0"/>
            <w:vAlign w:val="center"/>
          </w:tcPr>
          <w:p>
            <w:pPr>
              <w:pStyle w:val="9"/>
              <w:keepNext w:val="0"/>
              <w:keepLines/>
              <w:pageBreakBefore w:val="0"/>
              <w:numPr>
                <w:ilvl w:val="0"/>
                <w:numId w:val="6"/>
              </w:numPr>
              <w:kinsoku/>
              <w:wordWrap/>
              <w:overflowPunct/>
              <w:topLinePunct w:val="0"/>
              <w:autoSpaceDE/>
              <w:autoSpaceDN/>
              <w:bidi w:val="0"/>
              <w:snapToGrid w:val="0"/>
              <w:spacing w:line="36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本工程采用网上无纸化招投标，投标人需办理深圳CA (深圳市电子商务安全证书管理有限公司)或福建CA (福建省数字安全证书管理有限公司)，用于电子招投标的数字安全证书和电子印章。</w:t>
            </w:r>
          </w:p>
          <w:p>
            <w:pPr>
              <w:pStyle w:val="9"/>
              <w:keepNext w:val="0"/>
              <w:keepLines/>
              <w:pageBreakBefore w:val="0"/>
              <w:numPr>
                <w:ilvl w:val="0"/>
                <w:numId w:val="6"/>
              </w:numPr>
              <w:kinsoku/>
              <w:wordWrap/>
              <w:overflowPunct/>
              <w:topLinePunct w:val="0"/>
              <w:autoSpaceDE/>
              <w:autoSpaceDN/>
              <w:bidi w:val="0"/>
              <w:snapToGrid w:val="0"/>
              <w:spacing w:line="36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投标文件格式要求盖章处，投标人须加盖有效的数字安全证书或电子印章。</w:t>
            </w:r>
          </w:p>
          <w:p>
            <w:pPr>
              <w:pStyle w:val="9"/>
              <w:keepNext w:val="0"/>
              <w:keepLines/>
              <w:pageBreakBefore w:val="0"/>
              <w:kinsoku/>
              <w:wordWrap/>
              <w:overflowPunct/>
              <w:topLinePunct w:val="0"/>
              <w:autoSpaceDE/>
              <w:autoSpaceDN/>
              <w:bidi w:val="0"/>
              <w:snapToGrid w:val="0"/>
              <w:spacing w:line="360" w:lineRule="exact"/>
              <w:ind w:left="10"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b/>
                <w:bCs/>
                <w:color w:val="auto"/>
                <w:szCs w:val="21"/>
                <w:highlight w:val="none"/>
                <w:lang w:val="en-US" w:eastAsia="zh-CN"/>
              </w:rPr>
              <w:t>3、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计划工期</w:t>
            </w:r>
          </w:p>
        </w:tc>
        <w:tc>
          <w:tcPr>
            <w:tcW w:w="6855" w:type="dxa"/>
            <w:noWrap w:val="0"/>
            <w:vAlign w:val="center"/>
          </w:tcPr>
          <w:p>
            <w:pPr>
              <w:rPr>
                <w:rFonts w:hint="default"/>
                <w:color w:val="auto"/>
                <w:sz w:val="21"/>
                <w:szCs w:val="21"/>
                <w:lang w:val="en-US" w:eastAsia="zh-CN"/>
              </w:rPr>
            </w:pPr>
            <w:r>
              <w:rPr>
                <w:rFonts w:hint="default"/>
                <w:color w:val="auto"/>
                <w:sz w:val="21"/>
                <w:szCs w:val="21"/>
                <w:lang w:val="en-US" w:eastAsia="zh-CN"/>
              </w:rPr>
              <w:t>总工期为</w:t>
            </w:r>
            <w:r>
              <w:rPr>
                <w:rFonts w:hint="eastAsia"/>
                <w:color w:val="auto"/>
                <w:sz w:val="21"/>
                <w:szCs w:val="21"/>
                <w:u w:val="single"/>
                <w:lang w:val="en-US" w:eastAsia="zh-CN"/>
              </w:rPr>
              <w:t>140</w:t>
            </w:r>
            <w:r>
              <w:rPr>
                <w:rFonts w:hint="default"/>
                <w:color w:val="auto"/>
                <w:sz w:val="21"/>
                <w:szCs w:val="21"/>
                <w:u w:val="single"/>
                <w:lang w:val="en-US" w:eastAsia="zh-CN"/>
              </w:rPr>
              <w:t>个日历天</w:t>
            </w:r>
            <w:r>
              <w:rPr>
                <w:rFonts w:hint="default"/>
                <w:color w:val="auto"/>
                <w:sz w:val="21"/>
                <w:szCs w:val="21"/>
                <w:lang w:val="en-US" w:eastAsia="zh-CN"/>
              </w:rPr>
              <w:t>，定额工期</w:t>
            </w:r>
            <w:r>
              <w:rPr>
                <w:rFonts w:hint="eastAsia"/>
                <w:color w:val="auto"/>
                <w:sz w:val="21"/>
                <w:szCs w:val="21"/>
                <w:u w:val="single"/>
                <w:lang w:val="en-US" w:eastAsia="zh-CN"/>
              </w:rPr>
              <w:t xml:space="preserve"> / </w:t>
            </w:r>
            <w:r>
              <w:rPr>
                <w:rFonts w:hint="default"/>
                <w:color w:val="auto"/>
                <w:sz w:val="21"/>
                <w:szCs w:val="21"/>
                <w:lang w:val="en-US" w:eastAsia="zh-CN"/>
              </w:rPr>
              <w:t>个日历天（适用于国家或我省对工期有规定的项目）；其中各关键节点的工期要求为（如果有）</w:t>
            </w:r>
            <w:r>
              <w:rPr>
                <w:rFonts w:hint="eastAsia"/>
                <w:color w:val="auto"/>
                <w:sz w:val="21"/>
                <w:szCs w:val="21"/>
                <w:u w:val="single"/>
                <w:lang w:val="en-US" w:eastAsia="zh-CN"/>
              </w:rPr>
              <w:t xml:space="preserve"> / </w:t>
            </w:r>
            <w:r>
              <w:rPr>
                <w:rFonts w:hint="default"/>
                <w:color w:val="auto"/>
                <w:sz w:val="21"/>
                <w:szCs w:val="21"/>
                <w:lang w:val="en-US" w:eastAsia="zh-CN"/>
              </w:rPr>
              <w:t>；</w:t>
            </w:r>
          </w:p>
          <w:p>
            <w:pPr>
              <w:pStyle w:val="9"/>
              <w:keepNext w:val="0"/>
              <w:keepLines/>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质量要求</w:t>
            </w:r>
          </w:p>
        </w:tc>
        <w:tc>
          <w:tcPr>
            <w:tcW w:w="6855"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符合《工程施工质量验收规范》并达到合格标准。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合同价格形式</w:t>
            </w:r>
          </w:p>
        </w:tc>
        <w:tc>
          <w:tcPr>
            <w:tcW w:w="6855"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总价合同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资格审查方式</w:t>
            </w:r>
          </w:p>
        </w:tc>
        <w:tc>
          <w:tcPr>
            <w:tcW w:w="6855"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本项目采用</w:t>
            </w:r>
            <w:r>
              <w:rPr>
                <w:rFonts w:hint="eastAsia" w:ascii="宋体" w:hAnsi="宋体" w:eastAsia="宋体" w:cs="宋体"/>
                <w:color w:val="auto"/>
                <w:szCs w:val="21"/>
                <w:highlight w:val="none"/>
                <w:u w:val="single"/>
                <w:lang w:val="en-US" w:eastAsia="zh-CN"/>
              </w:rPr>
              <w:t>资格后审</w:t>
            </w:r>
            <w:r>
              <w:rPr>
                <w:rFonts w:hint="eastAsia" w:ascii="宋体" w:hAnsi="宋体" w:eastAsia="宋体" w:cs="宋体"/>
                <w:color w:val="auto"/>
                <w:szCs w:val="21"/>
                <w:highlight w:val="none"/>
                <w:lang w:val="en-US" w:eastAsia="zh-CN"/>
              </w:rPr>
              <w:t>方式对投标人的资格进行审查。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w:t>
            </w:r>
          </w:p>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合格投标人资格条件</w:t>
            </w:r>
          </w:p>
        </w:tc>
        <w:tc>
          <w:tcPr>
            <w:tcW w:w="6855" w:type="dxa"/>
            <w:noWrap w:val="0"/>
            <w:vAlign w:val="center"/>
          </w:tcPr>
          <w:p>
            <w:pPr>
              <w:pStyle w:val="9"/>
              <w:keepNext w:val="0"/>
              <w:keepLines/>
              <w:pageBreakBefore w:val="0"/>
              <w:numPr>
                <w:ilvl w:val="2"/>
                <w:numId w:val="7"/>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本招标项目要求投标人须具备有效的不低于</w:t>
            </w:r>
            <w:r>
              <w:rPr>
                <w:rFonts w:hint="eastAsia" w:ascii="宋体" w:hAnsi="宋体" w:eastAsia="宋体" w:cs="宋体"/>
                <w:b/>
                <w:bCs/>
                <w:i w:val="0"/>
                <w:iCs w:val="0"/>
                <w:color w:val="auto"/>
                <w:szCs w:val="21"/>
                <w:highlight w:val="none"/>
                <w:u w:val="single"/>
                <w:lang w:val="en-US" w:eastAsia="zh-CN"/>
              </w:rPr>
              <w:t>叁</w:t>
            </w:r>
            <w:r>
              <w:rPr>
                <w:rFonts w:hint="eastAsia" w:ascii="宋体" w:hAnsi="宋体" w:eastAsia="宋体" w:cs="宋体"/>
                <w:b/>
                <w:bCs/>
                <w:i w:val="0"/>
                <w:iCs w:val="0"/>
                <w:color w:val="auto"/>
                <w:szCs w:val="21"/>
                <w:highlight w:val="none"/>
                <w:lang w:val="en-US" w:eastAsia="zh-CN"/>
              </w:rPr>
              <w:t>级</w:t>
            </w:r>
            <w:r>
              <w:rPr>
                <w:rFonts w:hint="eastAsia" w:ascii="宋体" w:hAnsi="宋体" w:eastAsia="宋体" w:cs="宋体"/>
                <w:b/>
                <w:bCs/>
                <w:i w:val="0"/>
                <w:iCs w:val="0"/>
                <w:color w:val="auto"/>
                <w:szCs w:val="21"/>
                <w:highlight w:val="none"/>
                <w:u w:val="single"/>
                <w:lang w:val="en-US" w:eastAsia="zh-CN"/>
              </w:rPr>
              <w:t>建筑工程施工总承包</w:t>
            </w:r>
            <w:r>
              <w:rPr>
                <w:rFonts w:hint="eastAsia" w:ascii="宋体" w:hAnsi="宋体" w:eastAsia="宋体" w:cs="宋体"/>
                <w:b/>
                <w:bCs/>
                <w:i w:val="0"/>
                <w:iCs w:val="0"/>
                <w:color w:val="auto"/>
                <w:szCs w:val="21"/>
                <w:highlight w:val="none"/>
                <w:lang w:val="en-US" w:eastAsia="zh-CN"/>
              </w:rPr>
              <w:t>资质和《施工企业安全生产许可证》。（无需要资质的项目，从其规定）</w:t>
            </w:r>
          </w:p>
          <w:p>
            <w:pPr>
              <w:pStyle w:val="9"/>
              <w:keepNext w:val="0"/>
              <w:keepLines/>
              <w:pageBreakBefore w:val="0"/>
              <w:numPr>
                <w:ilvl w:val="2"/>
                <w:numId w:val="7"/>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投标人拟担任本招标项目的项目负责人须具备有效的不低于</w:t>
            </w:r>
            <w:r>
              <w:rPr>
                <w:rFonts w:hint="eastAsia" w:ascii="宋体" w:hAnsi="宋体" w:eastAsia="宋体" w:cs="宋体"/>
                <w:b/>
                <w:bCs/>
                <w:i w:val="0"/>
                <w:iCs w:val="0"/>
                <w:color w:val="auto"/>
                <w:szCs w:val="21"/>
                <w:highlight w:val="none"/>
                <w:u w:val="single"/>
                <w:lang w:val="en-US" w:eastAsia="zh-CN"/>
              </w:rPr>
              <w:t>贰</w:t>
            </w:r>
            <w:r>
              <w:rPr>
                <w:rFonts w:hint="eastAsia" w:ascii="宋体" w:hAnsi="宋体" w:eastAsia="宋体" w:cs="宋体"/>
                <w:b/>
                <w:bCs/>
                <w:i w:val="0"/>
                <w:iCs w:val="0"/>
                <w:color w:val="auto"/>
                <w:szCs w:val="21"/>
                <w:highlight w:val="none"/>
                <w:lang w:val="en-US" w:eastAsia="zh-CN"/>
              </w:rPr>
              <w:t>级</w:t>
            </w:r>
            <w:r>
              <w:rPr>
                <w:rFonts w:hint="eastAsia" w:ascii="宋体" w:hAnsi="宋体" w:eastAsia="宋体" w:cs="宋体"/>
                <w:b/>
                <w:bCs/>
                <w:i w:val="0"/>
                <w:iCs w:val="0"/>
                <w:color w:val="auto"/>
                <w:szCs w:val="21"/>
                <w:highlight w:val="none"/>
                <w:u w:val="single"/>
                <w:lang w:val="en-US" w:eastAsia="zh-CN"/>
              </w:rPr>
              <w:t>建筑工程</w:t>
            </w:r>
            <w:r>
              <w:rPr>
                <w:rFonts w:hint="eastAsia" w:ascii="宋体" w:hAnsi="宋体" w:eastAsia="宋体" w:cs="宋体"/>
                <w:b/>
                <w:bCs/>
                <w:i w:val="0"/>
                <w:iCs w:val="0"/>
                <w:color w:val="auto"/>
                <w:szCs w:val="21"/>
                <w:highlight w:val="none"/>
                <w:lang w:val="en-US" w:eastAsia="zh-CN"/>
              </w:rPr>
              <w:t>专业注册建造师执业资格，并具备有效的安全生产考核合格证书（B证）。拟派出项目负责人必须为独立投标人或联合体牵头人的本企业在岗人员。</w:t>
            </w:r>
          </w:p>
          <w:p>
            <w:pPr>
              <w:pStyle w:val="9"/>
              <w:keepNext w:val="0"/>
              <w:keepLines/>
              <w:pageBreakBefore w:val="0"/>
              <w:numPr>
                <w:ilvl w:val="2"/>
                <w:numId w:val="7"/>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本招标项目</w:t>
            </w:r>
            <w:r>
              <w:rPr>
                <w:rFonts w:hint="eastAsia" w:ascii="宋体" w:hAnsi="宋体" w:eastAsia="宋体" w:cs="宋体"/>
                <w:b/>
                <w:bCs/>
                <w:i w:val="0"/>
                <w:iCs w:val="0"/>
                <w:color w:val="auto"/>
                <w:szCs w:val="21"/>
                <w:highlight w:val="none"/>
                <w:u w:val="single"/>
                <w:lang w:val="en-US" w:eastAsia="zh-CN"/>
              </w:rPr>
              <w:t xml:space="preserve"> 不接受 </w:t>
            </w:r>
            <w:r>
              <w:rPr>
                <w:rFonts w:hint="eastAsia" w:ascii="宋体" w:hAnsi="宋体" w:eastAsia="宋体" w:cs="宋体"/>
                <w:b/>
                <w:bCs/>
                <w:i w:val="0"/>
                <w:iCs w:val="0"/>
                <w:color w:val="auto"/>
                <w:szCs w:val="21"/>
                <w:highlight w:val="none"/>
                <w:lang w:val="en-US" w:eastAsia="zh-CN"/>
              </w:rPr>
              <w:t>联合体投标。</w:t>
            </w:r>
          </w:p>
          <w:p>
            <w:pPr>
              <w:pStyle w:val="9"/>
              <w:keepNext w:val="0"/>
              <w:keepLines/>
              <w:pageBreakBefore w:val="0"/>
              <w:numPr>
                <w:ilvl w:val="2"/>
                <w:numId w:val="7"/>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本招标项目</w:t>
            </w:r>
            <w:r>
              <w:rPr>
                <w:rFonts w:hint="eastAsia" w:ascii="宋体" w:hAnsi="宋体" w:eastAsia="宋体" w:cs="宋体"/>
                <w:b/>
                <w:bCs/>
                <w:i w:val="0"/>
                <w:iCs w:val="0"/>
                <w:color w:val="auto"/>
                <w:szCs w:val="21"/>
                <w:highlight w:val="none"/>
                <w:u w:val="single"/>
                <w:lang w:val="en-US" w:eastAsia="zh-CN"/>
              </w:rPr>
              <w:t xml:space="preserve"> 不应用 </w:t>
            </w:r>
            <w:r>
              <w:rPr>
                <w:rFonts w:hint="eastAsia" w:ascii="宋体" w:hAnsi="宋体" w:eastAsia="宋体" w:cs="宋体"/>
                <w:b/>
                <w:bCs/>
                <w:i w:val="0"/>
                <w:iCs w:val="0"/>
                <w:color w:val="auto"/>
                <w:szCs w:val="21"/>
                <w:highlight w:val="none"/>
                <w:lang w:val="en-US" w:eastAsia="zh-CN"/>
              </w:rPr>
              <w:t>福建省建筑施工企业信用综合评价分值。</w:t>
            </w:r>
          </w:p>
          <w:p>
            <w:pPr>
              <w:pStyle w:val="9"/>
              <w:keepNext w:val="0"/>
              <w:keepLines/>
              <w:pageBreakBefore w:val="0"/>
              <w:numPr>
                <w:ilvl w:val="2"/>
                <w:numId w:val="7"/>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投标人“类似工程业绩”要求：</w:t>
            </w:r>
            <w:r>
              <w:rPr>
                <w:rFonts w:hint="eastAsia" w:ascii="宋体" w:hAnsi="宋体" w:eastAsia="宋体" w:cs="宋体"/>
                <w:b/>
                <w:bCs/>
                <w:i w:val="0"/>
                <w:iCs w:val="0"/>
                <w:color w:val="auto"/>
                <w:szCs w:val="21"/>
                <w:highlight w:val="none"/>
                <w:u w:val="single"/>
                <w:lang w:val="en-US" w:eastAsia="zh-CN"/>
              </w:rPr>
              <w:t xml:space="preserve"> 不要求 </w:t>
            </w:r>
            <w:r>
              <w:rPr>
                <w:rFonts w:hint="eastAsia" w:ascii="宋体" w:hAnsi="宋体" w:eastAsia="宋体" w:cs="宋体"/>
                <w:b/>
                <w:bCs/>
                <w:i w:val="0"/>
                <w:iCs w:val="0"/>
                <w:color w:val="auto"/>
                <w:szCs w:val="21"/>
                <w:highlight w:val="none"/>
                <w:lang w:val="en-US" w:eastAsia="zh-CN"/>
              </w:rPr>
              <w:t>；</w:t>
            </w:r>
          </w:p>
          <w:p>
            <w:pPr>
              <w:pStyle w:val="9"/>
              <w:keepNext w:val="0"/>
              <w:keepLines/>
              <w:pageBreakBefore w:val="0"/>
              <w:numPr>
                <w:ilvl w:val="2"/>
                <w:numId w:val="7"/>
              </w:numPr>
              <w:tabs>
                <w:tab w:val="left" w:pos="397"/>
                <w:tab w:val="left" w:pos="624"/>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投标人应按照《泉州市住房和城乡建设局关于转发&lt;福建省房屋建筑和市政基础设施工程施工评标办法（试行）&gt;等文件的通知》（泉建筑[2018]11号）要求提交《建筑业企业诚信守法承诺书》，该承诺书作为资格标的组成部分（格式详见第8章“投标文件格式”）。</w:t>
            </w:r>
          </w:p>
          <w:p>
            <w:pPr>
              <w:pStyle w:val="9"/>
              <w:keepNext w:val="0"/>
              <w:keepLines/>
              <w:pageBreakBefore w:val="0"/>
              <w:numPr>
                <w:ilvl w:val="2"/>
                <w:numId w:val="7"/>
              </w:numPr>
              <w:tabs>
                <w:tab w:val="left" w:pos="397"/>
                <w:tab w:val="left" w:pos="624"/>
              </w:tabs>
              <w:kinsoku/>
              <w:wordWrap/>
              <w:overflowPunct/>
              <w:topLinePunct w:val="0"/>
              <w:autoSpaceDE/>
              <w:autoSpaceDN/>
              <w:bidi w:val="0"/>
              <w:snapToGrid w:val="0"/>
              <w:spacing w:line="360" w:lineRule="exact"/>
              <w:rPr>
                <w:rFonts w:hint="eastAsia" w:ascii="宋体" w:hAnsi="宋体" w:eastAsia="宋体" w:cs="宋体"/>
                <w:b/>
                <w:bCs/>
                <w:i/>
                <w:iCs/>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其他资格要求详见招标文件第2章“投标须知”、第3章“评标办法和标准”和第8章“投标文件格式”的规定。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 w:val="21"/>
                <w:szCs w:val="21"/>
                <w:lang w:val="en-US" w:eastAsia="zh-CN"/>
              </w:rPr>
              <w:t>投标人提出疑问的截止时间及提交方式/招标文件的澄清、修改</w:t>
            </w:r>
          </w:p>
        </w:tc>
        <w:tc>
          <w:tcPr>
            <w:tcW w:w="6855" w:type="dxa"/>
            <w:noWrap w:val="0"/>
            <w:vAlign w:val="center"/>
          </w:tcPr>
          <w:p>
            <w:pPr>
              <w:pStyle w:val="9"/>
              <w:keepNext w:val="0"/>
              <w:keepLines w:val="0"/>
              <w:pageBreakBefore w:val="0"/>
              <w:tabs>
                <w:tab w:val="left" w:pos="624"/>
              </w:tabs>
              <w:kinsoku/>
              <w:overflowPunct/>
              <w:topLinePunct w:val="0"/>
              <w:bidi w:val="0"/>
              <w:snapToGrid w:val="0"/>
              <w:spacing w:line="360" w:lineRule="exact"/>
              <w:ind w:firstLineChars="200"/>
              <w:jc w:val="left"/>
              <w:rPr>
                <w:rFonts w:hint="eastAsia" w:ascii="宋体" w:hAnsi="宋体" w:eastAsia="宋体" w:cs="宋体"/>
                <w:color w:val="auto"/>
                <w:kern w:val="0"/>
                <w:sz w:val="21"/>
                <w:szCs w:val="21"/>
                <w:u w:val="single"/>
                <w:lang w:val="en-US" w:eastAsia="zh-CN" w:bidi="zh-CN"/>
              </w:rPr>
            </w:pPr>
            <w:r>
              <w:rPr>
                <w:rFonts w:hint="eastAsia" w:ascii="宋体" w:hAnsi="宋体" w:eastAsia="宋体" w:cs="宋体"/>
                <w:color w:val="auto"/>
                <w:kern w:val="0"/>
                <w:sz w:val="21"/>
                <w:szCs w:val="21"/>
                <w:lang w:val="en-US" w:eastAsia="zh-CN"/>
              </w:rPr>
              <w:t>1、投标人要求澄清招标文件的截止时间为</w:t>
            </w:r>
            <w:r>
              <w:rPr>
                <w:rFonts w:hint="eastAsia" w:ascii="宋体" w:hAnsi="宋体" w:eastAsia="宋体" w:cs="宋体"/>
                <w:color w:val="auto"/>
                <w:kern w:val="0"/>
                <w:sz w:val="21"/>
                <w:szCs w:val="21"/>
                <w:u w:val="single"/>
                <w:lang w:val="en-US" w:eastAsia="zh-CN" w:bidi="zh-CN"/>
              </w:rPr>
              <w:t xml:space="preserve"> 2023年08月15日12时00分 </w:t>
            </w:r>
          </w:p>
          <w:p>
            <w:pPr>
              <w:pStyle w:val="9"/>
              <w:keepNext w:val="0"/>
              <w:keepLines w:val="0"/>
              <w:pageBreakBefore w:val="0"/>
              <w:tabs>
                <w:tab w:val="left" w:pos="397"/>
                <w:tab w:val="left" w:pos="624"/>
              </w:tabs>
              <w:kinsoku/>
              <w:overflowPunct/>
              <w:topLinePunct w:val="0"/>
              <w:bidi w:val="0"/>
              <w:snapToGrid w:val="0"/>
              <w:spacing w:line="360" w:lineRule="exact"/>
              <w:ind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要求澄清招标文件的提交方式为无记名方式。投标人要求澄清的内容应以不署名、不盖章（但应标明招标项目名称、招标编号和日期）的书面形式提交给招标人或招标代理机构，并可通过下列形式提交：邮箱：</w:t>
            </w:r>
            <w:r>
              <w:rPr>
                <w:rFonts w:hint="eastAsia" w:ascii="宋体" w:hAnsi="宋体" w:eastAsia="宋体" w:cs="宋体"/>
                <w:color w:val="auto"/>
                <w:sz w:val="21"/>
                <w:szCs w:val="21"/>
                <w:u w:val="single"/>
                <w:lang w:val="en-US" w:eastAsia="zh-CN"/>
              </w:rPr>
              <w:t>522014600@qq.com</w:t>
            </w:r>
            <w:r>
              <w:rPr>
                <w:rFonts w:hint="eastAsia" w:ascii="宋体" w:hAnsi="宋体" w:eastAsia="宋体" w:cs="宋体"/>
                <w:color w:val="auto"/>
                <w:sz w:val="21"/>
                <w:szCs w:val="21"/>
                <w:lang w:val="en-US" w:eastAsia="zh-CN"/>
              </w:rPr>
              <w:t>。</w:t>
            </w:r>
          </w:p>
          <w:p>
            <w:pPr>
              <w:pStyle w:val="9"/>
              <w:keepNext w:val="0"/>
              <w:keepLines w:val="0"/>
              <w:pageBreakBefore w:val="0"/>
              <w:tabs>
                <w:tab w:val="left" w:pos="600"/>
              </w:tabs>
              <w:kinsoku/>
              <w:overflowPunct/>
              <w:topLinePunct w:val="0"/>
              <w:bidi w:val="0"/>
              <w:snapToGrid w:val="0"/>
              <w:spacing w:line="360" w:lineRule="exact"/>
              <w:ind w:firstLine="396" w:firstLineChars="189"/>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2、招标人对招标文件的澄清或者修改将以无记名方式，通过</w:t>
            </w:r>
            <w:r>
              <w:rPr>
                <w:rFonts w:hint="eastAsia" w:ascii="宋体" w:hAnsi="宋体" w:eastAsia="宋体" w:cs="宋体"/>
                <w:color w:val="auto"/>
                <w:sz w:val="21"/>
                <w:szCs w:val="21"/>
                <w:u w:val="single"/>
                <w:lang w:val="en-US" w:eastAsia="zh-CN"/>
              </w:rPr>
              <w:t>随行易交易公共资源交易平台（https://www.enjoy5191.com）发布</w:t>
            </w:r>
            <w:r>
              <w:rPr>
                <w:rFonts w:hint="eastAsia" w:ascii="宋体" w:hAnsi="宋体" w:eastAsia="宋体" w:cs="宋体"/>
                <w:color w:val="auto"/>
                <w:sz w:val="21"/>
                <w:szCs w:val="21"/>
                <w:lang w:val="en-US" w:eastAsia="zh-CN"/>
              </w:rPr>
              <w:t>。所有招标文件的澄清或者修改文件均为招标文件的组成部分。招标文件的澄清或者修改不同时间对同一内容存在不同约定时，以最后约定的内容为准。</w:t>
            </w:r>
          </w:p>
          <w:p>
            <w:pPr>
              <w:pStyle w:val="9"/>
              <w:keepNext w:val="0"/>
              <w:keepLines/>
              <w:pageBreakBefore w:val="0"/>
              <w:tabs>
                <w:tab w:val="left" w:pos="624"/>
              </w:tabs>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lang w:val="en-US" w:eastAsia="zh-CN"/>
              </w:rPr>
              <w:t xml:space="preserve">   在投标截止日前，投标人每天都必须及时关注发布招标文件的澄清或者修改的媒介，以免错过可能的招标文件的澄清或者修改（如延期投标通知），对由于投标人未及时阅读招标文件澄清或者修改所造成的后果，由投标人自己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分包</w:t>
            </w:r>
          </w:p>
        </w:tc>
        <w:tc>
          <w:tcPr>
            <w:tcW w:w="6855" w:type="dxa"/>
            <w:noWrap w:val="0"/>
            <w:vAlign w:val="center"/>
          </w:tcPr>
          <w:p>
            <w:pPr>
              <w:pStyle w:val="29"/>
              <w:keepNext w:val="0"/>
              <w:keepLines w:val="0"/>
              <w:pageBreakBefore w:val="0"/>
              <w:kinsoku/>
              <w:wordWrap/>
              <w:overflowPunct/>
              <w:topLinePunct w:val="0"/>
              <w:bidi w:val="0"/>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☑不允许</w:t>
            </w:r>
          </w:p>
          <w:p>
            <w:pPr>
              <w:pStyle w:val="34"/>
              <w:tabs>
                <w:tab w:val="left" w:pos="3157"/>
              </w:tabs>
              <w:spacing w:before="31" w:line="254" w:lineRule="auto"/>
              <w:ind w:left="111" w:right="92"/>
              <w:rPr>
                <w:rFonts w:hint="eastAsia"/>
                <w:color w:val="auto"/>
                <w:spacing w:val="0"/>
                <w:position w:val="0"/>
                <w:sz w:val="21"/>
                <w:szCs w:val="21"/>
                <w:highlight w:val="none"/>
              </w:rPr>
            </w:pPr>
            <w:r>
              <w:rPr>
                <w:rFonts w:hint="eastAsia"/>
                <w:color w:val="auto"/>
                <w:spacing w:val="0"/>
                <w:position w:val="0"/>
                <w:sz w:val="21"/>
                <w:szCs w:val="21"/>
                <w:highlight w:val="none"/>
              </w:rPr>
              <w:t>□允许，允许分包内容：</w:t>
            </w:r>
            <w:r>
              <w:rPr>
                <w:rFonts w:hint="eastAsia"/>
                <w:color w:val="auto"/>
                <w:spacing w:val="0"/>
                <w:position w:val="0"/>
                <w:sz w:val="21"/>
                <w:szCs w:val="21"/>
                <w:highlight w:val="none"/>
              </w:rPr>
              <w:tab/>
            </w:r>
          </w:p>
          <w:p>
            <w:pPr>
              <w:pStyle w:val="9"/>
              <w:keepNext w:val="0"/>
              <w:keepLines w:val="0"/>
              <w:pageBreakBefore w:val="0"/>
              <w:tabs>
                <w:tab w:val="left" w:pos="624"/>
              </w:tabs>
              <w:kinsoku/>
              <w:wordWrap/>
              <w:overflowPunct/>
              <w:topLinePunct w:val="0"/>
              <w:bidi w:val="0"/>
              <w:snapToGrid w:val="0"/>
              <w:spacing w:line="360" w:lineRule="exact"/>
              <w:ind w:firstLine="0"/>
              <w:rPr>
                <w:rFonts w:hint="default" w:ascii="宋体" w:hAnsi="宋体" w:eastAsia="宋体" w:cs="宋体"/>
                <w:b/>
                <w:color w:val="auto"/>
                <w:szCs w:val="21"/>
                <w:highlight w:val="none"/>
                <w:lang w:val="en-US" w:eastAsia="zh-CN"/>
              </w:rPr>
            </w:pPr>
            <w:r>
              <w:rPr>
                <w:rFonts w:hint="eastAsia" w:hAnsi="宋体" w:cs="宋体"/>
                <w:color w:val="auto"/>
                <w:spacing w:val="0"/>
                <w:position w:val="0"/>
                <w:sz w:val="21"/>
                <w:szCs w:val="21"/>
                <w:highlight w:val="none"/>
              </w:rPr>
              <w:t>接受分包的第三人资格、资质要求：</w:t>
            </w:r>
            <w:r>
              <w:rPr>
                <w:rFonts w:hint="eastAsia" w:hAnsi="宋体" w:cs="宋体"/>
                <w:color w:val="auto"/>
                <w:spacing w:val="0"/>
                <w:position w:val="0"/>
                <w:sz w:val="21"/>
                <w:szCs w:val="21"/>
                <w:highlight w:val="none"/>
                <w:u w:val="single"/>
              </w:rPr>
              <w:t xml:space="preserve"> / </w:t>
            </w:r>
            <w:r>
              <w:rPr>
                <w:rFonts w:hint="eastAsia" w:hAnsi="宋体" w:cs="宋体"/>
                <w:color w:val="auto"/>
                <w:spacing w:val="0"/>
                <w:positio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偏离</w:t>
            </w:r>
          </w:p>
        </w:tc>
        <w:tc>
          <w:tcPr>
            <w:tcW w:w="6855" w:type="dxa"/>
            <w:noWrap w:val="0"/>
            <w:vAlign w:val="center"/>
          </w:tcPr>
          <w:p>
            <w:pPr>
              <w:pStyle w:val="29"/>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不允许</w:t>
            </w:r>
          </w:p>
          <w:p>
            <w:pPr>
              <w:pStyle w:val="29"/>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允许，允许偏离范围和幅度：</w:t>
            </w:r>
            <w:r>
              <w:rPr>
                <w:rFonts w:hint="eastAsia" w:ascii="宋体" w:hAnsi="宋体" w:eastAsia="宋体" w:cs="宋体"/>
                <w:color w:val="auto"/>
                <w:sz w:val="21"/>
                <w:szCs w:val="21"/>
                <w:highlight w:val="none"/>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14.1</w:t>
            </w:r>
          </w:p>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/21.3</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投标截止时间</w:t>
            </w:r>
          </w:p>
        </w:tc>
        <w:tc>
          <w:tcPr>
            <w:tcW w:w="6855" w:type="dxa"/>
            <w:tcBorders>
              <w:left w:val="single" w:color="auto" w:sz="4" w:space="0"/>
              <w:right w:val="single" w:color="auto" w:sz="8" w:space="0"/>
            </w:tcBorders>
            <w:noWrap w:val="0"/>
            <w:vAlign w:val="center"/>
          </w:tcPr>
          <w:p>
            <w:pPr>
              <w:pStyle w:val="9"/>
              <w:keepNext w:val="0"/>
              <w:keepLines/>
              <w:pageBreakBefore w:val="0"/>
              <w:tabs>
                <w:tab w:val="left" w:pos="624"/>
              </w:tabs>
              <w:kinsoku/>
              <w:wordWrap/>
              <w:overflowPunct/>
              <w:topLinePunct w:val="0"/>
              <w:autoSpaceDE/>
              <w:autoSpaceDN/>
              <w:bidi w:val="0"/>
              <w:snapToGrid w:val="0"/>
              <w:spacing w:line="360" w:lineRule="exact"/>
              <w:ind w:firstLine="0"/>
              <w:rPr>
                <w:rFonts w:hint="eastAsia" w:ascii="宋体" w:hAnsi="宋体" w:eastAsia="宋体" w:cs="宋体"/>
                <w:color w:val="auto"/>
                <w:kern w:val="0"/>
                <w:szCs w:val="21"/>
                <w:highlight w:val="none"/>
                <w:u w:val="single"/>
                <w:lang w:val="en-US" w:eastAsia="zh-CN"/>
              </w:rPr>
            </w:pPr>
            <w:r>
              <w:rPr>
                <w:rFonts w:hint="default"/>
                <w:color w:val="auto"/>
                <w:sz w:val="21"/>
                <w:szCs w:val="21"/>
                <w:u w:val="single"/>
                <w:lang w:val="en-US" w:eastAsia="zh-CN"/>
              </w:rPr>
              <w:t>202</w:t>
            </w:r>
            <w:r>
              <w:rPr>
                <w:rFonts w:hint="eastAsia"/>
                <w:color w:val="auto"/>
                <w:sz w:val="21"/>
                <w:szCs w:val="21"/>
                <w:u w:val="single"/>
                <w:lang w:val="en-US" w:eastAsia="zh-CN"/>
              </w:rPr>
              <w:t>3</w:t>
            </w:r>
            <w:r>
              <w:rPr>
                <w:rFonts w:hint="default"/>
                <w:color w:val="auto"/>
                <w:sz w:val="21"/>
                <w:szCs w:val="21"/>
                <w:lang w:val="en-US" w:eastAsia="zh-CN"/>
              </w:rPr>
              <w:t>年</w:t>
            </w:r>
            <w:r>
              <w:rPr>
                <w:rFonts w:hint="eastAsia"/>
                <w:color w:val="auto"/>
                <w:sz w:val="21"/>
                <w:szCs w:val="21"/>
                <w:u w:val="single"/>
                <w:lang w:val="en-US" w:eastAsia="zh-CN"/>
              </w:rPr>
              <w:t>08</w:t>
            </w:r>
            <w:r>
              <w:rPr>
                <w:rFonts w:hint="default"/>
                <w:color w:val="auto"/>
                <w:sz w:val="21"/>
                <w:szCs w:val="21"/>
                <w:lang w:val="en-US" w:eastAsia="zh-CN"/>
              </w:rPr>
              <w:t>月</w:t>
            </w:r>
            <w:r>
              <w:rPr>
                <w:rFonts w:hint="eastAsia"/>
                <w:color w:val="auto"/>
                <w:sz w:val="21"/>
                <w:szCs w:val="21"/>
                <w:u w:val="single"/>
                <w:lang w:val="en-US" w:eastAsia="zh-CN"/>
              </w:rPr>
              <w:t>18</w:t>
            </w:r>
            <w:r>
              <w:rPr>
                <w:rFonts w:hint="default"/>
                <w:color w:val="auto"/>
                <w:sz w:val="21"/>
                <w:szCs w:val="21"/>
                <w:lang w:val="en-US" w:eastAsia="zh-CN"/>
              </w:rPr>
              <w:t>日</w:t>
            </w:r>
            <w:r>
              <w:rPr>
                <w:rFonts w:hint="eastAsia"/>
                <w:color w:val="auto"/>
                <w:sz w:val="21"/>
                <w:szCs w:val="21"/>
                <w:u w:val="single"/>
                <w:lang w:val="en-US" w:eastAsia="zh-CN"/>
              </w:rPr>
              <w:t>09</w:t>
            </w:r>
            <w:r>
              <w:rPr>
                <w:rFonts w:hint="default"/>
                <w:color w:val="auto"/>
                <w:sz w:val="21"/>
                <w:szCs w:val="21"/>
                <w:lang w:val="en-US" w:eastAsia="zh-CN"/>
              </w:rPr>
              <w:t>时</w:t>
            </w:r>
            <w:r>
              <w:rPr>
                <w:rFonts w:hint="eastAsia"/>
                <w:color w:val="auto"/>
                <w:sz w:val="21"/>
                <w:szCs w:val="21"/>
                <w:u w:val="single"/>
                <w:lang w:val="en-US" w:eastAsia="zh-CN"/>
              </w:rPr>
              <w:t>30</w:t>
            </w:r>
            <w:r>
              <w:rPr>
                <w:rFonts w:hint="default"/>
                <w:color w:val="auto"/>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15.3.1</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技术文件</w:t>
            </w:r>
          </w:p>
        </w:tc>
        <w:tc>
          <w:tcPr>
            <w:tcW w:w="6855"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本招标项目</w:t>
            </w:r>
            <w:r>
              <w:rPr>
                <w:rFonts w:hint="eastAsia" w:ascii="宋体" w:hAnsi="宋体" w:eastAsia="宋体" w:cs="宋体"/>
                <w:color w:val="auto"/>
                <w:szCs w:val="21"/>
                <w:highlight w:val="none"/>
                <w:u w:val="single"/>
                <w:lang w:val="en-US" w:eastAsia="zh-CN"/>
              </w:rPr>
              <w:t>不要求</w:t>
            </w:r>
            <w:r>
              <w:rPr>
                <w:rFonts w:hint="eastAsia" w:ascii="宋体" w:hAnsi="宋体" w:eastAsia="宋体" w:cs="宋体"/>
                <w:color w:val="auto"/>
                <w:szCs w:val="21"/>
                <w:highlight w:val="none"/>
                <w:lang w:val="en-US" w:eastAsia="zh-CN"/>
              </w:rPr>
              <w:t>提交技术文件。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17.1</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投标有效期</w:t>
            </w:r>
          </w:p>
        </w:tc>
        <w:tc>
          <w:tcPr>
            <w:tcW w:w="6855"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投标截止时间后</w:t>
            </w:r>
            <w:r>
              <w:rPr>
                <w:rFonts w:hint="eastAsia" w:ascii="宋体" w:hAnsi="宋体" w:eastAsia="宋体" w:cs="宋体"/>
                <w:color w:val="auto"/>
                <w:szCs w:val="21"/>
                <w:highlight w:val="none"/>
                <w:u w:val="single"/>
                <w:lang w:val="en-US" w:eastAsia="zh-CN"/>
              </w:rPr>
              <w:t xml:space="preserve"> 90 </w:t>
            </w:r>
            <w:r>
              <w:rPr>
                <w:rFonts w:hint="eastAsia" w:ascii="宋体" w:hAnsi="宋体" w:eastAsia="宋体" w:cs="宋体"/>
                <w:color w:val="auto"/>
                <w:szCs w:val="21"/>
                <w:highlight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1" w:type="dxa"/>
            <w:tcBorders>
              <w:left w:val="single" w:color="auto" w:sz="8" w:space="0"/>
              <w:bottom w:val="single" w:color="auto" w:sz="4"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tcBorders>
              <w:bottom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18.1/ 18.2.1</w:t>
            </w:r>
          </w:p>
        </w:tc>
        <w:tc>
          <w:tcPr>
            <w:tcW w:w="1522" w:type="dxa"/>
            <w:tcBorders>
              <w:bottom w:val="single" w:color="auto" w:sz="4" w:space="0"/>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投标保证金</w:t>
            </w:r>
          </w:p>
        </w:tc>
        <w:tc>
          <w:tcPr>
            <w:tcW w:w="6855" w:type="dxa"/>
            <w:tcBorders>
              <w:left w:val="single" w:color="auto" w:sz="4" w:space="0"/>
              <w:bottom w:val="single" w:color="auto" w:sz="4" w:space="0"/>
              <w:right w:val="single" w:color="auto" w:sz="8"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Chars="200"/>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1、投标保证金金额：人民币</w:t>
            </w:r>
            <w:r>
              <w:rPr>
                <w:rFonts w:hint="eastAsia" w:ascii="宋体" w:hAnsi="宋体" w:eastAsia="宋体" w:cs="宋体"/>
                <w:i w:val="0"/>
                <w:iCs w:val="0"/>
                <w:color w:val="auto"/>
                <w:szCs w:val="21"/>
                <w:highlight w:val="none"/>
                <w:u w:val="single"/>
                <w:lang w:val="en-US" w:eastAsia="zh-CN"/>
              </w:rPr>
              <w:t>65000元</w:t>
            </w:r>
            <w:r>
              <w:rPr>
                <w:rFonts w:hint="eastAsia" w:ascii="宋体" w:hAnsi="宋体" w:eastAsia="宋体" w:cs="宋体"/>
                <w:i w:val="0"/>
                <w:iCs w:val="0"/>
                <w:color w:val="auto"/>
                <w:szCs w:val="21"/>
                <w:highlight w:val="none"/>
                <w:lang w:val="en-US" w:eastAsia="zh-CN"/>
              </w:rPr>
              <w:t>；</w:t>
            </w:r>
          </w:p>
          <w:p>
            <w:pPr>
              <w:pStyle w:val="9"/>
              <w:keepNext w:val="0"/>
              <w:keepLines/>
              <w:pageBreakBefore w:val="0"/>
              <w:kinsoku/>
              <w:wordWrap/>
              <w:overflowPunct/>
              <w:topLinePunct w:val="0"/>
              <w:autoSpaceDE/>
              <w:autoSpaceDN/>
              <w:bidi w:val="0"/>
              <w:snapToGrid w:val="0"/>
              <w:spacing w:line="360" w:lineRule="exact"/>
              <w:ind w:firstLineChars="200"/>
              <w:rPr>
                <w:rFonts w:hint="eastAsia" w:ascii="宋体" w:hAnsi="宋体" w:eastAsia="宋体" w:cs="宋体"/>
                <w:b/>
                <w:bCs w:val="0"/>
                <w:color w:val="auto"/>
                <w:sz w:val="21"/>
                <w:szCs w:val="21"/>
                <w:shd w:val="clear" w:color="auto" w:fill="FFFFFF"/>
                <w:lang w:val="en-US" w:eastAsia="zh-CN"/>
              </w:rPr>
            </w:pPr>
            <w:r>
              <w:rPr>
                <w:rFonts w:hint="eastAsia" w:ascii="宋体" w:hAnsi="宋体" w:eastAsia="宋体" w:cs="宋体"/>
                <w:i w:val="0"/>
                <w:iCs w:val="0"/>
                <w:color w:val="auto"/>
                <w:szCs w:val="21"/>
                <w:highlight w:val="none"/>
                <w:lang w:val="en-US" w:eastAsia="zh-CN"/>
              </w:rPr>
              <w:t>2、投标保证金形式：</w:t>
            </w:r>
            <w:r>
              <w:rPr>
                <w:rStyle w:val="26"/>
                <w:rFonts w:hint="eastAsia" w:ascii="宋体" w:hAnsi="宋体" w:eastAsia="宋体" w:cs="宋体"/>
                <w:b/>
                <w:bCs w:val="0"/>
                <w:color w:val="auto"/>
                <w:sz w:val="21"/>
                <w:szCs w:val="21"/>
                <w:u w:val="single"/>
                <w:shd w:val="clear" w:color="auto" w:fill="FFFFFF"/>
              </w:rPr>
              <w:t xml:space="preserve">①现金形式 </w:t>
            </w:r>
            <w:r>
              <w:rPr>
                <w:rStyle w:val="26"/>
                <w:rFonts w:hint="eastAsia" w:ascii="宋体" w:hAnsi="宋体" w:eastAsia="宋体" w:cs="宋体"/>
                <w:b/>
                <w:bCs w:val="0"/>
                <w:color w:val="auto"/>
                <w:sz w:val="21"/>
                <w:szCs w:val="21"/>
                <w:u w:val="single"/>
                <w:shd w:val="clear" w:color="auto" w:fill="FFFFFF"/>
                <w:lang w:eastAsia="zh-CN"/>
              </w:rPr>
              <w:t>：</w:t>
            </w:r>
            <w:r>
              <w:rPr>
                <w:rFonts w:hint="eastAsia" w:ascii="宋体" w:hAnsi="宋体" w:eastAsia="宋体" w:cs="宋体"/>
                <w:b/>
                <w:bCs w:val="0"/>
                <w:color w:val="auto"/>
                <w:sz w:val="21"/>
                <w:szCs w:val="21"/>
                <w:u w:val="single"/>
                <w:shd w:val="clear" w:color="auto" w:fill="FFFFFF"/>
              </w:rPr>
              <w:t>投标申请人应于2023年</w:t>
            </w:r>
            <w:r>
              <w:rPr>
                <w:rFonts w:hint="eastAsia" w:ascii="宋体" w:hAnsi="宋体" w:eastAsia="宋体" w:cs="宋体"/>
                <w:b/>
                <w:bCs w:val="0"/>
                <w:color w:val="auto"/>
                <w:sz w:val="21"/>
                <w:szCs w:val="21"/>
                <w:u w:val="single"/>
                <w:shd w:val="clear" w:color="auto" w:fill="FFFFFF"/>
                <w:lang w:val="en-US" w:eastAsia="zh-CN"/>
              </w:rPr>
              <w:t>08</w:t>
            </w:r>
            <w:r>
              <w:rPr>
                <w:rFonts w:hint="eastAsia" w:ascii="宋体" w:hAnsi="宋体" w:eastAsia="宋体" w:cs="宋体"/>
                <w:b/>
                <w:bCs w:val="0"/>
                <w:color w:val="auto"/>
                <w:sz w:val="21"/>
                <w:szCs w:val="21"/>
                <w:u w:val="single"/>
                <w:shd w:val="clear" w:color="auto" w:fill="FFFFFF"/>
              </w:rPr>
              <w:t>月</w:t>
            </w:r>
            <w:r>
              <w:rPr>
                <w:rFonts w:hint="eastAsia" w:ascii="宋体" w:hAnsi="宋体" w:eastAsia="宋体" w:cs="宋体"/>
                <w:b/>
                <w:bCs w:val="0"/>
                <w:color w:val="auto"/>
                <w:sz w:val="21"/>
                <w:szCs w:val="21"/>
                <w:u w:val="single"/>
                <w:shd w:val="clear" w:color="auto" w:fill="FFFFFF"/>
                <w:lang w:val="en-US" w:eastAsia="zh-CN"/>
              </w:rPr>
              <w:t>17</w:t>
            </w:r>
            <w:r>
              <w:rPr>
                <w:rFonts w:hint="eastAsia" w:ascii="宋体" w:hAnsi="宋体" w:eastAsia="宋体" w:cs="宋体"/>
                <w:b/>
                <w:bCs w:val="0"/>
                <w:color w:val="auto"/>
                <w:sz w:val="21"/>
                <w:szCs w:val="21"/>
                <w:u w:val="single"/>
                <w:shd w:val="clear" w:color="auto" w:fill="FFFFFF"/>
              </w:rPr>
              <w:t>日17：00 前（以银行实时到账为准）从投标人所在地银行的投标人企业基本账户以电汇或银行转账的形式，汇到招标文件指定的投标保证金账户，并应在电汇或银行转账单上注明</w:t>
            </w:r>
            <w:r>
              <w:rPr>
                <w:rFonts w:hint="eastAsia" w:ascii="宋体" w:hAnsi="宋体" w:eastAsia="宋体" w:cs="宋体"/>
                <w:b/>
                <w:bCs w:val="0"/>
                <w:color w:val="auto"/>
                <w:sz w:val="21"/>
                <w:szCs w:val="21"/>
                <w:u w:val="single"/>
                <w:shd w:val="clear" w:color="auto" w:fill="FFFFFF"/>
                <w:lang w:eastAsia="zh-CN"/>
              </w:rPr>
              <w:t>“</w:t>
            </w:r>
            <w:r>
              <w:rPr>
                <w:rFonts w:hint="eastAsia" w:ascii="宋体" w:hAnsi="宋体" w:eastAsia="宋体" w:cs="宋体"/>
                <w:b/>
                <w:bCs w:val="0"/>
                <w:color w:val="auto"/>
                <w:sz w:val="21"/>
                <w:szCs w:val="21"/>
                <w:u w:val="single"/>
                <w:shd w:val="clear" w:color="auto" w:fill="FFFFFF"/>
              </w:rPr>
              <w:t>招标</w:t>
            </w:r>
            <w:r>
              <w:rPr>
                <w:rFonts w:hint="eastAsia" w:ascii="宋体" w:hAnsi="宋体" w:eastAsia="宋体" w:cs="宋体"/>
                <w:b/>
                <w:bCs w:val="0"/>
                <w:color w:val="auto"/>
                <w:sz w:val="21"/>
                <w:szCs w:val="21"/>
                <w:u w:val="single"/>
                <w:shd w:val="clear" w:color="auto" w:fill="FFFFFF"/>
                <w:lang w:eastAsia="zh-CN"/>
              </w:rPr>
              <w:t>项目编号”</w:t>
            </w:r>
            <w:r>
              <w:rPr>
                <w:rFonts w:hint="eastAsia" w:ascii="宋体" w:hAnsi="宋体" w:eastAsia="宋体" w:cs="宋体"/>
                <w:b/>
                <w:bCs w:val="0"/>
                <w:color w:val="auto"/>
                <w:sz w:val="21"/>
                <w:szCs w:val="21"/>
                <w:u w:val="single"/>
                <w:shd w:val="clear" w:color="auto" w:fill="FFFFFF"/>
              </w:rPr>
              <w:t>，如因投标人汇款凭证未注明招标项目编号造成银行无法识别投标保证金到账情况或识别错误的，其责任由投标人自行承担。招标人在投标截止的同一时间到银行查询投标保证金到帐情况，并以银行出具的加盖公章的投标保证金到帐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b/>
                <w:bCs w:val="0"/>
                <w:color w:val="auto"/>
                <w:sz w:val="21"/>
                <w:szCs w:val="21"/>
                <w:shd w:val="clear" w:color="auto" w:fill="FFFFFF"/>
              </w:rPr>
              <w:t>。</w:t>
            </w:r>
            <w:r>
              <w:rPr>
                <w:rFonts w:hint="eastAsia" w:ascii="宋体" w:hAnsi="宋体" w:eastAsia="宋体" w:cs="宋体"/>
                <w:b/>
                <w:bCs w:val="0"/>
                <w:color w:val="auto"/>
                <w:sz w:val="21"/>
                <w:szCs w:val="21"/>
                <w:shd w:val="clear" w:color="auto" w:fill="FFFFFF"/>
                <w:lang w:val="en-US" w:eastAsia="zh-CN"/>
              </w:rPr>
              <w:t xml:space="preserve">  </w:t>
            </w:r>
          </w:p>
          <w:p>
            <w:pPr>
              <w:pStyle w:val="9"/>
              <w:keepNext w:val="0"/>
              <w:keepLines/>
              <w:pageBreakBefore w:val="0"/>
              <w:kinsoku/>
              <w:wordWrap/>
              <w:overflowPunct/>
              <w:topLinePunct w:val="0"/>
              <w:autoSpaceDE/>
              <w:autoSpaceDN/>
              <w:bidi w:val="0"/>
              <w:snapToGrid w:val="0"/>
              <w:spacing w:line="360" w:lineRule="exact"/>
              <w:ind w:firstLineChars="200"/>
              <w:rPr>
                <w:rFonts w:hint="eastAsia" w:ascii="宋体" w:hAnsi="宋体" w:eastAsia="宋体" w:cs="宋体"/>
                <w:color w:val="auto"/>
                <w:sz w:val="21"/>
                <w:szCs w:val="21"/>
                <w:shd w:val="clear" w:color="auto" w:fill="FFFFFF"/>
              </w:rPr>
            </w:pPr>
            <w:r>
              <w:rPr>
                <w:rFonts w:hint="eastAsia" w:ascii="宋体" w:hAnsi="宋体" w:eastAsia="宋体" w:cs="宋体"/>
                <w:b/>
                <w:bCs w:val="0"/>
                <w:color w:val="auto"/>
                <w:sz w:val="21"/>
                <w:szCs w:val="21"/>
                <w:shd w:val="clear" w:color="auto" w:fill="FFFFFF"/>
              </w:rPr>
              <w:t>②电子保险保函应在投标截止时间之前通过随行易交易电子招标投标交易平台在线申请，否则视为未按规定提交投标保证金，资格审查不合格。</w:t>
            </w:r>
          </w:p>
          <w:p>
            <w:pPr>
              <w:pStyle w:val="9"/>
              <w:keepNext w:val="0"/>
              <w:keepLines/>
              <w:pageBreakBefore w:val="0"/>
              <w:kinsoku/>
              <w:wordWrap/>
              <w:overflowPunct/>
              <w:topLinePunct w:val="0"/>
              <w:autoSpaceDE/>
              <w:autoSpaceDN/>
              <w:bidi w:val="0"/>
              <w:snapToGrid w:val="0"/>
              <w:spacing w:line="360" w:lineRule="exact"/>
              <w:ind w:left="4" w:firstLineChars="200"/>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投标保证金银行帐号:</w:t>
            </w:r>
          </w:p>
          <w:p>
            <w:pPr>
              <w:pStyle w:val="9"/>
              <w:keepNext w:val="0"/>
              <w:keepLines/>
              <w:pageBreakBefore w:val="0"/>
              <w:kinsoku/>
              <w:wordWrap/>
              <w:overflowPunct/>
              <w:topLinePunct w:val="0"/>
              <w:autoSpaceDE/>
              <w:autoSpaceDN/>
              <w:bidi w:val="0"/>
              <w:snapToGrid w:val="0"/>
              <w:spacing w:line="360" w:lineRule="exact"/>
              <w:ind w:left="4" w:firstLineChars="200"/>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 xml:space="preserve">开户银行：招商银行福州分行营业部 </w:t>
            </w:r>
          </w:p>
          <w:p>
            <w:pPr>
              <w:pStyle w:val="9"/>
              <w:keepNext w:val="0"/>
              <w:keepLines/>
              <w:pageBreakBefore w:val="0"/>
              <w:kinsoku/>
              <w:wordWrap/>
              <w:overflowPunct/>
              <w:topLinePunct w:val="0"/>
              <w:autoSpaceDE/>
              <w:autoSpaceDN/>
              <w:bidi w:val="0"/>
              <w:snapToGrid w:val="0"/>
              <w:spacing w:line="360" w:lineRule="exact"/>
              <w:ind w:left="4" w:firstLineChars="200"/>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 xml:space="preserve">帐户名称：福建随行软件有限公司  </w:t>
            </w:r>
          </w:p>
          <w:p>
            <w:pPr>
              <w:pStyle w:val="9"/>
              <w:keepNext w:val="0"/>
              <w:keepLines/>
              <w:pageBreakBefore w:val="0"/>
              <w:kinsoku/>
              <w:wordWrap/>
              <w:overflowPunct/>
              <w:topLinePunct w:val="0"/>
              <w:autoSpaceDE/>
              <w:autoSpaceDN/>
              <w:bidi w:val="0"/>
              <w:snapToGrid w:val="0"/>
              <w:spacing w:line="360" w:lineRule="exact"/>
              <w:ind w:left="4" w:firstLineChars="200"/>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 xml:space="preserve">帐    号：在线获取保证金子账号   </w:t>
            </w:r>
          </w:p>
          <w:p>
            <w:pPr>
              <w:pStyle w:val="23"/>
              <w:keepNext w:val="0"/>
              <w:keepLines/>
              <w:pageBreakBefore w:val="0"/>
              <w:kinsoku/>
              <w:wordWrap/>
              <w:overflowPunct/>
              <w:topLinePunct w:val="0"/>
              <w:autoSpaceDE/>
              <w:autoSpaceDN/>
              <w:bidi w:val="0"/>
              <w:spacing w:after="0" w:line="360" w:lineRule="exact"/>
              <w:ind w:firstLine="420" w:firstLineChars="200"/>
              <w:rPr>
                <w:rFonts w:hint="eastAsia" w:ascii="宋体" w:hAnsi="宋体" w:eastAsia="宋体" w:cs="宋体"/>
                <w:b/>
                <w:i w:val="0"/>
                <w:iCs w:val="0"/>
                <w:color w:val="auto"/>
                <w:szCs w:val="21"/>
                <w:highlight w:val="none"/>
                <w:u w:val="single"/>
              </w:rPr>
            </w:pPr>
            <w:r>
              <w:rPr>
                <w:rFonts w:hint="eastAsia" w:ascii="宋体" w:hAnsi="宋体" w:eastAsia="宋体" w:cs="宋体"/>
                <w:b/>
                <w:bCs/>
                <w:i w:val="0"/>
                <w:iCs w:val="0"/>
                <w:color w:val="auto"/>
                <w:kern w:val="2"/>
                <w:szCs w:val="21"/>
                <w:highlight w:val="none"/>
              </w:rPr>
              <w:t>备注：</w:t>
            </w:r>
            <w:r>
              <w:rPr>
                <w:rFonts w:hint="eastAsia" w:ascii="宋体" w:hAnsi="宋体" w:eastAsia="宋体" w:cs="宋体"/>
                <w:b/>
                <w:bCs/>
                <w:i w:val="0"/>
                <w:iCs w:val="0"/>
                <w:color w:val="auto"/>
                <w:szCs w:val="21"/>
                <w:highlight w:val="none"/>
              </w:rPr>
              <w:t>采用现金（电汇或者银行转账）形式的投标保证金退还方式：中标单位投标保证金在提交履约保证金后且向招标代理公司提交投标保证金退还申请资料后五个工作日内无息退回；未中标的投标单位投标保证金在中标结果公示期结束后五个工作日内无息退回。</w:t>
            </w:r>
          </w:p>
          <w:p>
            <w:pPr>
              <w:pStyle w:val="9"/>
              <w:keepNext w:val="0"/>
              <w:keepLines w:val="0"/>
              <w:pageBreakBefore w:val="0"/>
              <w:numPr>
                <w:ilvl w:val="0"/>
                <w:numId w:val="6"/>
              </w:numPr>
              <w:kinsoku/>
              <w:wordWrap/>
              <w:overflowPunct/>
              <w:topLinePunct w:val="0"/>
              <w:autoSpaceDE/>
              <w:autoSpaceDN/>
              <w:bidi w:val="0"/>
              <w:adjustRightInd w:val="0"/>
              <w:snapToGrid w:val="0"/>
              <w:spacing w:line="300" w:lineRule="auto"/>
              <w:ind w:left="0" w:leftChars="0" w:right="0" w:firstLine="420" w:firstLineChars="0"/>
              <w:textAlignment w:val="auto"/>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投标保证金证明材料提交形式：</w:t>
            </w:r>
          </w:p>
          <w:p>
            <w:pPr>
              <w:pStyle w:val="9"/>
              <w:keepNext w:val="0"/>
              <w:keepLines w:val="0"/>
              <w:pageBreakBefore w:val="0"/>
              <w:numPr>
                <w:ilvl w:val="0"/>
                <w:numId w:val="0"/>
              </w:numPr>
              <w:kinsoku/>
              <w:wordWrap/>
              <w:overflowPunct/>
              <w:topLinePunct w:val="0"/>
              <w:autoSpaceDE/>
              <w:autoSpaceDN/>
              <w:bidi w:val="0"/>
              <w:adjustRightInd w:val="0"/>
              <w:snapToGrid w:val="0"/>
              <w:spacing w:line="300" w:lineRule="auto"/>
              <w:ind w:right="0" w:rightChars="0" w:firstLine="436" w:firstLineChars="200"/>
              <w:textAlignment w:val="auto"/>
              <w:rPr>
                <w:rFonts w:hint="eastAsia" w:ascii="宋体" w:hAnsi="宋体" w:eastAsia="宋体" w:cs="宋体"/>
                <w:b/>
                <w:color w:val="auto"/>
                <w:spacing w:val="4"/>
                <w:szCs w:val="21"/>
                <w:highlight w:val="none"/>
                <w:u w:val="double"/>
              </w:rPr>
            </w:pPr>
            <w:r>
              <w:rPr>
                <w:rFonts w:hint="eastAsia" w:ascii="宋体" w:hAnsi="宋体" w:eastAsia="宋体" w:cs="宋体"/>
                <w:b/>
                <w:color w:val="auto"/>
                <w:spacing w:val="4"/>
                <w:szCs w:val="21"/>
                <w:highlight w:val="none"/>
                <w:u w:val="double"/>
              </w:rPr>
              <w:t>①将电汇或银行转账单投标保证金凭证的扫描件（加盖投标人单位公章）作为资格文件的组成部分。</w:t>
            </w:r>
          </w:p>
          <w:p>
            <w:pPr>
              <w:pStyle w:val="9"/>
              <w:keepNext w:val="0"/>
              <w:keepLines/>
              <w:pageBreakBefore w:val="0"/>
              <w:kinsoku/>
              <w:wordWrap/>
              <w:overflowPunct/>
              <w:topLinePunct w:val="0"/>
              <w:autoSpaceDE/>
              <w:autoSpaceDN/>
              <w:bidi w:val="0"/>
              <w:snapToGrid w:val="0"/>
              <w:spacing w:line="360" w:lineRule="exact"/>
              <w:ind w:firstLineChars="200"/>
              <w:rPr>
                <w:rFonts w:hint="eastAsia" w:ascii="宋体" w:hAnsi="宋体" w:eastAsia="宋体" w:cs="宋体"/>
                <w:b/>
                <w:color w:val="auto"/>
                <w:spacing w:val="4"/>
                <w:sz w:val="21"/>
                <w:szCs w:val="21"/>
                <w:highlight w:val="none"/>
                <w:u w:val="double"/>
              </w:rPr>
            </w:pPr>
            <w:r>
              <w:rPr>
                <w:rFonts w:hint="eastAsia" w:ascii="宋体" w:hAnsi="宋体" w:eastAsia="宋体" w:cs="宋体"/>
                <w:b/>
                <w:color w:val="auto"/>
                <w:spacing w:val="4"/>
                <w:sz w:val="21"/>
                <w:szCs w:val="21"/>
                <w:highlight w:val="none"/>
                <w:u w:val="double"/>
              </w:rPr>
              <w:t>②投标人以电子投标保函形式提交投标保证金的：在易交易电子招标投标平台或电子保函平台提供的页面下载电子保函并导入投标文件。如遇开函问题，可直接联系平台运营商。电汇或银行转账单以及保函开立人出具的加盖单位公章的到账证明扫描件，作为投标文件的组成部分。</w:t>
            </w:r>
          </w:p>
          <w:p>
            <w:pPr>
              <w:pStyle w:val="9"/>
              <w:keepNext w:val="0"/>
              <w:keepLines/>
              <w:pageBreakBefore w:val="0"/>
              <w:kinsoku/>
              <w:wordWrap/>
              <w:overflowPunct/>
              <w:topLinePunct w:val="0"/>
              <w:autoSpaceDE/>
              <w:autoSpaceDN/>
              <w:bidi w:val="0"/>
              <w:snapToGrid w:val="0"/>
              <w:spacing w:line="360" w:lineRule="exact"/>
              <w:ind w:firstLineChars="200"/>
              <w:rPr>
                <w:rFonts w:hint="eastAsia" w:ascii="宋体" w:hAnsi="宋体" w:eastAsia="宋体" w:cs="宋体"/>
                <w:b/>
                <w:color w:val="auto"/>
                <w:spacing w:val="4"/>
                <w:szCs w:val="21"/>
                <w:highlight w:val="none"/>
                <w:u w:val="double"/>
                <w:lang w:val="en-US" w:eastAsia="zh-CN"/>
              </w:rPr>
            </w:pPr>
            <w:r>
              <w:rPr>
                <w:rFonts w:hint="eastAsia" w:ascii="宋体" w:hAnsi="宋体" w:eastAsia="宋体" w:cs="宋体"/>
                <w:b/>
                <w:color w:val="auto"/>
                <w:spacing w:val="4"/>
                <w:sz w:val="21"/>
                <w:szCs w:val="21"/>
                <w:highlight w:val="none"/>
              </w:rPr>
              <w:t>4、</w:t>
            </w:r>
            <w:r>
              <w:rPr>
                <w:rFonts w:hint="eastAsia" w:ascii="宋体" w:hAnsi="宋体" w:eastAsia="宋体" w:cs="宋体"/>
                <w:b/>
                <w:color w:val="auto"/>
                <w:spacing w:val="4"/>
                <w:sz w:val="21"/>
                <w:szCs w:val="21"/>
                <w:highlight w:val="none"/>
                <w:u w:val="none"/>
              </w:rPr>
              <w:t>投标保证金有效期：与投标有效期一致。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19.1</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备选投标方案</w:t>
            </w:r>
          </w:p>
        </w:tc>
        <w:tc>
          <w:tcPr>
            <w:tcW w:w="6855" w:type="dxa"/>
            <w:tcBorders>
              <w:left w:val="single" w:color="auto" w:sz="4" w:space="0"/>
              <w:right w:val="single" w:color="auto" w:sz="8"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u w:val="single"/>
                <w:lang w:val="en-US" w:eastAsia="zh-CN"/>
              </w:rPr>
              <w:t xml:space="preserve"> 不接受 </w:t>
            </w:r>
            <w:r>
              <w:rPr>
                <w:rFonts w:hint="eastAsia" w:ascii="宋体" w:hAnsi="宋体" w:eastAsia="宋体" w:cs="宋体"/>
                <w:color w:val="auto"/>
                <w:szCs w:val="21"/>
                <w:highlight w:val="none"/>
                <w:lang w:val="en-US" w:eastAsia="zh-CN"/>
              </w:rPr>
              <w:t>投标人提交备选投标方案。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20.1</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要求提交的投标文件内容</w:t>
            </w:r>
          </w:p>
        </w:tc>
        <w:tc>
          <w:tcPr>
            <w:tcW w:w="6855" w:type="dxa"/>
            <w:noWrap w:val="0"/>
            <w:vAlign w:val="center"/>
          </w:tcPr>
          <w:p>
            <w:pPr>
              <w:pStyle w:val="9"/>
              <w:keepNext w:val="0"/>
              <w:keepLines/>
              <w:pageBreakBefore w:val="0"/>
              <w:widowControl w:val="0"/>
              <w:kinsoku/>
              <w:wordWrap/>
              <w:overflowPunct/>
              <w:topLinePunct w:val="0"/>
              <w:autoSpaceDE/>
              <w:autoSpaceDN/>
              <w:bidi w:val="0"/>
              <w:snapToGrid w:val="0"/>
              <w:spacing w:line="380" w:lineRule="exact"/>
              <w:ind w:firstLine="0"/>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资格文件：</w:t>
            </w:r>
            <w:r>
              <w:rPr>
                <w:rFonts w:hint="eastAsia" w:ascii="宋体" w:hAnsi="宋体" w:eastAsia="宋体" w:cs="宋体"/>
                <w:b/>
                <w:bCs/>
                <w:i w:val="0"/>
                <w:iCs w:val="0"/>
                <w:color w:val="auto"/>
                <w:szCs w:val="21"/>
                <w:highlight w:val="none"/>
                <w:u w:val="single"/>
                <w:lang w:val="en-US" w:eastAsia="zh-CN"/>
              </w:rPr>
              <w:t xml:space="preserve"> 要求 </w:t>
            </w:r>
            <w:r>
              <w:rPr>
                <w:rFonts w:hint="eastAsia" w:ascii="宋体" w:hAnsi="宋体" w:eastAsia="宋体" w:cs="宋体"/>
                <w:b/>
                <w:bCs/>
                <w:i w:val="0"/>
                <w:iCs w:val="0"/>
                <w:color w:val="auto"/>
                <w:szCs w:val="21"/>
                <w:highlight w:val="none"/>
                <w:lang w:val="en-US" w:eastAsia="zh-CN"/>
              </w:rPr>
              <w:t>提交；</w:t>
            </w:r>
          </w:p>
          <w:p>
            <w:pPr>
              <w:pStyle w:val="9"/>
              <w:keepNext w:val="0"/>
              <w:keepLines/>
              <w:pageBreakBefore w:val="0"/>
              <w:widowControl w:val="0"/>
              <w:kinsoku/>
              <w:wordWrap/>
              <w:overflowPunct/>
              <w:topLinePunct w:val="0"/>
              <w:autoSpaceDE/>
              <w:autoSpaceDN/>
              <w:bidi w:val="0"/>
              <w:snapToGrid w:val="0"/>
              <w:spacing w:line="380" w:lineRule="exact"/>
              <w:ind w:firstLine="0"/>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技术文件：</w:t>
            </w:r>
            <w:r>
              <w:rPr>
                <w:rFonts w:hint="eastAsia" w:ascii="宋体" w:hAnsi="宋体" w:eastAsia="宋体" w:cs="宋体"/>
                <w:b/>
                <w:bCs/>
                <w:i w:val="0"/>
                <w:iCs w:val="0"/>
                <w:color w:val="auto"/>
                <w:szCs w:val="21"/>
                <w:highlight w:val="none"/>
                <w:u w:val="single"/>
                <w:lang w:val="en-US" w:eastAsia="zh-CN"/>
              </w:rPr>
              <w:t xml:space="preserve"> 不要求 </w:t>
            </w:r>
            <w:r>
              <w:rPr>
                <w:rFonts w:hint="eastAsia" w:ascii="宋体" w:hAnsi="宋体" w:eastAsia="宋体" w:cs="宋体"/>
                <w:b/>
                <w:bCs/>
                <w:i w:val="0"/>
                <w:iCs w:val="0"/>
                <w:color w:val="auto"/>
                <w:szCs w:val="21"/>
                <w:highlight w:val="none"/>
                <w:lang w:val="en-US" w:eastAsia="zh-CN"/>
              </w:rPr>
              <w:t>提交；</w:t>
            </w:r>
          </w:p>
          <w:p>
            <w:pPr>
              <w:pStyle w:val="9"/>
              <w:keepNext w:val="0"/>
              <w:keepLines/>
              <w:pageBreakBefore w:val="0"/>
              <w:widowControl w:val="0"/>
              <w:kinsoku/>
              <w:wordWrap/>
              <w:overflowPunct/>
              <w:topLinePunct w:val="0"/>
              <w:autoSpaceDE/>
              <w:autoSpaceDN/>
              <w:bidi w:val="0"/>
              <w:snapToGrid w:val="0"/>
              <w:spacing w:line="380" w:lineRule="exact"/>
              <w:ind w:firstLine="0"/>
              <w:rPr>
                <w:rFonts w:hint="eastAsia" w:ascii="宋体" w:hAnsi="宋体" w:eastAsia="宋体" w:cs="宋体"/>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商务文件：</w:t>
            </w:r>
            <w:r>
              <w:rPr>
                <w:rFonts w:hint="eastAsia" w:ascii="宋体" w:hAnsi="宋体" w:eastAsia="宋体" w:cs="宋体"/>
                <w:b/>
                <w:bCs/>
                <w:i w:val="0"/>
                <w:iCs w:val="0"/>
                <w:color w:val="auto"/>
                <w:szCs w:val="21"/>
                <w:highlight w:val="none"/>
                <w:u w:val="single"/>
                <w:lang w:val="en-US" w:eastAsia="zh-CN"/>
              </w:rPr>
              <w:t xml:space="preserve"> 要求 </w:t>
            </w:r>
            <w:r>
              <w:rPr>
                <w:rFonts w:hint="eastAsia" w:ascii="宋体" w:hAnsi="宋体" w:eastAsia="宋体" w:cs="宋体"/>
                <w:b/>
                <w:bCs/>
                <w:i w:val="0"/>
                <w:iCs w:val="0"/>
                <w:color w:val="auto"/>
                <w:szCs w:val="21"/>
                <w:highlight w:val="none"/>
                <w:lang w:val="en-US" w:eastAsia="zh-CN"/>
              </w:rPr>
              <w:t>提交；其中，</w:t>
            </w:r>
            <w:r>
              <w:rPr>
                <w:rFonts w:hint="eastAsia" w:ascii="宋体" w:hAnsi="宋体" w:eastAsia="宋体" w:cs="宋体"/>
                <w:b/>
                <w:bCs/>
                <w:i w:val="0"/>
                <w:iCs w:val="0"/>
                <w:color w:val="auto"/>
                <w:szCs w:val="21"/>
                <w:highlight w:val="none"/>
                <w:u w:val="single"/>
                <w:lang w:val="en-US" w:eastAsia="zh-CN"/>
              </w:rPr>
              <w:t xml:space="preserve"> 不要求 </w:t>
            </w:r>
            <w:r>
              <w:rPr>
                <w:rFonts w:hint="eastAsia" w:ascii="宋体" w:hAnsi="宋体" w:eastAsia="宋体" w:cs="宋体"/>
                <w:b/>
                <w:bCs/>
                <w:i w:val="0"/>
                <w:iCs w:val="0"/>
                <w:color w:val="auto"/>
                <w:szCs w:val="21"/>
                <w:highlight w:val="none"/>
                <w:lang w:val="en-US" w:eastAsia="zh-CN"/>
              </w:rPr>
              <w:t>提交已标价工程量清单XML电子文档；XML电子文档的具体要求：</w:t>
            </w:r>
            <w:r>
              <w:rPr>
                <w:rFonts w:hint="eastAsia" w:ascii="宋体" w:hAnsi="宋体" w:eastAsia="宋体" w:cs="宋体"/>
                <w:b/>
                <w:bCs/>
                <w:i w:val="0"/>
                <w:iCs w:val="0"/>
                <w:color w:val="auto"/>
                <w:szCs w:val="21"/>
                <w:highlight w:val="none"/>
                <w:u w:val="single"/>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20.5</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投标文件编制和加密要求</w:t>
            </w:r>
          </w:p>
        </w:tc>
        <w:tc>
          <w:tcPr>
            <w:tcW w:w="6855" w:type="dxa"/>
            <w:noWrap w:val="0"/>
            <w:vAlign w:val="center"/>
          </w:tcPr>
          <w:p>
            <w:pPr>
              <w:pStyle w:val="9"/>
              <w:keepNext w:val="0"/>
              <w:keepLines/>
              <w:pageBreakBefore w:val="0"/>
              <w:widowControl w:val="0"/>
              <w:kinsoku/>
              <w:wordWrap/>
              <w:overflowPunct/>
              <w:topLinePunct w:val="0"/>
              <w:autoSpaceDE/>
              <w:autoSpaceDN/>
              <w:bidi w:val="0"/>
              <w:snapToGrid w:val="0"/>
              <w:spacing w:line="380" w:lineRule="exact"/>
              <w:ind w:firstLine="0"/>
              <w:rPr>
                <w:rFonts w:hint="eastAsia"/>
                <w:color w:val="auto"/>
                <w:lang w:val="en-US" w:eastAsia="zh-CN"/>
              </w:rPr>
            </w:pPr>
            <w:r>
              <w:rPr>
                <w:rFonts w:hint="eastAsia"/>
                <w:color w:val="auto"/>
                <w:lang w:val="en-US" w:eastAsia="zh-CN"/>
              </w:rPr>
              <w:t>投标文件编制工具软件名称及版本：易交易电子招标投标平台</w:t>
            </w:r>
          </w:p>
          <w:p>
            <w:pPr>
              <w:pStyle w:val="9"/>
              <w:keepNext w:val="0"/>
              <w:keepLines/>
              <w:pageBreakBefore w:val="0"/>
              <w:widowControl w:val="0"/>
              <w:kinsoku/>
              <w:wordWrap/>
              <w:overflowPunct/>
              <w:topLinePunct w:val="0"/>
              <w:autoSpaceDE/>
              <w:autoSpaceDN/>
              <w:bidi w:val="0"/>
              <w:snapToGrid w:val="0"/>
              <w:spacing w:line="380" w:lineRule="exact"/>
              <w:ind w:firstLine="0"/>
              <w:rPr>
                <w:rFonts w:hint="eastAsia"/>
                <w:color w:val="auto"/>
                <w:lang w:val="en-US" w:eastAsia="zh-CN"/>
              </w:rPr>
            </w:pPr>
            <w:r>
              <w:rPr>
                <w:rFonts w:hint="eastAsia"/>
                <w:color w:val="auto"/>
                <w:lang w:val="en-US" w:eastAsia="zh-CN"/>
              </w:rPr>
              <w:t>编制工具软件供应商：福建随行软件有限公司</w:t>
            </w:r>
          </w:p>
          <w:p>
            <w:pPr>
              <w:pStyle w:val="9"/>
              <w:keepNext w:val="0"/>
              <w:keepLines/>
              <w:pageBreakBefore w:val="0"/>
              <w:widowControl w:val="0"/>
              <w:kinsoku/>
              <w:wordWrap/>
              <w:overflowPunct/>
              <w:topLinePunct w:val="0"/>
              <w:autoSpaceDE/>
              <w:autoSpaceDN/>
              <w:bidi w:val="0"/>
              <w:snapToGrid w:val="0"/>
              <w:spacing w:line="380" w:lineRule="exact"/>
              <w:ind w:firstLine="0"/>
              <w:rPr>
                <w:rFonts w:hint="eastAsia"/>
                <w:color w:val="auto"/>
                <w:lang w:val="en-US" w:eastAsia="zh-CN"/>
              </w:rPr>
            </w:pPr>
            <w:r>
              <w:rPr>
                <w:rFonts w:hint="eastAsia"/>
                <w:color w:val="auto"/>
                <w:lang w:val="en-US" w:eastAsia="zh-CN"/>
              </w:rPr>
              <w:t>投标文件编制工具软件供应商联系电话：4008705191</w:t>
            </w:r>
          </w:p>
          <w:p>
            <w:pPr>
              <w:pStyle w:val="9"/>
              <w:keepNext w:val="0"/>
              <w:keepLines/>
              <w:pageBreakBefore w:val="0"/>
              <w:widowControl w:val="0"/>
              <w:kinsoku/>
              <w:wordWrap/>
              <w:overflowPunct/>
              <w:topLinePunct w:val="0"/>
              <w:autoSpaceDE/>
              <w:autoSpaceDN/>
              <w:bidi w:val="0"/>
              <w:snapToGrid w:val="0"/>
              <w:spacing w:line="380" w:lineRule="exact"/>
              <w:ind w:firstLine="0"/>
              <w:rPr>
                <w:rFonts w:hint="eastAsia"/>
                <w:color w:val="auto"/>
                <w:lang w:val="en-US" w:eastAsia="zh-CN"/>
              </w:rPr>
            </w:pPr>
            <w:r>
              <w:rPr>
                <w:rFonts w:hint="eastAsia"/>
                <w:color w:val="auto"/>
                <w:lang w:val="en-US" w:eastAsia="zh-CN"/>
              </w:rPr>
              <w:t>投标文件编制和加密要求：投标文件递交时在线加密</w:t>
            </w:r>
          </w:p>
          <w:p>
            <w:pPr>
              <w:pStyle w:val="9"/>
              <w:keepNext w:val="0"/>
              <w:keepLines/>
              <w:pageBreakBefore w:val="0"/>
              <w:widowControl w:val="0"/>
              <w:kinsoku/>
              <w:wordWrap/>
              <w:overflowPunct/>
              <w:topLinePunct w:val="0"/>
              <w:autoSpaceDE/>
              <w:autoSpaceDN/>
              <w:bidi w:val="0"/>
              <w:snapToGrid w:val="0"/>
              <w:spacing w:line="380" w:lineRule="exact"/>
              <w:ind w:firstLine="0"/>
              <w:rPr>
                <w:rFonts w:hint="eastAsia"/>
                <w:b/>
                <w:bCs/>
                <w:color w:val="auto"/>
                <w:lang w:val="en-US" w:eastAsia="zh-CN"/>
              </w:rPr>
            </w:pPr>
            <w:r>
              <w:rPr>
                <w:rFonts w:hint="eastAsia"/>
                <w:color w:val="auto"/>
                <w:lang w:val="en-US" w:eastAsia="zh-CN"/>
              </w:rPr>
              <w:t>投标文件以投标截止时间前通过网上上传的最后一份文件为准。中标后，</w:t>
            </w:r>
            <w:r>
              <w:rPr>
                <w:rFonts w:hint="eastAsia"/>
                <w:b/>
                <w:bCs/>
                <w:color w:val="auto"/>
                <w:lang w:val="en-US" w:eastAsia="zh-CN"/>
              </w:rPr>
              <w:t>投标文件中，投标人在制作电子投标文件时所有证件、单据等证明材料的，应为原件彩色扫描件；无法提供原件扫描的，应在证件或单据复印件上加盖单位公章后再扫描使用；否则按废标处理。</w:t>
            </w:r>
          </w:p>
          <w:p>
            <w:pPr>
              <w:pStyle w:val="9"/>
              <w:keepNext w:val="0"/>
              <w:keepLines/>
              <w:pageBreakBefore w:val="0"/>
              <w:widowControl w:val="0"/>
              <w:kinsoku/>
              <w:wordWrap/>
              <w:overflowPunct/>
              <w:topLinePunct w:val="0"/>
              <w:autoSpaceDE/>
              <w:autoSpaceDN/>
              <w:bidi w:val="0"/>
              <w:snapToGrid w:val="0"/>
              <w:spacing w:line="380" w:lineRule="exact"/>
              <w:ind w:firstLine="0"/>
              <w:rPr>
                <w:rFonts w:hint="eastAsia"/>
                <w:color w:val="auto"/>
                <w:lang w:val="en-US" w:eastAsia="zh-CN"/>
              </w:rPr>
            </w:pPr>
            <w:r>
              <w:rPr>
                <w:rFonts w:hint="eastAsia"/>
                <w:b/>
                <w:bCs/>
                <w:color w:val="auto"/>
                <w:lang w:val="en-US" w:eastAsia="zh-CN"/>
              </w:rPr>
              <w:t>中标后，中标人应提供彩色纸质投标文件</w:t>
            </w:r>
            <w:r>
              <w:rPr>
                <w:rFonts w:hint="eastAsia"/>
                <w:b/>
                <w:bCs/>
                <w:color w:val="auto"/>
                <w:u w:val="single"/>
                <w:lang w:val="en-US" w:eastAsia="zh-CN"/>
              </w:rPr>
              <w:t xml:space="preserve"> 伍 </w:t>
            </w:r>
            <w:r>
              <w:rPr>
                <w:rFonts w:hint="eastAsia"/>
                <w:b/>
                <w:bCs/>
                <w:color w:val="auto"/>
                <w:lang w:val="en-US" w:eastAsia="zh-CN"/>
              </w:rPr>
              <w:t>套，若提供的纸质投标文件与电子投标文件不一致时，以电子投标文件为准。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22.1</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开标时间和</w:t>
            </w:r>
          </w:p>
          <w:p>
            <w:pPr>
              <w:pStyle w:val="9"/>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要求</w:t>
            </w:r>
          </w:p>
        </w:tc>
        <w:tc>
          <w:tcPr>
            <w:tcW w:w="6855" w:type="dxa"/>
            <w:noWrap w:val="0"/>
            <w:vAlign w:val="center"/>
          </w:tcPr>
          <w:p>
            <w:pPr>
              <w:pStyle w:val="9"/>
              <w:keepNext w:val="0"/>
              <w:keepLines/>
              <w:pageBreakBefore w:val="0"/>
              <w:widowControl w:val="0"/>
              <w:kinsoku/>
              <w:wordWrap/>
              <w:overflowPunct/>
              <w:topLinePunct w:val="0"/>
              <w:autoSpaceDE/>
              <w:autoSpaceDN/>
              <w:bidi w:val="0"/>
              <w:snapToGrid w:val="0"/>
              <w:spacing w:line="380" w:lineRule="exact"/>
              <w:ind w:left="-8" w:leftChars="-4" w:firstLine="497" w:firstLineChars="237"/>
              <w:rPr>
                <w:rFonts w:hint="eastAsia" w:ascii="宋体" w:hAnsi="宋体" w:eastAsia="宋体" w:cs="宋体"/>
                <w:i w:val="0"/>
                <w:iCs w:val="0"/>
                <w:color w:val="auto"/>
                <w:kern w:val="0"/>
                <w:szCs w:val="21"/>
                <w:highlight w:val="none"/>
                <w:lang w:val="en-US" w:eastAsia="zh-CN"/>
              </w:rPr>
            </w:pPr>
            <w:r>
              <w:rPr>
                <w:rFonts w:hint="eastAsia" w:ascii="宋体" w:hAnsi="宋体" w:eastAsia="宋体" w:cs="宋体"/>
                <w:i w:val="0"/>
                <w:iCs w:val="0"/>
                <w:color w:val="auto"/>
                <w:szCs w:val="21"/>
                <w:highlight w:val="none"/>
                <w:lang w:val="en-US" w:eastAsia="zh-CN"/>
              </w:rPr>
              <w:t>开标时间：</w:t>
            </w:r>
            <w:r>
              <w:rPr>
                <w:rFonts w:hint="default"/>
                <w:color w:val="auto"/>
                <w:sz w:val="21"/>
                <w:szCs w:val="21"/>
                <w:u w:val="single"/>
                <w:lang w:val="en-US" w:eastAsia="zh-CN"/>
              </w:rPr>
              <w:t>202</w:t>
            </w:r>
            <w:r>
              <w:rPr>
                <w:rFonts w:hint="eastAsia"/>
                <w:color w:val="auto"/>
                <w:sz w:val="21"/>
                <w:szCs w:val="21"/>
                <w:u w:val="single"/>
                <w:lang w:val="en-US" w:eastAsia="zh-CN"/>
              </w:rPr>
              <w:t>3</w:t>
            </w:r>
            <w:r>
              <w:rPr>
                <w:rFonts w:hint="default"/>
                <w:color w:val="auto"/>
                <w:sz w:val="21"/>
                <w:szCs w:val="21"/>
                <w:lang w:val="en-US" w:eastAsia="zh-CN"/>
              </w:rPr>
              <w:t>年</w:t>
            </w:r>
            <w:r>
              <w:rPr>
                <w:rFonts w:hint="eastAsia"/>
                <w:color w:val="auto"/>
                <w:sz w:val="21"/>
                <w:szCs w:val="21"/>
                <w:u w:val="single"/>
                <w:lang w:val="en-US" w:eastAsia="zh-CN"/>
              </w:rPr>
              <w:t>08</w:t>
            </w:r>
            <w:r>
              <w:rPr>
                <w:rFonts w:hint="default"/>
                <w:color w:val="auto"/>
                <w:sz w:val="21"/>
                <w:szCs w:val="21"/>
                <w:lang w:val="en-US" w:eastAsia="zh-CN"/>
              </w:rPr>
              <w:t>月</w:t>
            </w:r>
            <w:r>
              <w:rPr>
                <w:rFonts w:hint="eastAsia"/>
                <w:color w:val="auto"/>
                <w:sz w:val="21"/>
                <w:szCs w:val="21"/>
                <w:u w:val="single"/>
                <w:lang w:val="en-US" w:eastAsia="zh-CN"/>
              </w:rPr>
              <w:t>18</w:t>
            </w:r>
            <w:r>
              <w:rPr>
                <w:rFonts w:hint="default"/>
                <w:color w:val="auto"/>
                <w:sz w:val="21"/>
                <w:szCs w:val="21"/>
                <w:lang w:val="en-US" w:eastAsia="zh-CN"/>
              </w:rPr>
              <w:t>日</w:t>
            </w:r>
            <w:r>
              <w:rPr>
                <w:rFonts w:hint="eastAsia"/>
                <w:color w:val="auto"/>
                <w:sz w:val="21"/>
                <w:szCs w:val="21"/>
                <w:u w:val="single"/>
                <w:lang w:val="en-US" w:eastAsia="zh-CN"/>
              </w:rPr>
              <w:t>09</w:t>
            </w:r>
            <w:r>
              <w:rPr>
                <w:rFonts w:hint="default"/>
                <w:color w:val="auto"/>
                <w:sz w:val="21"/>
                <w:szCs w:val="21"/>
                <w:lang w:val="en-US" w:eastAsia="zh-CN"/>
              </w:rPr>
              <w:t>时</w:t>
            </w:r>
            <w:r>
              <w:rPr>
                <w:rFonts w:hint="eastAsia"/>
                <w:color w:val="auto"/>
                <w:sz w:val="21"/>
                <w:szCs w:val="21"/>
                <w:u w:val="single"/>
                <w:lang w:val="en-US" w:eastAsia="zh-CN"/>
              </w:rPr>
              <w:t>30</w:t>
            </w:r>
            <w:r>
              <w:rPr>
                <w:rFonts w:hint="default"/>
                <w:color w:val="auto"/>
                <w:sz w:val="21"/>
                <w:szCs w:val="21"/>
                <w:lang w:val="en-US" w:eastAsia="zh-CN"/>
              </w:rPr>
              <w:t>分</w:t>
            </w:r>
          </w:p>
          <w:p>
            <w:pPr>
              <w:pStyle w:val="9"/>
              <w:keepNext w:val="0"/>
              <w:keepLines/>
              <w:pageBreakBefore w:val="0"/>
              <w:widowControl w:val="0"/>
              <w:kinsoku/>
              <w:wordWrap/>
              <w:overflowPunct/>
              <w:topLinePunct w:val="0"/>
              <w:autoSpaceDE/>
              <w:autoSpaceDN/>
              <w:bidi w:val="0"/>
              <w:snapToGrid w:val="0"/>
              <w:spacing w:line="380" w:lineRule="exact"/>
              <w:ind w:left="-8" w:leftChars="-4" w:firstLine="497" w:firstLineChars="237"/>
              <w:rPr>
                <w:rFonts w:hint="default" w:ascii="宋体" w:hAnsi="宋体" w:eastAsia="宋体" w:cs="宋体"/>
                <w:i w:val="0"/>
                <w:iCs w:val="0"/>
                <w:color w:val="auto"/>
                <w:kern w:val="0"/>
                <w:szCs w:val="21"/>
                <w:highlight w:val="none"/>
                <w:lang w:val="en-US" w:eastAsia="zh-CN"/>
              </w:rPr>
            </w:pPr>
            <w:r>
              <w:rPr>
                <w:rFonts w:hint="eastAsia" w:ascii="宋体" w:hAnsi="宋体" w:eastAsia="宋体" w:cs="宋体"/>
                <w:i w:val="0"/>
                <w:iCs w:val="0"/>
                <w:color w:val="auto"/>
                <w:kern w:val="0"/>
                <w:szCs w:val="21"/>
                <w:highlight w:val="none"/>
                <w:lang w:val="en-US" w:eastAsia="zh-CN"/>
              </w:rPr>
              <w:t>开标地点：</w:t>
            </w:r>
            <w:r>
              <w:rPr>
                <w:rFonts w:hint="eastAsia" w:ascii="宋体" w:hAnsi="宋体" w:eastAsia="宋体" w:cs="宋体"/>
                <w:i w:val="0"/>
                <w:iCs w:val="0"/>
                <w:color w:val="auto"/>
                <w:kern w:val="0"/>
                <w:szCs w:val="21"/>
                <w:highlight w:val="none"/>
                <w:u w:val="single"/>
                <w:lang w:val="en-US" w:eastAsia="zh-CN"/>
              </w:rPr>
              <w:t>易交易电子招标投标交易平台（地址：福建省泉州市丰泽区华大街道体育街西辅路801号7楼随行易交易（泉州）公共资源交易平台开标室）</w:t>
            </w:r>
          </w:p>
          <w:p>
            <w:pPr>
              <w:pStyle w:val="9"/>
              <w:keepNext w:val="0"/>
              <w:keepLines/>
              <w:pageBreakBefore w:val="0"/>
              <w:widowControl w:val="0"/>
              <w:kinsoku/>
              <w:wordWrap/>
              <w:overflowPunct/>
              <w:topLinePunct w:val="0"/>
              <w:autoSpaceDE/>
              <w:autoSpaceDN/>
              <w:bidi w:val="0"/>
              <w:snapToGrid w:val="0"/>
              <w:spacing w:line="380" w:lineRule="exact"/>
              <w:ind w:left="-8" w:leftChars="-4" w:firstLine="497" w:firstLineChars="237"/>
              <w:rPr>
                <w:rFonts w:hint="eastAsia" w:ascii="宋体" w:hAnsi="宋体" w:eastAsia="宋体" w:cs="宋体"/>
                <w:i w:val="0"/>
                <w:iCs w:val="0"/>
                <w:color w:val="auto"/>
                <w:szCs w:val="21"/>
                <w:highlight w:val="none"/>
                <w:lang w:val="en-US" w:eastAsia="zh-CN"/>
              </w:rPr>
            </w:pPr>
            <w:r>
              <w:rPr>
                <w:rFonts w:hint="eastAsia" w:ascii="宋体" w:hAnsi="宋体" w:eastAsia="宋体" w:cs="宋体"/>
                <w:b/>
                <w:bCs/>
                <w:i w:val="0"/>
                <w:iCs w:val="0"/>
                <w:color w:val="auto"/>
                <w:highlight w:val="none"/>
                <w:u w:val="single"/>
              </w:rPr>
              <w:t>本项目采用在线开标签到、解密。投标人无需到开标现场进行开标签到、解密及验证</w:t>
            </w:r>
            <w:r>
              <w:rPr>
                <w:rFonts w:hint="eastAsia" w:ascii="宋体" w:hAnsi="宋体" w:eastAsia="宋体" w:cs="宋体"/>
                <w:b/>
                <w:bCs/>
                <w:i w:val="0"/>
                <w:iCs w:val="0"/>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22.2</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投标文件</w:t>
            </w:r>
          </w:p>
          <w:p>
            <w:pPr>
              <w:pStyle w:val="9"/>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解密方式</w:t>
            </w:r>
          </w:p>
        </w:tc>
        <w:tc>
          <w:tcPr>
            <w:tcW w:w="6855" w:type="dxa"/>
            <w:noWrap w:val="0"/>
            <w:vAlign w:val="center"/>
          </w:tcPr>
          <w:p>
            <w:pPr>
              <w:pStyle w:val="12"/>
              <w:keepNext w:val="0"/>
              <w:keepLines/>
              <w:pageBreakBefore w:val="0"/>
              <w:widowControl w:val="0"/>
              <w:kinsoku/>
              <w:wordWrap/>
              <w:overflowPunct/>
              <w:topLinePunct w:val="0"/>
              <w:autoSpaceDE/>
              <w:autoSpaceDN/>
              <w:bidi w:val="0"/>
              <w:spacing w:line="380" w:lineRule="exact"/>
              <w:ind w:left="18" w:leftChars="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投标人应在线参加开标。开标时，电子交易平台自动提取所有投标文件，提示投标人在线开始解密。投标人应在开始解密时间起</w:t>
            </w:r>
            <w:r>
              <w:rPr>
                <w:rFonts w:hint="eastAsia" w:ascii="宋体" w:hAnsi="宋体" w:eastAsia="宋体" w:cs="宋体"/>
                <w:i w:val="0"/>
                <w:iCs w:val="0"/>
                <w:color w:val="auto"/>
                <w:kern w:val="2"/>
                <w:sz w:val="21"/>
                <w:szCs w:val="21"/>
                <w:highlight w:val="none"/>
                <w:u w:val="single"/>
              </w:rPr>
              <w:t xml:space="preserve"> 30 </w:t>
            </w:r>
            <w:r>
              <w:rPr>
                <w:rFonts w:hint="eastAsia" w:ascii="宋体" w:hAnsi="宋体" w:eastAsia="宋体" w:cs="宋体"/>
                <w:i w:val="0"/>
                <w:iCs w:val="0"/>
                <w:color w:val="auto"/>
                <w:kern w:val="2"/>
                <w:sz w:val="21"/>
                <w:szCs w:val="21"/>
                <w:highlight w:val="none"/>
              </w:rPr>
              <w:t>分钟内在线进行电子投标文件的解密操作，未在规定时间内解密，其投标视为无效。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22.2</w:t>
            </w:r>
          </w:p>
        </w:tc>
        <w:tc>
          <w:tcPr>
            <w:tcW w:w="1522" w:type="dxa"/>
            <w:tcBorders>
              <w:right w:val="single" w:color="auto" w:sz="4" w:space="0"/>
            </w:tcBorders>
            <w:noWrap w:val="0"/>
            <w:tcMar>
              <w:left w:w="85" w:type="dxa"/>
              <w:right w:w="85" w:type="dxa"/>
            </w:tcMar>
            <w:vAlign w:val="center"/>
          </w:tcPr>
          <w:p>
            <w:pPr>
              <w:pStyle w:val="9"/>
              <w:keepNext w:val="0"/>
              <w:keepLines/>
              <w:pageBreakBefore w:val="0"/>
              <w:kinsoku/>
              <w:wordWrap/>
              <w:overflowPunct/>
              <w:topLinePunct w:val="0"/>
              <w:autoSpaceDE/>
              <w:autoSpaceDN/>
              <w:bidi w:val="0"/>
              <w:snapToGrid w:val="0"/>
              <w:spacing w:line="360" w:lineRule="exact"/>
              <w:ind w:left="-28" w:firstLine="6"/>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投标文件</w:t>
            </w:r>
          </w:p>
          <w:p>
            <w:pPr>
              <w:pStyle w:val="9"/>
              <w:keepNext w:val="0"/>
              <w:keepLines/>
              <w:pageBreakBefore w:val="0"/>
              <w:kinsoku/>
              <w:wordWrap/>
              <w:overflowPunct/>
              <w:topLinePunct w:val="0"/>
              <w:autoSpaceDE/>
              <w:autoSpaceDN/>
              <w:bidi w:val="0"/>
              <w:snapToGrid w:val="0"/>
              <w:spacing w:line="360" w:lineRule="exact"/>
              <w:ind w:left="-28" w:firstLine="6"/>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解密失败的</w:t>
            </w:r>
          </w:p>
          <w:p>
            <w:pPr>
              <w:pStyle w:val="9"/>
              <w:keepNext w:val="0"/>
              <w:keepLines/>
              <w:pageBreakBefore w:val="0"/>
              <w:kinsoku/>
              <w:wordWrap/>
              <w:overflowPunct/>
              <w:topLinePunct w:val="0"/>
              <w:autoSpaceDE/>
              <w:autoSpaceDN/>
              <w:bidi w:val="0"/>
              <w:snapToGrid w:val="0"/>
              <w:spacing w:line="360" w:lineRule="exact"/>
              <w:ind w:left="-28" w:firstLine="6"/>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补救方案</w:t>
            </w:r>
          </w:p>
        </w:tc>
        <w:tc>
          <w:tcPr>
            <w:tcW w:w="6855" w:type="dxa"/>
            <w:tcBorders>
              <w:left w:val="single" w:color="auto" w:sz="4" w:space="0"/>
              <w:right w:val="single" w:color="auto" w:sz="8" w:space="0"/>
            </w:tcBorders>
            <w:noWrap w:val="0"/>
            <w:tcMar>
              <w:left w:w="85" w:type="dxa"/>
              <w:right w:w="85" w:type="dxa"/>
            </w:tcMar>
            <w:vAlign w:val="center"/>
          </w:tcPr>
          <w:p>
            <w:pPr>
              <w:pStyle w:val="10"/>
              <w:keepNext w:val="0"/>
              <w:pageBreakBefore w:val="0"/>
              <w:widowControl w:val="0"/>
              <w:kinsoku/>
              <w:wordWrap/>
              <w:overflowPunct/>
              <w:topLinePunct w:val="0"/>
              <w:autoSpaceDE/>
              <w:autoSpaceDN/>
              <w:bidi w:val="0"/>
              <w:spacing w:line="380" w:lineRule="exact"/>
              <w:jc w:val="lef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1、采用远程在线的开标方式，若为投标人设备故障或网络故障，则投标人自行更换设备或解决网络问题，投标文件解密失败经补救，仍不成功的，视为放弃投标，开标继续进行。</w:t>
            </w:r>
          </w:p>
          <w:p>
            <w:pPr>
              <w:pStyle w:val="10"/>
              <w:keepNext w:val="0"/>
              <w:pageBreakBefore w:val="0"/>
              <w:widowControl w:val="0"/>
              <w:kinsoku/>
              <w:wordWrap/>
              <w:overflowPunct/>
              <w:topLinePunct w:val="0"/>
              <w:autoSpaceDE/>
              <w:autoSpaceDN/>
              <w:bidi w:val="0"/>
              <w:spacing w:line="380" w:lineRule="exact"/>
              <w:jc w:val="lef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2、若为招标人原因导致无法正常解密，则由招标人及时提出解决方案。</w:t>
            </w:r>
          </w:p>
          <w:p>
            <w:pPr>
              <w:pStyle w:val="10"/>
              <w:keepNext w:val="0"/>
              <w:pageBreakBefore w:val="0"/>
              <w:widowControl w:val="0"/>
              <w:kinsoku/>
              <w:wordWrap/>
              <w:overflowPunct/>
              <w:topLinePunct w:val="0"/>
              <w:autoSpaceDE/>
              <w:autoSpaceDN/>
              <w:bidi w:val="0"/>
              <w:spacing w:line="380" w:lineRule="exact"/>
              <w:jc w:val="lef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3、若为交易平台导致无法正常解密，则由交易平台及时提出解决方案。</w:t>
            </w:r>
          </w:p>
          <w:p>
            <w:pPr>
              <w:pStyle w:val="10"/>
              <w:keepNext w:val="0"/>
              <w:pageBreakBefore w:val="0"/>
              <w:widowControl w:val="0"/>
              <w:kinsoku/>
              <w:wordWrap/>
              <w:overflowPunct/>
              <w:topLinePunct w:val="0"/>
              <w:autoSpaceDE/>
              <w:autoSpaceDN/>
              <w:bidi w:val="0"/>
              <w:spacing w:line="380" w:lineRule="exact"/>
              <w:ind w:firstLine="396" w:firstLineChars="200"/>
              <w:jc w:val="lef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注：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23.1</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left="-108" w:firstLine="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评标委员会的组建</w:t>
            </w:r>
          </w:p>
        </w:tc>
        <w:tc>
          <w:tcPr>
            <w:tcW w:w="6855" w:type="dxa"/>
            <w:noWrap w:val="0"/>
            <w:vAlign w:val="center"/>
          </w:tcPr>
          <w:p>
            <w:pPr>
              <w:pStyle w:val="29"/>
              <w:keepNext w:val="0"/>
              <w:keepLines/>
              <w:pageBreakBefore w:val="0"/>
              <w:widowControl w:val="0"/>
              <w:kinsoku/>
              <w:wordWrap/>
              <w:overflowPunct/>
              <w:topLinePunct w:val="0"/>
              <w:autoSpaceDE/>
              <w:autoSpaceDN/>
              <w:bidi w:val="0"/>
              <w:spacing w:line="38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1、评标委员会成员人数为</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人，其中招标人代表</w:t>
            </w:r>
            <w:r>
              <w:rPr>
                <w:rFonts w:hint="eastAsia" w:ascii="宋体" w:hAnsi="宋体" w:eastAsia="宋体" w:cs="宋体"/>
                <w:color w:val="auto"/>
                <w:sz w:val="21"/>
                <w:szCs w:val="21"/>
                <w:highlight w:val="none"/>
                <w:u w:val="single"/>
              </w:rPr>
              <w:t xml:space="preserve"> 0 </w:t>
            </w:r>
            <w:r>
              <w:rPr>
                <w:rFonts w:hint="eastAsia" w:ascii="宋体" w:hAnsi="宋体" w:eastAsia="宋体" w:cs="宋体"/>
                <w:color w:val="auto"/>
                <w:sz w:val="21"/>
                <w:szCs w:val="21"/>
                <w:highlight w:val="none"/>
              </w:rPr>
              <w:t>人，技术、经济等方面的专家</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人。</w:t>
            </w:r>
          </w:p>
          <w:p>
            <w:pPr>
              <w:pStyle w:val="29"/>
              <w:keepNext w:val="0"/>
              <w:keepLines/>
              <w:pageBreakBefore w:val="0"/>
              <w:widowControl w:val="0"/>
              <w:kinsoku/>
              <w:wordWrap/>
              <w:overflowPunct/>
              <w:topLinePunct w:val="0"/>
              <w:autoSpaceDE/>
              <w:autoSpaceDN/>
              <w:bidi w:val="0"/>
              <w:spacing w:line="380" w:lineRule="exact"/>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2、技术、经济等方面专家的确定方式：</w:t>
            </w:r>
            <w:r>
              <w:rPr>
                <w:rFonts w:hint="eastAsia" w:hAnsi="宋体" w:cs="宋体"/>
                <w:color w:val="auto"/>
                <w:spacing w:val="0"/>
                <w:position w:val="0"/>
                <w:sz w:val="21"/>
                <w:szCs w:val="21"/>
                <w:highlight w:val="none"/>
                <w:u w:val="single"/>
              </w:rPr>
              <w:t>在开标前依法组成</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25.1</w:t>
            </w:r>
          </w:p>
        </w:tc>
        <w:tc>
          <w:tcPr>
            <w:tcW w:w="1522" w:type="dxa"/>
            <w:tcBorders>
              <w:right w:val="single" w:color="auto" w:sz="4" w:space="0"/>
            </w:tcBorders>
            <w:noWrap w:val="0"/>
            <w:vAlign w:val="center"/>
          </w:tcPr>
          <w:p>
            <w:pPr>
              <w:pStyle w:val="29"/>
              <w:keepNext w:val="0"/>
              <w:keepLines/>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评标办法</w:t>
            </w:r>
          </w:p>
        </w:tc>
        <w:tc>
          <w:tcPr>
            <w:tcW w:w="6855" w:type="dxa"/>
            <w:tcBorders>
              <w:left w:val="single" w:color="auto" w:sz="4" w:space="0"/>
              <w:right w:val="single" w:color="auto" w:sz="8" w:space="0"/>
            </w:tcBorders>
            <w:noWrap w:val="0"/>
            <w:vAlign w:val="center"/>
          </w:tcPr>
          <w:p>
            <w:pPr>
              <w:pStyle w:val="29"/>
              <w:keepNext w:val="0"/>
              <w:keepLines/>
              <w:pageBreakBefore w:val="0"/>
              <w:widowControl w:val="0"/>
              <w:kinsoku/>
              <w:wordWrap/>
              <w:overflowPunct/>
              <w:topLinePunct w:val="0"/>
              <w:autoSpaceDE/>
              <w:autoSpaceDN/>
              <w:bidi w:val="0"/>
              <w:spacing w:line="38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本招标项目采用的评标办法为：</w:t>
            </w:r>
            <w:r>
              <w:rPr>
                <w:rFonts w:hint="eastAsia" w:ascii="宋体" w:hAnsi="宋体" w:eastAsia="宋体" w:cs="宋体"/>
                <w:iCs/>
                <w:color w:val="auto"/>
                <w:sz w:val="21"/>
                <w:szCs w:val="21"/>
                <w:highlight w:val="none"/>
                <w:u w:val="single"/>
              </w:rPr>
              <w:t>简易评标法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25.2.6</w:t>
            </w:r>
          </w:p>
        </w:tc>
        <w:tc>
          <w:tcPr>
            <w:tcW w:w="1522" w:type="dxa"/>
            <w:tcBorders>
              <w:right w:val="single" w:color="auto" w:sz="4" w:space="0"/>
            </w:tcBorders>
            <w:noWrap w:val="0"/>
            <w:vAlign w:val="center"/>
          </w:tcPr>
          <w:p>
            <w:pPr>
              <w:pStyle w:val="29"/>
              <w:keepNext w:val="0"/>
              <w:keepLines/>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投标人回复澄清、说明、补正的时限要求</w:t>
            </w:r>
          </w:p>
        </w:tc>
        <w:tc>
          <w:tcPr>
            <w:tcW w:w="6855" w:type="dxa"/>
            <w:tcBorders>
              <w:left w:val="single" w:color="auto" w:sz="4" w:space="0"/>
              <w:right w:val="single" w:color="auto" w:sz="8" w:space="0"/>
            </w:tcBorders>
            <w:noWrap w:val="0"/>
            <w:vAlign w:val="center"/>
          </w:tcPr>
          <w:p>
            <w:pPr>
              <w:pStyle w:val="11"/>
              <w:keepNext w:val="0"/>
              <w:keepLines/>
              <w:pageBreakBefore w:val="0"/>
              <w:kinsoku/>
              <w:wordWrap/>
              <w:overflowPunct/>
              <w:topLinePunct w:val="0"/>
              <w:autoSpaceDE/>
              <w:autoSpaceDN/>
              <w:bidi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30分钟内，最迟应于评标委员会发出的《问题澄清通知》中载明的时限要求前回复。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25.3</w:t>
            </w:r>
          </w:p>
          <w:p>
            <w:pPr>
              <w:pStyle w:val="9"/>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w:t>
            </w:r>
          </w:p>
        </w:tc>
        <w:tc>
          <w:tcPr>
            <w:tcW w:w="1522" w:type="dxa"/>
            <w:tcBorders>
              <w:right w:val="single" w:color="auto" w:sz="4" w:space="0"/>
            </w:tcBorders>
            <w:noWrap w:val="0"/>
            <w:vAlign w:val="center"/>
          </w:tcPr>
          <w:p>
            <w:pPr>
              <w:pStyle w:val="29"/>
              <w:keepNext w:val="0"/>
              <w:keepLines/>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是否授权评标委员会确定中标人</w:t>
            </w:r>
          </w:p>
        </w:tc>
        <w:tc>
          <w:tcPr>
            <w:tcW w:w="6855" w:type="dxa"/>
            <w:noWrap w:val="0"/>
            <w:vAlign w:val="center"/>
          </w:tcPr>
          <w:p>
            <w:pPr>
              <w:pStyle w:val="29"/>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是</w:t>
            </w:r>
          </w:p>
          <w:p>
            <w:pPr>
              <w:pStyle w:val="29"/>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否，推荐的中标候选人数：</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29.1</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left="-8"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履约担保金额和形式</w:t>
            </w:r>
          </w:p>
        </w:tc>
        <w:tc>
          <w:tcPr>
            <w:tcW w:w="6855" w:type="dxa"/>
            <w:noWrap w:val="0"/>
            <w:vAlign w:val="center"/>
          </w:tcPr>
          <w:p>
            <w:pPr>
              <w:pStyle w:val="9"/>
              <w:keepNext w:val="0"/>
              <w:keepLines w:val="0"/>
              <w:widowControl/>
              <w:suppressLineNumbers w:val="0"/>
              <w:snapToGrid w:val="0"/>
              <w:spacing w:line="380" w:lineRule="atLeast"/>
              <w:ind w:left="0" w:firstLine="420" w:firstLineChars="200"/>
              <w:jc w:val="both"/>
              <w:rPr>
                <w:rFonts w:hint="eastAsia" w:eastAsia="宋体"/>
                <w:color w:val="auto"/>
                <w:u w:val="single"/>
                <w:lang w:eastAsia="zh-CN"/>
              </w:rPr>
            </w:pPr>
            <w:r>
              <w:rPr>
                <w:rFonts w:hint="eastAsia" w:ascii="宋体" w:hAnsi="宋体" w:eastAsia="宋体" w:cs="宋体"/>
                <w:color w:val="auto"/>
              </w:rPr>
              <w:t>履约担保金额：</w:t>
            </w:r>
            <w:r>
              <w:rPr>
                <w:rFonts w:hint="eastAsia" w:ascii="宋体" w:hAnsi="宋体" w:eastAsia="宋体" w:cs="宋体"/>
                <w:color w:val="auto"/>
                <w:u w:val="single"/>
              </w:rPr>
              <w:t xml:space="preserve">为中标合同价的 </w:t>
            </w:r>
            <w:r>
              <w:rPr>
                <w:rFonts w:hint="eastAsia" w:ascii="宋体" w:hAnsi="宋体" w:eastAsia="宋体" w:cs="宋体"/>
                <w:color w:val="auto"/>
                <w:u w:val="single"/>
                <w:lang w:val="en-US"/>
              </w:rPr>
              <w:t>10</w:t>
            </w:r>
            <w:r>
              <w:rPr>
                <w:rFonts w:hint="eastAsia" w:ascii="宋体" w:hAnsi="宋体" w:eastAsia="宋体" w:cs="宋体"/>
                <w:color w:val="auto"/>
                <w:u w:val="single"/>
                <w:lang w:val="en-US" w:eastAsia="zh-CN"/>
              </w:rPr>
              <w:t>%</w:t>
            </w:r>
          </w:p>
          <w:p>
            <w:pPr>
              <w:pStyle w:val="9"/>
              <w:keepNext w:val="0"/>
              <w:keepLines w:val="0"/>
              <w:widowControl/>
              <w:suppressLineNumbers w:val="0"/>
              <w:snapToGrid w:val="0"/>
              <w:spacing w:line="380" w:lineRule="atLeast"/>
              <w:ind w:left="24" w:firstLine="420" w:firstLineChars="200"/>
              <w:jc w:val="both"/>
              <w:rPr>
                <w:color w:val="auto"/>
              </w:rPr>
            </w:pPr>
            <w:r>
              <w:rPr>
                <w:rFonts w:hint="eastAsia" w:ascii="宋体" w:hAnsi="宋体" w:eastAsia="宋体" w:cs="宋体"/>
                <w:color w:val="auto"/>
              </w:rPr>
              <w:t>履约担保形式：</w:t>
            </w:r>
            <w:r>
              <w:rPr>
                <w:rFonts w:ascii="宋体" w:hAnsi="宋体"/>
                <w:color w:val="auto"/>
                <w:szCs w:val="21"/>
                <w:highlight w:val="none"/>
                <w:u w:val="single"/>
              </w:rPr>
              <w:t>以现金（电汇或者转账）或银行保函的形式提交</w:t>
            </w:r>
            <w:r>
              <w:rPr>
                <w:rFonts w:hint="eastAsia" w:ascii="宋体" w:hAnsi="宋体" w:eastAsia="宋体" w:cs="宋体"/>
                <w:color w:val="auto"/>
                <w:u w:val="single"/>
                <w:lang w:val="en-US"/>
              </w:rPr>
              <w:t>。在接到中标通知书后</w:t>
            </w:r>
            <w:r>
              <w:rPr>
                <w:rFonts w:hint="eastAsia" w:ascii="宋体" w:hAnsi="宋体" w:eastAsia="宋体" w:cs="宋体"/>
                <w:color w:val="auto"/>
                <w:u w:val="single"/>
                <w:lang w:val="en-US" w:eastAsia="zh-CN"/>
              </w:rPr>
              <w:t>7</w:t>
            </w:r>
            <w:r>
              <w:rPr>
                <w:rFonts w:hint="eastAsia" w:ascii="宋体" w:hAnsi="宋体" w:eastAsia="宋体" w:cs="宋体"/>
                <w:color w:val="auto"/>
                <w:u w:val="single"/>
                <w:lang w:val="en-US"/>
              </w:rPr>
              <w:t>天内，在签订合同之前，承包人应向发包人提交履约保证金。</w:t>
            </w:r>
          </w:p>
          <w:p>
            <w:pPr>
              <w:pStyle w:val="9"/>
              <w:keepNext w:val="0"/>
              <w:keepLines/>
              <w:pageBreakBefore w:val="0"/>
              <w:kinsoku/>
              <w:wordWrap/>
              <w:overflowPunct/>
              <w:topLinePunct w:val="0"/>
              <w:autoSpaceDE/>
              <w:autoSpaceDN/>
              <w:bidi w:val="0"/>
              <w:snapToGrid w:val="0"/>
              <w:spacing w:line="360" w:lineRule="exact"/>
              <w:ind w:left="0" w:leftChars="0"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rPr>
              <w:t>履约担保期限：</w:t>
            </w:r>
            <w:r>
              <w:rPr>
                <w:rFonts w:hint="eastAsia" w:ascii="宋体" w:hAnsi="宋体" w:eastAsia="宋体" w:cs="宋体"/>
                <w:color w:val="auto"/>
                <w:u w:val="single"/>
                <w:lang w:val="en-US"/>
              </w:rPr>
              <w:t>履约担保有效期截止时间为工程建设合同约定的工程竣工验收备案之日后至少30天。（履约担保退还时不计利息）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30.1</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left="-8"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签订合同</w:t>
            </w:r>
          </w:p>
        </w:tc>
        <w:tc>
          <w:tcPr>
            <w:tcW w:w="6855" w:type="dxa"/>
            <w:noWrap w:val="0"/>
            <w:vAlign w:val="center"/>
          </w:tcPr>
          <w:p>
            <w:pPr>
              <w:pStyle w:val="9"/>
              <w:keepNext w:val="0"/>
              <w:keepLines/>
              <w:pageBreakBefore w:val="0"/>
              <w:kinsoku/>
              <w:wordWrap/>
              <w:overflowPunct/>
              <w:topLinePunct w:val="0"/>
              <w:autoSpaceDE/>
              <w:autoSpaceDN/>
              <w:bidi w:val="0"/>
              <w:snapToGrid w:val="0"/>
              <w:spacing w:line="360" w:lineRule="exact"/>
              <w:ind w:left="24"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中标人在收到中标通知书后</w:t>
            </w:r>
            <w:r>
              <w:rPr>
                <w:rFonts w:hint="eastAsia" w:ascii="宋体" w:hAnsi="宋体" w:eastAsia="宋体" w:cs="宋体"/>
                <w:color w:val="auto"/>
                <w:szCs w:val="21"/>
                <w:highlight w:val="none"/>
                <w:u w:val="single"/>
              </w:rPr>
              <w:t xml:space="preserve"> 7</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天内，应派代表与招标人联系，商讨签订合同事宜。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0" w:firstLine="212"/>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9"/>
              <w:keepNext w:val="0"/>
              <w:keepLines/>
              <w:pageBreakBefore w:val="0"/>
              <w:kinsoku/>
              <w:wordWrap/>
              <w:overflowPunct/>
              <w:topLinePunct w:val="0"/>
              <w:autoSpaceDE/>
              <w:autoSpaceDN/>
              <w:bidi w:val="0"/>
              <w:snapToGrid w:val="0"/>
              <w:spacing w:line="360" w:lineRule="exact"/>
              <w:ind w:left="24" w:firstLine="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33.3</w:t>
            </w:r>
          </w:p>
        </w:tc>
        <w:tc>
          <w:tcPr>
            <w:tcW w:w="1522" w:type="dxa"/>
            <w:tcBorders>
              <w:right w:val="single" w:color="auto" w:sz="4" w:space="0"/>
            </w:tcBorders>
            <w:noWrap w:val="0"/>
            <w:vAlign w:val="center"/>
          </w:tcPr>
          <w:p>
            <w:pPr>
              <w:pStyle w:val="9"/>
              <w:keepNext w:val="0"/>
              <w:keepLines/>
              <w:pageBreakBefore w:val="0"/>
              <w:kinsoku/>
              <w:wordWrap/>
              <w:overflowPunct/>
              <w:topLinePunct w:val="0"/>
              <w:autoSpaceDE/>
              <w:autoSpaceDN/>
              <w:bidi w:val="0"/>
              <w:snapToGrid w:val="0"/>
              <w:spacing w:line="360" w:lineRule="exact"/>
              <w:ind w:left="-8"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其他</w:t>
            </w:r>
          </w:p>
        </w:tc>
        <w:tc>
          <w:tcPr>
            <w:tcW w:w="6855" w:type="dxa"/>
            <w:tcBorders>
              <w:left w:val="single" w:color="auto" w:sz="4" w:space="0"/>
              <w:right w:val="single" w:color="auto" w:sz="8" w:space="0"/>
            </w:tcBorders>
            <w:noWrap w:val="0"/>
            <w:vAlign w:val="center"/>
          </w:tcPr>
          <w:p>
            <w:pPr>
              <w:numPr>
                <w:ilvl w:val="0"/>
                <w:numId w:val="0"/>
              </w:num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根据《泉州市住房和城乡建设局关于转发福建省房屋建筑和市政基础设施工程施工评标办法（试行）等文件的通知》（泉建筑〔2018〕11号）文件要求，开标时，除投标保证金的银行保函外，投标人对投标文件中涉及的相关证书、证件不需要提交原件供核对，投标人应对其复印件（扫描件）的真实性负责。招标人核发中标通知书之前，中标人应提交投标活动所需相关证书、证件、文件的原件供招标人核对，对弄虚作假的按规定从严处理。</w:t>
            </w:r>
          </w:p>
          <w:p>
            <w:pPr>
              <w:numPr>
                <w:ilvl w:val="0"/>
                <w:numId w:val="0"/>
              </w:numPr>
              <w:ind w:firstLine="420" w:firstLineChars="200"/>
              <w:rPr>
                <w:rFonts w:hint="eastAsia" w:ascii="宋体" w:hAnsi="宋体" w:eastAsia="宋体" w:cs="宋体"/>
                <w:color w:val="auto"/>
                <w:spacing w:val="-5"/>
                <w:kern w:val="2"/>
                <w:sz w:val="21"/>
                <w:szCs w:val="21"/>
                <w:lang w:val="en-US" w:bidi="ar-SA"/>
              </w:rPr>
            </w:pP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本工程建筑垃圾、工程渣土的管理严格按照《泉州市人民政府关于印发泉州市建筑废土沙石运输管理规定的通知》（泉政文[2011]312 号）、《泉州市人民政府关于印发全面贯彻实施泉州市建筑废土沙石运输管理暂行规定工作方案的通知》（泉政文〔2012〕270号）、《泉州市住房和城乡建设局关于加强在建房屋建筑和市政基础设施工程建筑废土管理工作的通知》（泉建建[2012]62号）、《泉州市住房和城乡建设局关于进一步规范房屋建筑和市政基础设工程渣土运输管理工作的通知》（泉建建[2014]16号）、《泉州市人民政府办公室关于印发泉州市工程渣土与建筑垃圾清运处置整治三年行动实施方案等两份文件的通知》（泉政办〔2017〕171号）严格执行。</w:t>
            </w:r>
          </w:p>
          <w:p>
            <w:pPr>
              <w:pStyle w:val="10"/>
              <w:numPr>
                <w:ilvl w:val="0"/>
                <w:numId w:val="0"/>
              </w:num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本项目严格执行《泉州市住房和城乡建设局关于转发&lt;福建省房屋建筑和市政基础设施工程施工评标办法（试行）&gt;等文件的通知》（泉建筑〔2018〕11 号），评标委员会应对投标人拟派项目管理班子成员的职称、岗位资格、执业资格等是否符合招标文件要求进行评审，但不对其人事关系进行评审。</w:t>
            </w:r>
          </w:p>
          <w:p>
            <w:pPr>
              <w:pStyle w:val="10"/>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根据《关于进一步做好招投标领域强制要求中标企业在本地设立分（子）公司行为整治工作的通知》（闽建办筑函〔2021〕10号）规定，本招标项目不要求中标人在项目所在地设立分（子）公司，中标人应当依法履行纳税义务。</w:t>
            </w:r>
          </w:p>
          <w:p>
            <w:pPr>
              <w:pStyle w:val="10"/>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五、取消中标资格情况：</w:t>
            </w:r>
          </w:p>
          <w:p>
            <w:pPr>
              <w:pStyle w:val="10"/>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1、投标人有下列情况之一者，将被取消中标资格，并没收其投标保证金：</w:t>
            </w:r>
          </w:p>
          <w:p>
            <w:pPr>
              <w:pStyle w:val="10"/>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（1）中标人在投标有效期内撤销或修改其投标文件。</w:t>
            </w:r>
          </w:p>
          <w:p>
            <w:pPr>
              <w:pStyle w:val="10"/>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（2）中标人不能按照投标须知第29.1条款规定提交履约担保的。</w:t>
            </w:r>
          </w:p>
          <w:p>
            <w:pPr>
              <w:pStyle w:val="10"/>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（3）中标人在收到中标通知书后，无正当理由在规定时间内未与招标人签订合同或中标人在与招标人签订合同时要求另行加入不合理条件或者更改合同的实质性内容的。</w:t>
            </w:r>
          </w:p>
          <w:p>
            <w:pPr>
              <w:pStyle w:val="10"/>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（4）中标人在本项目投标过程有违法行为导致中标被依法确认无效的。</w:t>
            </w:r>
          </w:p>
          <w:p>
            <w:pPr>
              <w:pStyle w:val="10"/>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（5）投标人在投标文件中提供虚假的企业资质、财务状况或其他证明文件，或者以其他方式弄虚作假的。</w:t>
            </w:r>
          </w:p>
          <w:p>
            <w:pPr>
              <w:pStyle w:val="10"/>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（6）法律法规规定的其他情况。</w:t>
            </w:r>
          </w:p>
          <w:p>
            <w:pPr>
              <w:pStyle w:val="10"/>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人若以他人名义投标或以其他方式弄虚作假（含投标文件中相关资料、投标承诺等的弄虚作假）、骗取中标的，投标人将取消其中标资格，并没收其投标保证金，给招标人造成损失的，投标人依法承担赔偿责任（包括但不限于影响整个工程建设进度而引起的相关价格风险以及其他一切责任）。</w:t>
            </w:r>
          </w:p>
          <w:p>
            <w:pPr>
              <w:pStyle w:val="10"/>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应保证其投标文件及有关资料、承诺内容完整、真实。如发现隐瞒真实情况、承诺不实或弄虚作假的，一旦中标，招标人有权取消其中标资格并保留要求其承担此产生的所有责任的权利，已经签订合同的，招标人有权单方面解除合同，造成招标人损失的，则投标人应赔偿相应损失。</w:t>
            </w:r>
          </w:p>
          <w:p>
            <w:pPr>
              <w:pStyle w:val="10"/>
              <w:ind w:firstLine="420"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中标通知书发出后，中标人放弃中标项目的，无正当理由不与招标人签订合同的，在签订合同时提出附加条件或者更改合同实质性条款的,或者拒不按要求提交履约保证金的，招标人可取消其中标资格并没收其投标保证金；给招标人造成损失超过投标保证金数额的，除没收其投标保证金外，中标人还应对超过部分予以赔偿，招标人还将提请有关行政监督部门根据相关规定予以处理。</w:t>
            </w:r>
          </w:p>
          <w:p>
            <w:pPr>
              <w:pStyle w:val="10"/>
              <w:ind w:firstLine="420" w:firstLineChars="200"/>
              <w:jc w:val="both"/>
              <w:rPr>
                <w:rFonts w:hint="default" w:ascii="Times New Roman" w:hAnsi="Times New Roman" w:eastAsia="宋体" w:cs="Times New Roman"/>
                <w:b/>
                <w:bCs/>
                <w:color w:val="auto"/>
                <w:highlight w:val="none"/>
                <w:lang w:val="en-US" w:eastAsia="zh-CN"/>
              </w:rPr>
            </w:pPr>
            <w:r>
              <w:rPr>
                <w:rFonts w:hint="eastAsia" w:ascii="宋体" w:hAnsi="宋体" w:eastAsia="宋体" w:cs="宋体"/>
                <w:b/>
                <w:bCs/>
                <w:color w:val="auto"/>
                <w:sz w:val="21"/>
                <w:szCs w:val="21"/>
                <w:highlight w:val="none"/>
                <w:lang w:val="en-US" w:eastAsia="zh-CN"/>
              </w:rPr>
              <w:t>六、为保证质量要求，在施工过程中若遇到如台风、下雨等，导致项目无法施工产生工期延误，经发包人同意可暂停施工。承包人暂停施工应及时通知监理人，并做相应签证，以上情况结算时，工期给予顺延，并以签证为准</w:t>
            </w:r>
            <w:r>
              <w:rPr>
                <w:rFonts w:hint="eastAsia" w:ascii="宋体" w:hAnsi="宋体" w:eastAsia="宋体" w:cs="宋体"/>
                <w:b w:val="0"/>
                <w:bCs w:val="0"/>
                <w:color w:val="auto"/>
                <w:sz w:val="21"/>
                <w:szCs w:val="21"/>
                <w:highlight w:val="none"/>
                <w:lang w:val="en-US" w:eastAsia="zh-CN"/>
              </w:rPr>
              <w:t>。</w:t>
            </w: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color w:val="auto"/>
        </w:rPr>
      </w:pPr>
    </w:p>
    <w:p>
      <w:pPr>
        <w:pStyle w:val="5"/>
        <w:spacing w:before="0" w:after="0" w:line="400" w:lineRule="atLeast"/>
        <w:ind w:left="0" w:firstLine="0"/>
        <w:jc w:val="center"/>
        <w:rPr>
          <w:rFonts w:hint="eastAsia" w:ascii="宋体" w:hAnsi="宋体" w:eastAsia="宋体" w:cs="宋体"/>
          <w:color w:val="auto"/>
          <w:highlight w:val="none"/>
        </w:rPr>
      </w:pPr>
      <w:bookmarkStart w:id="18" w:name="_Toc21097"/>
      <w:bookmarkStart w:id="19" w:name="_Toc6591"/>
      <w:bookmarkStart w:id="20" w:name="_Toc31386"/>
      <w:bookmarkStart w:id="21" w:name="_Toc1938"/>
      <w:bookmarkStart w:id="22" w:name="_Toc10575"/>
      <w:bookmarkStart w:id="23" w:name="_Toc95912223"/>
      <w:bookmarkStart w:id="24" w:name="_Toc525120826"/>
      <w:bookmarkStart w:id="25" w:name="_Toc300038924"/>
      <w:r>
        <w:rPr>
          <w:rFonts w:hint="eastAsia" w:ascii="宋体" w:hAnsi="宋体" w:eastAsia="宋体" w:cs="宋体"/>
          <w:b w:val="0"/>
          <w:bCs w:val="0"/>
          <w:color w:val="auto"/>
          <w:highlight w:val="none"/>
        </w:rPr>
        <w:t>投标须知</w:t>
      </w:r>
      <w:bookmarkEnd w:id="18"/>
      <w:bookmarkEnd w:id="19"/>
      <w:bookmarkEnd w:id="20"/>
      <w:bookmarkEnd w:id="21"/>
      <w:bookmarkEnd w:id="22"/>
      <w:bookmarkEnd w:id="23"/>
    </w:p>
    <w:p>
      <w:pPr>
        <w:pStyle w:val="6"/>
        <w:spacing w:before="0" w:line="400" w:lineRule="atLeast"/>
        <w:jc w:val="center"/>
        <w:rPr>
          <w:rFonts w:hint="eastAsia" w:ascii="宋体" w:hAnsi="宋体" w:eastAsia="宋体" w:cs="宋体"/>
          <w:color w:val="auto"/>
          <w:highlight w:val="none"/>
        </w:rPr>
      </w:pPr>
      <w:bookmarkStart w:id="26" w:name="_Toc25555"/>
      <w:bookmarkStart w:id="27" w:name="_Toc27403"/>
      <w:bookmarkStart w:id="28" w:name="_Toc26864"/>
      <w:bookmarkStart w:id="29" w:name="_Toc925"/>
      <w:bookmarkStart w:id="30" w:name="_Toc29812"/>
      <w:bookmarkStart w:id="31" w:name="_Toc300038923"/>
      <w:bookmarkStart w:id="32" w:name="_Toc63471358"/>
      <w:bookmarkStart w:id="33" w:name="_Toc95912224"/>
      <w:bookmarkStart w:id="34" w:name="_Toc12951"/>
      <w:r>
        <w:rPr>
          <w:rFonts w:hint="eastAsia" w:ascii="宋体" w:hAnsi="宋体" w:eastAsia="宋体" w:cs="宋体"/>
          <w:color w:val="auto"/>
          <w:highlight w:val="none"/>
        </w:rPr>
        <w:t>（一）总则</w:t>
      </w:r>
      <w:bookmarkEnd w:id="26"/>
      <w:bookmarkEnd w:id="27"/>
      <w:bookmarkEnd w:id="28"/>
      <w:bookmarkEnd w:id="29"/>
      <w:bookmarkEnd w:id="30"/>
      <w:bookmarkEnd w:id="31"/>
      <w:bookmarkEnd w:id="32"/>
      <w:bookmarkEnd w:id="33"/>
      <w:bookmarkEnd w:id="34"/>
    </w:p>
    <w:p>
      <w:pPr>
        <w:pStyle w:val="8"/>
        <w:numPr>
          <w:ilvl w:val="0"/>
          <w:numId w:val="8"/>
        </w:numPr>
        <w:spacing w:before="0" w:after="0" w:line="360" w:lineRule="atLeast"/>
        <w:rPr>
          <w:rFonts w:hint="eastAsia" w:ascii="宋体" w:hAnsi="宋体" w:eastAsia="宋体" w:cs="宋体"/>
          <w:color w:val="auto"/>
          <w:highlight w:val="none"/>
        </w:rPr>
      </w:pPr>
      <w:bookmarkStart w:id="35" w:name="_Toc63471359"/>
      <w:r>
        <w:rPr>
          <w:rFonts w:hint="eastAsia" w:ascii="宋体" w:hAnsi="宋体" w:eastAsia="宋体" w:cs="宋体"/>
          <w:color w:val="auto"/>
          <w:highlight w:val="none"/>
        </w:rPr>
        <w:t>工程说明</w:t>
      </w:r>
      <w:bookmarkEnd w:id="35"/>
    </w:p>
    <w:p>
      <w:pPr>
        <w:pStyle w:val="9"/>
        <w:tabs>
          <w:tab w:val="left" w:pos="10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根据《中华人民共和国招标投标法》、《中华人民共和国招标投标法实施条例》、《福建省招标投标条例》、《电子招标投标办法》等法律、法规和规章的规定，本招标项目已具备招标条件，现进行施工招标。</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本招标项目招标人和其委托的招标代理机构见投标须知前附表第1项。</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本招标项目名称、报建编号、招标项目编号和标段划分见投标须知前附表第2项。划分标段的，招标人允许投标人参加投标的标段数量和招标人允许投标人中标的标段数量，在投标须知前附表第2项中明确。</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本招标项目资金来源和落实情况见投标须知前附表第3项。其中部分资金用于本招标项目合同项下的合格支付。</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本招标项目的工程建设地点见投标须知前附表第4项。</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本招标项目的工程建设规模见投标须知前附表第5项。</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本招标项目的招标范围和内容见投标须知前附表第6项。</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本招标项目使用的公共资源电子交易平台（以下简称“电子交易平台”）见投标须知前附表第7项。</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电子招投标基本要求见投标须知前附表第8项。</w:t>
      </w:r>
    </w:p>
    <w:p>
      <w:pPr>
        <w:pStyle w:val="8"/>
        <w:numPr>
          <w:ilvl w:val="0"/>
          <w:numId w:val="8"/>
        </w:numPr>
        <w:spacing w:before="0" w:after="0" w:line="360" w:lineRule="atLeast"/>
        <w:rPr>
          <w:rFonts w:hint="eastAsia" w:ascii="宋体" w:hAnsi="宋体" w:eastAsia="宋体" w:cs="宋体"/>
          <w:color w:val="auto"/>
          <w:highlight w:val="none"/>
        </w:rPr>
      </w:pPr>
      <w:bookmarkStart w:id="36" w:name="_Toc63471360"/>
      <w:bookmarkStart w:id="37" w:name="_Toc214954237"/>
      <w:bookmarkStart w:id="38" w:name="_Toc215537191"/>
      <w:bookmarkStart w:id="39" w:name="_Toc215308764"/>
      <w:r>
        <w:rPr>
          <w:rFonts w:hint="eastAsia" w:ascii="宋体" w:hAnsi="宋体" w:eastAsia="宋体" w:cs="宋体"/>
          <w:color w:val="auto"/>
          <w:highlight w:val="none"/>
        </w:rPr>
        <w:t>计划工期、质量要求及合同范本类型、合同价格形式</w:t>
      </w:r>
      <w:bookmarkEnd w:id="36"/>
      <w:bookmarkEnd w:id="37"/>
      <w:bookmarkEnd w:id="38"/>
      <w:bookmarkEnd w:id="39"/>
    </w:p>
    <w:p>
      <w:pPr>
        <w:pStyle w:val="9"/>
        <w:numPr>
          <w:ilvl w:val="1"/>
          <w:numId w:val="8"/>
        </w:numPr>
        <w:tabs>
          <w:tab w:val="left" w:pos="540"/>
          <w:tab w:val="left" w:pos="1000"/>
          <w:tab w:val="clear" w:pos="567"/>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本招标项目的计划工期要求见投标须知前附表第9项。</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本招标项目工程质量要求见投标须知前附表第10项。</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本招标项目所采用的合同价格形式见投标须知前附表第11项。</w:t>
      </w:r>
    </w:p>
    <w:p>
      <w:pPr>
        <w:pStyle w:val="8"/>
        <w:numPr>
          <w:ilvl w:val="0"/>
          <w:numId w:val="8"/>
        </w:numPr>
        <w:spacing w:before="0" w:after="0" w:line="360" w:lineRule="atLeast"/>
        <w:rPr>
          <w:rFonts w:hint="eastAsia" w:ascii="宋体" w:hAnsi="宋体" w:eastAsia="宋体" w:cs="宋体"/>
          <w:color w:val="auto"/>
          <w:highlight w:val="none"/>
        </w:rPr>
      </w:pPr>
      <w:bookmarkStart w:id="40" w:name="_Toc63471361"/>
      <w:bookmarkStart w:id="41" w:name="_Toc214954238"/>
      <w:bookmarkStart w:id="42" w:name="_Toc215537192"/>
      <w:bookmarkStart w:id="43" w:name="_Toc215308765"/>
      <w:r>
        <w:rPr>
          <w:rFonts w:hint="eastAsia" w:ascii="宋体" w:hAnsi="宋体" w:eastAsia="宋体" w:cs="宋体"/>
          <w:color w:val="auto"/>
          <w:highlight w:val="none"/>
        </w:rPr>
        <w:t>资格审查方式</w:t>
      </w:r>
      <w:bookmarkEnd w:id="40"/>
      <w:bookmarkEnd w:id="41"/>
      <w:bookmarkEnd w:id="42"/>
      <w:bookmarkEnd w:id="43"/>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本招标项目招标人对投标人的资格审查采用的方式见投标须知前附表第12项。</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采用资格后审方式的，按照招标文件第3章“评标办法和标准”的规定进行评审。</w:t>
      </w:r>
    </w:p>
    <w:p>
      <w:pPr>
        <w:pStyle w:val="8"/>
        <w:numPr>
          <w:ilvl w:val="0"/>
          <w:numId w:val="8"/>
        </w:numPr>
        <w:spacing w:before="0" w:after="0" w:line="360" w:lineRule="atLeast"/>
        <w:rPr>
          <w:rFonts w:hint="eastAsia" w:ascii="宋体" w:hAnsi="宋体" w:eastAsia="宋体" w:cs="宋体"/>
          <w:color w:val="auto"/>
          <w:highlight w:val="none"/>
        </w:rPr>
      </w:pPr>
      <w:bookmarkStart w:id="44" w:name="_Toc214954239"/>
      <w:bookmarkStart w:id="45" w:name="_Toc63471362"/>
      <w:bookmarkStart w:id="46" w:name="_Toc215537193"/>
      <w:bookmarkStart w:id="47" w:name="_Toc215308766"/>
      <w:r>
        <w:rPr>
          <w:rFonts w:hint="eastAsia" w:ascii="宋体" w:hAnsi="宋体" w:eastAsia="宋体" w:cs="宋体"/>
          <w:color w:val="auto"/>
          <w:highlight w:val="none"/>
        </w:rPr>
        <w:t>投标人资格要求</w:t>
      </w:r>
      <w:bookmarkEnd w:id="44"/>
      <w:bookmarkEnd w:id="45"/>
      <w:bookmarkEnd w:id="46"/>
      <w:bookmarkEnd w:id="47"/>
    </w:p>
    <w:p>
      <w:pPr>
        <w:pStyle w:val="9"/>
        <w:numPr>
          <w:ilvl w:val="1"/>
          <w:numId w:val="8"/>
        </w:numPr>
        <w:tabs>
          <w:tab w:val="left" w:pos="1000"/>
        </w:tabs>
        <w:snapToGrid w:val="0"/>
        <w:rPr>
          <w:rFonts w:hint="eastAsia" w:ascii="宋体" w:hAnsi="宋体" w:eastAsia="宋体" w:cs="宋体"/>
          <w:b/>
          <w:bCs/>
          <w:color w:val="auto"/>
          <w:sz w:val="24"/>
          <w:szCs w:val="24"/>
          <w:highlight w:val="none"/>
          <w:u w:val="double"/>
        </w:rPr>
      </w:pPr>
      <w:r>
        <w:rPr>
          <w:rFonts w:hint="eastAsia" w:ascii="宋体" w:hAnsi="宋体" w:eastAsia="宋体" w:cs="宋体"/>
          <w:b/>
          <w:bCs/>
          <w:color w:val="auto"/>
          <w:sz w:val="24"/>
          <w:szCs w:val="24"/>
          <w:highlight w:val="none"/>
          <w:u w:val="double"/>
        </w:rPr>
        <w:t>为履行本招标项目合同的目的，投标人必须具有独立法人资格（允许联合体投标的从其有关规定），至少须满足投标须知前附表第13项所要求的合格投标人资格条件。为具有被授予合同的资格，投标人应提供令招标人满意的资格文件，以证明其符合合格投标人资格条件和具有履行合同的能力。为此，所提交的投标文件中应包括投标须知前附表第13项所规定的投标人资格合格条件审查资料。</w:t>
      </w:r>
    </w:p>
    <w:p>
      <w:pPr>
        <w:pStyle w:val="9"/>
        <w:numPr>
          <w:ilvl w:val="1"/>
          <w:numId w:val="8"/>
        </w:numPr>
        <w:tabs>
          <w:tab w:val="left" w:pos="1000"/>
        </w:tabs>
        <w:snapToGrid w:val="0"/>
        <w:rPr>
          <w:rFonts w:hint="eastAsia" w:ascii="宋体" w:hAnsi="宋体" w:eastAsia="宋体" w:cs="宋体"/>
          <w:b/>
          <w:bCs/>
          <w:color w:val="auto"/>
          <w:sz w:val="24"/>
          <w:szCs w:val="24"/>
          <w:highlight w:val="none"/>
          <w:u w:val="double"/>
        </w:rPr>
      </w:pPr>
      <w:r>
        <w:rPr>
          <w:rFonts w:hint="eastAsia" w:ascii="宋体" w:hAnsi="宋体" w:eastAsia="宋体" w:cs="宋体"/>
          <w:b/>
          <w:bCs/>
          <w:color w:val="auto"/>
          <w:sz w:val="24"/>
          <w:szCs w:val="24"/>
          <w:highlight w:val="none"/>
          <w:u w:val="double"/>
        </w:rPr>
        <w:t>招标人在投标须知前附表第13项中规定接受联合体投标的，则两个或两个以上法人单位组成联合体以一个投标人身份共同投标的，除符合本投标须知第4.1款要求外，还应遵守以下规定：</w:t>
      </w:r>
    </w:p>
    <w:p>
      <w:pPr>
        <w:pStyle w:val="9"/>
        <w:numPr>
          <w:ilvl w:val="2"/>
          <w:numId w:val="8"/>
        </w:numPr>
        <w:tabs>
          <w:tab w:val="left" w:pos="1000"/>
        </w:tabs>
        <w:snapToGrid w:val="0"/>
        <w:rPr>
          <w:rFonts w:hint="eastAsia" w:ascii="宋体" w:hAnsi="宋体" w:eastAsia="宋体" w:cs="宋体"/>
          <w:b/>
          <w:bCs/>
          <w:color w:val="auto"/>
          <w:sz w:val="24"/>
          <w:szCs w:val="24"/>
          <w:highlight w:val="none"/>
          <w:u w:val="double"/>
        </w:rPr>
      </w:pPr>
      <w:r>
        <w:rPr>
          <w:rFonts w:hint="eastAsia" w:ascii="宋体" w:hAnsi="宋体" w:eastAsia="宋体" w:cs="宋体"/>
          <w:b/>
          <w:bCs/>
          <w:color w:val="auto"/>
          <w:sz w:val="24"/>
          <w:szCs w:val="24"/>
          <w:highlight w:val="none"/>
          <w:u w:val="double"/>
        </w:rPr>
        <w:t>联合体投标人的投标文件及中标后签署的建设工程施工合同，对联合体各方均有约束力。</w:t>
      </w:r>
    </w:p>
    <w:p>
      <w:pPr>
        <w:pStyle w:val="9"/>
        <w:numPr>
          <w:ilvl w:val="2"/>
          <w:numId w:val="8"/>
        </w:numPr>
        <w:tabs>
          <w:tab w:val="left" w:pos="1000"/>
        </w:tabs>
        <w:snapToGrid w:val="0"/>
        <w:rPr>
          <w:rFonts w:hint="eastAsia" w:ascii="宋体" w:hAnsi="宋体" w:eastAsia="宋体" w:cs="宋体"/>
          <w:b/>
          <w:bCs/>
          <w:color w:val="auto"/>
          <w:sz w:val="24"/>
          <w:szCs w:val="24"/>
          <w:highlight w:val="none"/>
          <w:u w:val="double"/>
        </w:rPr>
      </w:pPr>
      <w:r>
        <w:rPr>
          <w:rFonts w:hint="eastAsia" w:ascii="宋体" w:hAnsi="宋体" w:eastAsia="宋体" w:cs="宋体"/>
          <w:b/>
          <w:bCs/>
          <w:color w:val="auto"/>
          <w:sz w:val="24"/>
          <w:szCs w:val="24"/>
          <w:highlight w:val="none"/>
          <w:u w:val="double"/>
        </w:rPr>
        <w:t>联合体各方应按照招标文件提供的格式签订联合体协议书，联合体各方应指定一家作为牵头人，明确联合体牵头人和各方权利及义务，并且由联合体牵头人负责整个合同的全面实施，包括只有牵头人可以支付费用等。</w:t>
      </w:r>
    </w:p>
    <w:p>
      <w:pPr>
        <w:pStyle w:val="9"/>
        <w:numPr>
          <w:ilvl w:val="2"/>
          <w:numId w:val="8"/>
        </w:numPr>
        <w:tabs>
          <w:tab w:val="left" w:pos="1000"/>
        </w:tabs>
        <w:snapToGrid w:val="0"/>
        <w:rPr>
          <w:rFonts w:hint="eastAsia" w:ascii="宋体" w:hAnsi="宋体" w:eastAsia="宋体" w:cs="宋体"/>
          <w:b/>
          <w:bCs/>
          <w:color w:val="auto"/>
          <w:sz w:val="24"/>
          <w:szCs w:val="24"/>
          <w:highlight w:val="none"/>
          <w:u w:val="double"/>
        </w:rPr>
      </w:pPr>
      <w:r>
        <w:rPr>
          <w:rFonts w:hint="eastAsia" w:ascii="宋体" w:hAnsi="宋体" w:eastAsia="宋体" w:cs="宋体"/>
          <w:b/>
          <w:bCs/>
          <w:color w:val="auto"/>
          <w:sz w:val="24"/>
          <w:szCs w:val="24"/>
          <w:highlight w:val="none"/>
          <w:u w:val="double"/>
        </w:rPr>
        <w:t>联合体各方之间签订的联合体协议书应随投标文件一起递交。</w:t>
      </w:r>
    </w:p>
    <w:p>
      <w:pPr>
        <w:pStyle w:val="9"/>
        <w:numPr>
          <w:ilvl w:val="2"/>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double"/>
        </w:rPr>
        <w:t>联合体各方应具备其所承担招标项目承包内容的相应资质条件；承担相同承包内容的专业单位组成联合体的，按照资质等级较低的单位确定资质等级。</w:t>
      </w:r>
    </w:p>
    <w:p>
      <w:pPr>
        <w:pStyle w:val="9"/>
        <w:numPr>
          <w:ilvl w:val="2"/>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u w:val="double"/>
        </w:rPr>
        <w:t>联合体各方在同一招标项目中不得以自己名义单独投标或者参加其他联合体的投标，否则，相关投标均无效</w:t>
      </w:r>
      <w:r>
        <w:rPr>
          <w:rFonts w:hint="eastAsia" w:ascii="宋体" w:hAnsi="宋体" w:eastAsia="宋体" w:cs="宋体"/>
          <w:color w:val="auto"/>
          <w:sz w:val="24"/>
          <w:szCs w:val="24"/>
          <w:highlight w:val="none"/>
        </w:rPr>
        <w:t>。</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投标人不得存在下列情形之一：</w:t>
      </w:r>
    </w:p>
    <w:p>
      <w:pPr>
        <w:pStyle w:val="35"/>
        <w:numPr>
          <w:ilvl w:val="0"/>
          <w:numId w:val="9"/>
        </w:numPr>
        <w:tabs>
          <w:tab w:val="left" w:pos="0"/>
          <w:tab w:val="left" w:pos="1008"/>
          <w:tab w:val="left" w:pos="1134"/>
          <w:tab w:val="clear" w:pos="993"/>
        </w:tabs>
        <w:spacing w:line="360" w:lineRule="atLeast"/>
        <w:rPr>
          <w:rFonts w:hint="eastAsia" w:ascii="宋体" w:hAnsi="宋体" w:eastAsia="宋体" w:cs="宋体"/>
          <w:b/>
          <w:color w:val="auto"/>
          <w:highlight w:val="none"/>
          <w:u w:val="double"/>
        </w:rPr>
      </w:pPr>
      <w:r>
        <w:rPr>
          <w:rFonts w:hint="eastAsia" w:ascii="宋体" w:hAnsi="宋体" w:eastAsia="宋体" w:cs="宋体"/>
          <w:b/>
          <w:color w:val="auto"/>
          <w:highlight w:val="none"/>
          <w:u w:val="double"/>
        </w:rPr>
        <w:t xml:space="preserve">为招标人不具有独立法人资格的附属机构（单位）； </w:t>
      </w:r>
    </w:p>
    <w:p>
      <w:pPr>
        <w:pStyle w:val="35"/>
        <w:numPr>
          <w:ilvl w:val="0"/>
          <w:numId w:val="9"/>
        </w:numPr>
        <w:tabs>
          <w:tab w:val="left" w:pos="0"/>
          <w:tab w:val="left" w:pos="1008"/>
          <w:tab w:val="left" w:pos="1134"/>
          <w:tab w:val="clear" w:pos="993"/>
        </w:tabs>
        <w:spacing w:line="360" w:lineRule="atLeast"/>
        <w:rPr>
          <w:rFonts w:hint="eastAsia" w:ascii="宋体" w:hAnsi="宋体" w:eastAsia="宋体" w:cs="宋体"/>
          <w:b/>
          <w:color w:val="auto"/>
          <w:highlight w:val="none"/>
        </w:rPr>
      </w:pPr>
      <w:r>
        <w:rPr>
          <w:rFonts w:hint="eastAsia" w:ascii="宋体" w:hAnsi="宋体" w:eastAsia="宋体" w:cs="宋体"/>
          <w:b/>
          <w:color w:val="auto"/>
          <w:highlight w:val="none"/>
          <w:u w:val="double"/>
        </w:rPr>
        <w:t>为招标项目的前期准备或者监理工作提供设计、咨询服务的任何法人及其任何附属机构（单位）；</w:t>
      </w:r>
    </w:p>
    <w:p>
      <w:pPr>
        <w:pStyle w:val="35"/>
        <w:numPr>
          <w:ilvl w:val="0"/>
          <w:numId w:val="9"/>
        </w:numPr>
        <w:tabs>
          <w:tab w:val="left" w:pos="0"/>
          <w:tab w:val="left" w:pos="1008"/>
          <w:tab w:val="left" w:pos="1134"/>
          <w:tab w:val="clear" w:pos="993"/>
        </w:tabs>
        <w:spacing w:line="360" w:lineRule="atLeast"/>
        <w:rPr>
          <w:rFonts w:hint="eastAsia" w:ascii="宋体" w:hAnsi="宋体" w:eastAsia="宋体" w:cs="宋体"/>
          <w:b/>
          <w:color w:val="auto"/>
          <w:highlight w:val="none"/>
        </w:rPr>
      </w:pPr>
      <w:r>
        <w:rPr>
          <w:rFonts w:hint="eastAsia" w:ascii="宋体" w:hAnsi="宋体" w:eastAsia="宋体" w:cs="宋体"/>
          <w:b/>
          <w:color w:val="auto"/>
          <w:highlight w:val="none"/>
          <w:u w:val="double"/>
        </w:rPr>
        <w:t>为本项目（标段）的监理人</w:t>
      </w:r>
      <w:r>
        <w:rPr>
          <w:rFonts w:hint="eastAsia" w:ascii="宋体" w:hAnsi="宋体" w:eastAsia="宋体" w:cs="宋体"/>
          <w:b/>
          <w:color w:val="auto"/>
          <w:highlight w:val="none"/>
        </w:rPr>
        <w:t>；</w:t>
      </w:r>
    </w:p>
    <w:p>
      <w:pPr>
        <w:pStyle w:val="35"/>
        <w:numPr>
          <w:ilvl w:val="0"/>
          <w:numId w:val="9"/>
        </w:numPr>
        <w:tabs>
          <w:tab w:val="left" w:pos="0"/>
          <w:tab w:val="left" w:pos="1008"/>
          <w:tab w:val="left" w:pos="1134"/>
          <w:tab w:val="clear" w:pos="993"/>
        </w:tabs>
        <w:spacing w:line="360" w:lineRule="atLeast"/>
        <w:rPr>
          <w:rFonts w:hint="eastAsia" w:ascii="宋体" w:hAnsi="宋体" w:eastAsia="宋体" w:cs="宋体"/>
          <w:b/>
          <w:color w:val="auto"/>
          <w:highlight w:val="none"/>
        </w:rPr>
      </w:pPr>
      <w:r>
        <w:rPr>
          <w:rFonts w:hint="eastAsia" w:ascii="宋体" w:hAnsi="宋体" w:eastAsia="宋体" w:cs="宋体"/>
          <w:b/>
          <w:color w:val="auto"/>
          <w:highlight w:val="none"/>
          <w:u w:val="double"/>
        </w:rPr>
        <w:t>为本项目（标段）的代建人</w:t>
      </w:r>
      <w:r>
        <w:rPr>
          <w:rFonts w:hint="eastAsia" w:ascii="宋体" w:hAnsi="宋体" w:eastAsia="宋体" w:cs="宋体"/>
          <w:b/>
          <w:color w:val="auto"/>
          <w:highlight w:val="none"/>
        </w:rPr>
        <w:t>；</w:t>
      </w:r>
    </w:p>
    <w:p>
      <w:pPr>
        <w:pStyle w:val="35"/>
        <w:numPr>
          <w:ilvl w:val="0"/>
          <w:numId w:val="9"/>
        </w:numPr>
        <w:tabs>
          <w:tab w:val="left" w:pos="0"/>
          <w:tab w:val="left" w:pos="1008"/>
          <w:tab w:val="left" w:pos="1134"/>
          <w:tab w:val="clear" w:pos="993"/>
        </w:tabs>
        <w:spacing w:line="360" w:lineRule="atLeast"/>
        <w:rPr>
          <w:rFonts w:hint="eastAsia" w:ascii="宋体" w:hAnsi="宋体" w:eastAsia="宋体" w:cs="宋体"/>
          <w:b/>
          <w:color w:val="auto"/>
          <w:highlight w:val="none"/>
        </w:rPr>
      </w:pPr>
      <w:r>
        <w:rPr>
          <w:rFonts w:hint="eastAsia" w:ascii="宋体" w:hAnsi="宋体" w:eastAsia="宋体" w:cs="宋体"/>
          <w:b/>
          <w:color w:val="auto"/>
          <w:highlight w:val="none"/>
          <w:u w:val="double"/>
        </w:rPr>
        <w:t>为本项目（标段）提供招标代理服务</w:t>
      </w:r>
      <w:r>
        <w:rPr>
          <w:rFonts w:hint="eastAsia" w:ascii="宋体" w:hAnsi="宋体" w:eastAsia="宋体" w:cs="宋体"/>
          <w:b/>
          <w:color w:val="auto"/>
          <w:highlight w:val="none"/>
        </w:rPr>
        <w:t>；</w:t>
      </w:r>
    </w:p>
    <w:p>
      <w:pPr>
        <w:pStyle w:val="35"/>
        <w:numPr>
          <w:ilvl w:val="0"/>
          <w:numId w:val="9"/>
        </w:numPr>
        <w:tabs>
          <w:tab w:val="left" w:pos="0"/>
          <w:tab w:val="left" w:pos="1008"/>
          <w:tab w:val="left" w:pos="1134"/>
          <w:tab w:val="clear" w:pos="993"/>
        </w:tabs>
        <w:spacing w:line="360" w:lineRule="atLeast"/>
        <w:rPr>
          <w:rFonts w:hint="eastAsia" w:ascii="宋体" w:hAnsi="宋体" w:eastAsia="宋体" w:cs="宋体"/>
          <w:b/>
          <w:color w:val="auto"/>
          <w:highlight w:val="none"/>
        </w:rPr>
      </w:pPr>
      <w:r>
        <w:rPr>
          <w:rFonts w:hint="eastAsia" w:ascii="宋体" w:hAnsi="宋体" w:eastAsia="宋体" w:cs="宋体"/>
          <w:b/>
          <w:color w:val="auto"/>
          <w:highlight w:val="none"/>
          <w:u w:val="double"/>
        </w:rPr>
        <w:t>与本项目（标段）的监理人或代建人或招标代理机构或其他投标人同为一个法定代表人</w:t>
      </w:r>
      <w:r>
        <w:rPr>
          <w:rFonts w:hint="eastAsia" w:ascii="宋体" w:hAnsi="宋体" w:eastAsia="宋体" w:cs="宋体"/>
          <w:b/>
          <w:color w:val="auto"/>
          <w:highlight w:val="none"/>
        </w:rPr>
        <w:t>；</w:t>
      </w:r>
    </w:p>
    <w:p>
      <w:pPr>
        <w:pStyle w:val="35"/>
        <w:numPr>
          <w:ilvl w:val="0"/>
          <w:numId w:val="9"/>
        </w:numPr>
        <w:tabs>
          <w:tab w:val="left" w:pos="0"/>
          <w:tab w:val="left" w:pos="1008"/>
          <w:tab w:val="left" w:pos="1134"/>
          <w:tab w:val="clear" w:pos="993"/>
        </w:tabs>
        <w:spacing w:line="360" w:lineRule="atLeast"/>
        <w:rPr>
          <w:rFonts w:hint="eastAsia" w:ascii="宋体" w:hAnsi="宋体" w:eastAsia="宋体" w:cs="宋体"/>
          <w:b/>
          <w:color w:val="auto"/>
          <w:highlight w:val="none"/>
        </w:rPr>
      </w:pPr>
      <w:r>
        <w:rPr>
          <w:rFonts w:hint="eastAsia" w:ascii="宋体" w:hAnsi="宋体" w:eastAsia="宋体" w:cs="宋体"/>
          <w:b/>
          <w:color w:val="auto"/>
          <w:highlight w:val="none"/>
          <w:u w:val="double"/>
        </w:rPr>
        <w:t>与本项目（标段）的监理人或代建人或招标代理机构相互控股或参股或有隶属关系</w:t>
      </w:r>
      <w:r>
        <w:rPr>
          <w:rFonts w:hint="eastAsia" w:ascii="宋体" w:hAnsi="宋体" w:eastAsia="宋体" w:cs="宋体"/>
          <w:b/>
          <w:color w:val="auto"/>
          <w:highlight w:val="none"/>
        </w:rPr>
        <w:t>；</w:t>
      </w:r>
    </w:p>
    <w:p>
      <w:pPr>
        <w:pStyle w:val="35"/>
        <w:numPr>
          <w:ilvl w:val="0"/>
          <w:numId w:val="9"/>
        </w:numPr>
        <w:tabs>
          <w:tab w:val="left" w:pos="0"/>
          <w:tab w:val="left" w:pos="1008"/>
          <w:tab w:val="left" w:pos="1134"/>
          <w:tab w:val="clear" w:pos="993"/>
        </w:tabs>
        <w:spacing w:line="360" w:lineRule="atLeast"/>
        <w:rPr>
          <w:rFonts w:hint="eastAsia" w:ascii="宋体" w:hAnsi="宋体" w:eastAsia="宋体" w:cs="宋体"/>
          <w:b/>
          <w:color w:val="auto"/>
          <w:highlight w:val="none"/>
        </w:rPr>
      </w:pPr>
      <w:r>
        <w:rPr>
          <w:rFonts w:hint="eastAsia" w:ascii="宋体" w:hAnsi="宋体" w:eastAsia="宋体" w:cs="宋体"/>
          <w:b/>
          <w:color w:val="auto"/>
          <w:highlight w:val="none"/>
          <w:u w:val="double"/>
        </w:rPr>
        <w:t>被有关行政主管部门责令停业</w:t>
      </w:r>
      <w:r>
        <w:rPr>
          <w:rFonts w:hint="eastAsia" w:ascii="宋体" w:hAnsi="宋体" w:eastAsia="宋体" w:cs="宋体"/>
          <w:b/>
          <w:color w:val="auto"/>
          <w:highlight w:val="none"/>
        </w:rPr>
        <w:t>；</w:t>
      </w:r>
    </w:p>
    <w:p>
      <w:pPr>
        <w:pStyle w:val="35"/>
        <w:numPr>
          <w:ilvl w:val="0"/>
          <w:numId w:val="9"/>
        </w:numPr>
        <w:tabs>
          <w:tab w:val="left" w:pos="0"/>
          <w:tab w:val="left" w:pos="1008"/>
          <w:tab w:val="left" w:pos="1134"/>
          <w:tab w:val="clear" w:pos="993"/>
        </w:tabs>
        <w:spacing w:line="360" w:lineRule="atLeast"/>
        <w:rPr>
          <w:rFonts w:hint="eastAsia" w:ascii="宋体" w:hAnsi="宋体" w:eastAsia="宋体" w:cs="宋体"/>
          <w:b/>
          <w:color w:val="auto"/>
          <w:szCs w:val="22"/>
          <w:highlight w:val="none"/>
          <w:u w:val="double"/>
        </w:rPr>
      </w:pPr>
      <w:r>
        <w:rPr>
          <w:rFonts w:hint="eastAsia" w:ascii="宋体" w:hAnsi="宋体" w:eastAsia="宋体" w:cs="宋体"/>
          <w:b/>
          <w:color w:val="auto"/>
          <w:szCs w:val="22"/>
          <w:highlight w:val="none"/>
          <w:u w:val="double"/>
          <w:lang w:val="en-US" w:eastAsia="zh-CN"/>
        </w:rPr>
        <w:t>本项目（标段）投标截止时仍处于被县级及以上住房城乡建设主管部门、司法机关暂停或者取消在本项目（标段）所在地的投标资格状态；</w:t>
      </w:r>
    </w:p>
    <w:p>
      <w:pPr>
        <w:pStyle w:val="35"/>
        <w:numPr>
          <w:ilvl w:val="0"/>
          <w:numId w:val="9"/>
        </w:numPr>
        <w:tabs>
          <w:tab w:val="left" w:pos="0"/>
          <w:tab w:val="left" w:pos="1008"/>
          <w:tab w:val="left" w:pos="1134"/>
          <w:tab w:val="clear" w:pos="993"/>
        </w:tabs>
        <w:spacing w:line="360" w:lineRule="atLeast"/>
        <w:rPr>
          <w:rFonts w:hint="eastAsia" w:ascii="宋体" w:hAnsi="宋体" w:eastAsia="宋体" w:cs="宋体"/>
          <w:b/>
          <w:color w:val="auto"/>
          <w:szCs w:val="22"/>
          <w:highlight w:val="none"/>
          <w:u w:val="double"/>
        </w:rPr>
      </w:pPr>
      <w:r>
        <w:rPr>
          <w:rFonts w:hint="eastAsia" w:ascii="宋体" w:hAnsi="宋体" w:eastAsia="宋体" w:cs="宋体"/>
          <w:b/>
          <w:color w:val="auto"/>
          <w:highlight w:val="none"/>
          <w:u w:val="double"/>
        </w:rPr>
        <w:t>财产被司法机关接管或冻结</w:t>
      </w:r>
      <w:r>
        <w:rPr>
          <w:rFonts w:hint="eastAsia" w:ascii="宋体" w:hAnsi="宋体" w:eastAsia="宋体" w:cs="宋体"/>
          <w:b/>
          <w:bCs/>
          <w:color w:val="auto"/>
          <w:highlight w:val="none"/>
          <w:u w:val="double"/>
        </w:rPr>
        <w:t>且导致中标后合同无法履行</w:t>
      </w:r>
      <w:r>
        <w:rPr>
          <w:rFonts w:hint="eastAsia" w:ascii="宋体" w:hAnsi="宋体" w:eastAsia="宋体" w:cs="宋体"/>
          <w:b/>
          <w:color w:val="auto"/>
          <w:highlight w:val="none"/>
        </w:rPr>
        <w:t>；</w:t>
      </w:r>
    </w:p>
    <w:p>
      <w:pPr>
        <w:pStyle w:val="35"/>
        <w:numPr>
          <w:ilvl w:val="0"/>
          <w:numId w:val="9"/>
        </w:numPr>
        <w:tabs>
          <w:tab w:val="left" w:pos="0"/>
          <w:tab w:val="left" w:pos="1008"/>
          <w:tab w:val="left" w:pos="1134"/>
          <w:tab w:val="clear" w:pos="993"/>
        </w:tabs>
        <w:spacing w:line="360" w:lineRule="atLeast"/>
        <w:rPr>
          <w:rFonts w:hint="eastAsia" w:ascii="宋体" w:hAnsi="宋体" w:eastAsia="宋体" w:cs="宋体"/>
          <w:b/>
          <w:color w:val="auto"/>
          <w:szCs w:val="22"/>
          <w:highlight w:val="none"/>
          <w:u w:val="double"/>
        </w:rPr>
      </w:pPr>
      <w:r>
        <w:rPr>
          <w:rFonts w:hint="eastAsia" w:ascii="宋体" w:hAnsi="宋体" w:eastAsia="宋体" w:cs="宋体"/>
          <w:b/>
          <w:color w:val="auto"/>
          <w:szCs w:val="22"/>
          <w:highlight w:val="none"/>
          <w:u w:val="double"/>
        </w:rPr>
        <w:t>本项目（标段）投标截止时企业法人仍处于被住房和城乡建设部或福建省住房和城乡建设厅认定的建筑市场主体黑名单管理期限内；</w:t>
      </w:r>
    </w:p>
    <w:p>
      <w:pPr>
        <w:pStyle w:val="35"/>
        <w:numPr>
          <w:ilvl w:val="0"/>
          <w:numId w:val="9"/>
        </w:numPr>
        <w:tabs>
          <w:tab w:val="left" w:pos="0"/>
          <w:tab w:val="left" w:pos="1008"/>
          <w:tab w:val="left" w:pos="1134"/>
          <w:tab w:val="clear" w:pos="993"/>
        </w:tabs>
        <w:spacing w:line="360" w:lineRule="atLeast"/>
        <w:rPr>
          <w:rFonts w:hint="eastAsia" w:ascii="宋体" w:hAnsi="宋体" w:eastAsia="宋体" w:cs="宋体"/>
          <w:b/>
          <w:color w:val="auto"/>
          <w:highlight w:val="none"/>
          <w:u w:val="double"/>
        </w:rPr>
      </w:pPr>
      <w:r>
        <w:rPr>
          <w:rFonts w:hint="eastAsia" w:ascii="宋体" w:hAnsi="宋体" w:eastAsia="宋体" w:cs="宋体"/>
          <w:b/>
          <w:color w:val="auto"/>
          <w:highlight w:val="none"/>
          <w:u w:val="double"/>
        </w:rPr>
        <w:t>与招标人存在利害关系可能影响招标公正性</w:t>
      </w:r>
      <w:r>
        <w:rPr>
          <w:rFonts w:hint="eastAsia" w:ascii="宋体" w:hAnsi="宋体" w:eastAsia="宋体" w:cs="宋体"/>
          <w:b/>
          <w:color w:val="auto"/>
          <w:highlight w:val="none"/>
        </w:rPr>
        <w:t>；</w:t>
      </w:r>
    </w:p>
    <w:p>
      <w:pPr>
        <w:pStyle w:val="35"/>
        <w:numPr>
          <w:ilvl w:val="0"/>
          <w:numId w:val="9"/>
        </w:numPr>
        <w:tabs>
          <w:tab w:val="left" w:pos="0"/>
          <w:tab w:val="left" w:pos="1008"/>
          <w:tab w:val="left" w:pos="1134"/>
          <w:tab w:val="clear" w:pos="993"/>
        </w:tabs>
        <w:spacing w:line="360" w:lineRule="atLeast"/>
        <w:rPr>
          <w:rFonts w:hint="eastAsia" w:ascii="宋体" w:hAnsi="宋体" w:eastAsia="宋体" w:cs="宋体"/>
          <w:b/>
          <w:color w:val="auto"/>
          <w:highlight w:val="none"/>
        </w:rPr>
      </w:pPr>
      <w:r>
        <w:rPr>
          <w:rFonts w:hint="eastAsia" w:ascii="宋体" w:hAnsi="宋体" w:eastAsia="宋体" w:cs="宋体"/>
          <w:b/>
          <w:color w:val="auto"/>
          <w:highlight w:val="none"/>
          <w:u w:val="double"/>
        </w:rPr>
        <w:t>单位负责人为同一人或者存在控股、管理关系的不同单位，参加同一标段投标或者未划分标段的同一招标项目投标；</w:t>
      </w:r>
    </w:p>
    <w:p>
      <w:pPr>
        <w:pStyle w:val="35"/>
        <w:numPr>
          <w:ilvl w:val="0"/>
          <w:numId w:val="9"/>
        </w:numPr>
        <w:tabs>
          <w:tab w:val="left" w:pos="0"/>
          <w:tab w:val="left" w:pos="1008"/>
          <w:tab w:val="left" w:pos="1134"/>
          <w:tab w:val="clear" w:pos="993"/>
        </w:tabs>
        <w:spacing w:line="360" w:lineRule="atLeast"/>
        <w:rPr>
          <w:rFonts w:hint="eastAsia" w:ascii="宋体" w:hAnsi="宋体" w:eastAsia="宋体" w:cs="宋体"/>
          <w:b/>
          <w:color w:val="auto"/>
          <w:highlight w:val="none"/>
        </w:rPr>
      </w:pPr>
      <w:r>
        <w:rPr>
          <w:rFonts w:hint="eastAsia" w:ascii="宋体" w:hAnsi="宋体" w:eastAsia="宋体" w:cs="宋体"/>
          <w:b/>
          <w:color w:val="auto"/>
          <w:highlight w:val="none"/>
          <w:u w:val="double"/>
        </w:rPr>
        <w:t>在本次投标中，以他人的名义投标、串通投标、以行贿手段谋取中标或者以其他弄虚作假方式投标</w:t>
      </w:r>
      <w:r>
        <w:rPr>
          <w:rFonts w:hint="eastAsia" w:ascii="宋体" w:hAnsi="宋体" w:eastAsia="宋体" w:cs="宋体"/>
          <w:b/>
          <w:color w:val="auto"/>
          <w:highlight w:val="none"/>
        </w:rPr>
        <w:t>。</w:t>
      </w:r>
    </w:p>
    <w:p>
      <w:pPr>
        <w:pStyle w:val="8"/>
        <w:numPr>
          <w:ilvl w:val="0"/>
          <w:numId w:val="8"/>
        </w:numPr>
        <w:spacing w:before="0" w:after="0" w:line="360" w:lineRule="atLeast"/>
        <w:rPr>
          <w:rFonts w:hint="eastAsia" w:ascii="宋体" w:hAnsi="宋体" w:eastAsia="宋体" w:cs="宋体"/>
          <w:color w:val="auto"/>
          <w:highlight w:val="none"/>
        </w:rPr>
      </w:pPr>
      <w:bookmarkStart w:id="48" w:name="_Toc215308767"/>
      <w:bookmarkStart w:id="49" w:name="_Toc63471363"/>
      <w:bookmarkStart w:id="50" w:name="_Toc215537194"/>
      <w:bookmarkStart w:id="51" w:name="_Toc214954240"/>
      <w:r>
        <w:rPr>
          <w:rFonts w:hint="eastAsia" w:ascii="宋体" w:hAnsi="宋体" w:eastAsia="宋体" w:cs="宋体"/>
          <w:color w:val="auto"/>
          <w:highlight w:val="none"/>
        </w:rPr>
        <w:t>投标费用</w:t>
      </w:r>
      <w:bookmarkEnd w:id="48"/>
      <w:bookmarkEnd w:id="49"/>
      <w:bookmarkEnd w:id="50"/>
      <w:bookmarkEnd w:id="51"/>
    </w:p>
    <w:p>
      <w:pPr>
        <w:pStyle w:val="9"/>
        <w:tabs>
          <w:tab w:val="left" w:pos="10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pPr>
        <w:pStyle w:val="8"/>
        <w:numPr>
          <w:ilvl w:val="0"/>
          <w:numId w:val="8"/>
        </w:numPr>
        <w:spacing w:before="0" w:after="0" w:line="360" w:lineRule="atLeast"/>
        <w:rPr>
          <w:rFonts w:hint="eastAsia" w:ascii="宋体" w:hAnsi="宋体" w:eastAsia="宋体" w:cs="宋体"/>
          <w:color w:val="auto"/>
          <w:highlight w:val="none"/>
        </w:rPr>
      </w:pPr>
      <w:bookmarkStart w:id="52" w:name="_Toc214954241"/>
      <w:bookmarkStart w:id="53" w:name="_Toc215537195"/>
      <w:bookmarkStart w:id="54" w:name="_Toc63471364"/>
      <w:bookmarkStart w:id="55" w:name="_Toc215308768"/>
      <w:r>
        <w:rPr>
          <w:rFonts w:hint="eastAsia" w:ascii="宋体" w:hAnsi="宋体" w:eastAsia="宋体" w:cs="宋体"/>
          <w:color w:val="auto"/>
          <w:highlight w:val="none"/>
        </w:rPr>
        <w:t>保密</w:t>
      </w:r>
      <w:bookmarkEnd w:id="52"/>
      <w:bookmarkEnd w:id="53"/>
      <w:bookmarkEnd w:id="54"/>
      <w:bookmarkEnd w:id="55"/>
    </w:p>
    <w:p>
      <w:pPr>
        <w:pStyle w:val="9"/>
        <w:tabs>
          <w:tab w:val="left" w:pos="10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参与招标投标活动的各方应对招标文件和投标文件中的商业和技术等秘密保密，违者应对由此造成的后果承担法律责任。</w:t>
      </w:r>
    </w:p>
    <w:p>
      <w:pPr>
        <w:pStyle w:val="8"/>
        <w:numPr>
          <w:ilvl w:val="0"/>
          <w:numId w:val="8"/>
        </w:numPr>
        <w:spacing w:before="0" w:after="0" w:line="360" w:lineRule="atLeast"/>
        <w:rPr>
          <w:rFonts w:hint="eastAsia" w:ascii="宋体" w:hAnsi="宋体" w:eastAsia="宋体" w:cs="宋体"/>
          <w:color w:val="auto"/>
          <w:highlight w:val="none"/>
        </w:rPr>
      </w:pPr>
      <w:bookmarkStart w:id="56" w:name="_Toc215537196"/>
      <w:bookmarkStart w:id="57" w:name="_Toc63471365"/>
      <w:bookmarkStart w:id="58" w:name="_Toc215308769"/>
      <w:bookmarkStart w:id="59" w:name="_Toc214954242"/>
      <w:r>
        <w:rPr>
          <w:rFonts w:hint="eastAsia" w:ascii="宋体" w:hAnsi="宋体" w:eastAsia="宋体" w:cs="宋体"/>
          <w:color w:val="auto"/>
          <w:highlight w:val="none"/>
        </w:rPr>
        <w:t>语言文字</w:t>
      </w:r>
      <w:bookmarkEnd w:id="56"/>
      <w:bookmarkEnd w:id="57"/>
      <w:bookmarkEnd w:id="58"/>
      <w:bookmarkEnd w:id="59"/>
    </w:p>
    <w:p>
      <w:pPr>
        <w:pStyle w:val="9"/>
        <w:tabs>
          <w:tab w:val="left" w:pos="10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除专用术语外，与招标投标有关的语言均使用中文。必要时专用术语应附有中文注释。</w:t>
      </w:r>
    </w:p>
    <w:p>
      <w:pPr>
        <w:pStyle w:val="8"/>
        <w:numPr>
          <w:ilvl w:val="0"/>
          <w:numId w:val="8"/>
        </w:numPr>
        <w:spacing w:before="0" w:after="0" w:line="360" w:lineRule="atLeast"/>
        <w:rPr>
          <w:rFonts w:hint="eastAsia" w:ascii="宋体" w:hAnsi="宋体" w:eastAsia="宋体" w:cs="宋体"/>
          <w:color w:val="auto"/>
          <w:highlight w:val="none"/>
        </w:rPr>
      </w:pPr>
      <w:bookmarkStart w:id="60" w:name="_Toc215308770"/>
      <w:bookmarkStart w:id="61" w:name="_Toc215537197"/>
      <w:bookmarkStart w:id="62" w:name="_Toc214954243"/>
      <w:bookmarkStart w:id="63" w:name="_Toc63471366"/>
      <w:r>
        <w:rPr>
          <w:rFonts w:hint="eastAsia" w:ascii="宋体" w:hAnsi="宋体" w:eastAsia="宋体" w:cs="宋体"/>
          <w:color w:val="auto"/>
          <w:highlight w:val="none"/>
        </w:rPr>
        <w:t>计量单位</w:t>
      </w:r>
      <w:bookmarkEnd w:id="60"/>
      <w:bookmarkEnd w:id="61"/>
      <w:bookmarkEnd w:id="62"/>
      <w:bookmarkEnd w:id="63"/>
    </w:p>
    <w:p>
      <w:pPr>
        <w:pStyle w:val="9"/>
        <w:tabs>
          <w:tab w:val="left" w:pos="10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pPr>
        <w:pStyle w:val="8"/>
        <w:numPr>
          <w:ilvl w:val="0"/>
          <w:numId w:val="8"/>
        </w:numPr>
        <w:spacing w:before="0" w:after="0" w:line="360" w:lineRule="atLeast"/>
        <w:rPr>
          <w:rFonts w:hint="eastAsia" w:ascii="宋体" w:hAnsi="宋体" w:eastAsia="宋体" w:cs="宋体"/>
          <w:color w:val="auto"/>
          <w:highlight w:val="none"/>
        </w:rPr>
      </w:pPr>
      <w:bookmarkStart w:id="64" w:name="_Toc215308771"/>
      <w:bookmarkStart w:id="65" w:name="_Toc214954244"/>
      <w:bookmarkStart w:id="66" w:name="_Toc63471367"/>
      <w:bookmarkStart w:id="67" w:name="_Toc215537198"/>
      <w:r>
        <w:rPr>
          <w:rFonts w:hint="eastAsia" w:ascii="宋体" w:hAnsi="宋体" w:eastAsia="宋体" w:cs="宋体"/>
          <w:color w:val="auto"/>
          <w:highlight w:val="none"/>
        </w:rPr>
        <w:t>踏勘现场</w:t>
      </w:r>
      <w:bookmarkEnd w:id="64"/>
      <w:bookmarkEnd w:id="65"/>
      <w:bookmarkEnd w:id="66"/>
      <w:bookmarkEnd w:id="67"/>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招标人不组织踏勘现场。潜在投标人可自行前往工程施工场地对工程现场和其周围环境进行踏勘。潜在投标人没有对现场进行踏勘的，视同对招标项目现场已经了解。</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潜在投标人踏勘现场发生的费用自理，并自行负责在踏勘现场中所发生的人员伤亡和财产损失。</w:t>
      </w:r>
    </w:p>
    <w:p>
      <w:pPr>
        <w:pStyle w:val="8"/>
        <w:numPr>
          <w:ilvl w:val="0"/>
          <w:numId w:val="8"/>
        </w:numPr>
        <w:spacing w:before="0" w:after="0" w:line="360" w:lineRule="atLeast"/>
        <w:rPr>
          <w:rFonts w:hint="eastAsia" w:ascii="宋体" w:hAnsi="宋体" w:eastAsia="宋体" w:cs="宋体"/>
          <w:color w:val="auto"/>
          <w:highlight w:val="none"/>
        </w:rPr>
      </w:pPr>
      <w:r>
        <w:rPr>
          <w:rFonts w:hint="eastAsia" w:ascii="宋体" w:hAnsi="宋体" w:eastAsia="宋体" w:cs="宋体"/>
          <w:color w:val="auto"/>
          <w:highlight w:val="none"/>
        </w:rPr>
        <w:t>疑问</w:t>
      </w:r>
    </w:p>
    <w:p>
      <w:pPr>
        <w:pStyle w:val="9"/>
        <w:tabs>
          <w:tab w:val="left" w:pos="10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对招标事项、招标文件有疑问的，应在投标须知前附表第14项规定的时间前，以不署名、不盖章的形式通过电子交易平台发送给招标人，招标人应当及时通过电子交易平台接收疑问、答复或者发布招标文件的澄清、修改。</w:t>
      </w:r>
    </w:p>
    <w:p>
      <w:pPr>
        <w:pStyle w:val="8"/>
        <w:numPr>
          <w:ilvl w:val="0"/>
          <w:numId w:val="8"/>
        </w:numPr>
        <w:spacing w:before="0" w:after="0" w:line="360" w:lineRule="atLeast"/>
        <w:rPr>
          <w:rFonts w:hint="eastAsia" w:ascii="宋体" w:hAnsi="宋体" w:eastAsia="宋体" w:cs="宋体"/>
          <w:color w:val="auto"/>
          <w:highlight w:val="none"/>
        </w:rPr>
      </w:pPr>
      <w:bookmarkStart w:id="68" w:name="_Toc215308773"/>
      <w:bookmarkStart w:id="69" w:name="_Toc215537200"/>
      <w:bookmarkStart w:id="70" w:name="_Toc63471369"/>
      <w:bookmarkStart w:id="71" w:name="_Toc214954246"/>
      <w:r>
        <w:rPr>
          <w:rFonts w:hint="eastAsia" w:ascii="宋体" w:hAnsi="宋体" w:eastAsia="宋体" w:cs="宋体"/>
          <w:color w:val="auto"/>
          <w:highlight w:val="none"/>
        </w:rPr>
        <w:t>分包</w:t>
      </w:r>
      <w:bookmarkEnd w:id="68"/>
      <w:bookmarkEnd w:id="69"/>
      <w:bookmarkEnd w:id="70"/>
      <w:bookmarkEnd w:id="71"/>
    </w:p>
    <w:p>
      <w:pPr>
        <w:pStyle w:val="9"/>
        <w:tabs>
          <w:tab w:val="left" w:pos="10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拟在中标后将中标项目的部分非主体、非关键性工作进行分包的，应符合投标须知前附表第15项规定的分包内容和接受分包的第三人资格、资质要求等限制性条件。选择分包企业时，优先选择项目所在地具有相应经验的分包企业。</w:t>
      </w:r>
    </w:p>
    <w:p>
      <w:pPr>
        <w:pStyle w:val="8"/>
        <w:numPr>
          <w:ilvl w:val="0"/>
          <w:numId w:val="8"/>
        </w:numPr>
        <w:spacing w:before="0" w:after="0" w:line="360" w:lineRule="atLeast"/>
        <w:rPr>
          <w:rFonts w:hint="eastAsia" w:ascii="宋体" w:hAnsi="宋体" w:eastAsia="宋体" w:cs="宋体"/>
          <w:color w:val="auto"/>
          <w:highlight w:val="none"/>
        </w:rPr>
      </w:pPr>
      <w:bookmarkStart w:id="72" w:name="_Toc63471370"/>
      <w:bookmarkStart w:id="73" w:name="_Toc214954247"/>
      <w:bookmarkStart w:id="74" w:name="_Toc215537201"/>
      <w:bookmarkStart w:id="75" w:name="_Toc215308774"/>
      <w:r>
        <w:rPr>
          <w:rFonts w:hint="eastAsia" w:ascii="宋体" w:hAnsi="宋体" w:eastAsia="宋体" w:cs="宋体"/>
          <w:color w:val="auto"/>
          <w:highlight w:val="none"/>
        </w:rPr>
        <w:t>偏离</w:t>
      </w:r>
      <w:bookmarkEnd w:id="72"/>
      <w:bookmarkEnd w:id="73"/>
      <w:bookmarkEnd w:id="74"/>
      <w:bookmarkEnd w:id="75"/>
    </w:p>
    <w:p>
      <w:pPr>
        <w:pStyle w:val="9"/>
        <w:tabs>
          <w:tab w:val="left" w:pos="10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8"/>
          <w:highlight w:val="none"/>
          <w:u w:val="double"/>
        </w:rPr>
        <w:t>投标须知前附表第16项规定允许投标文件偏离招标文件某些要求的，偏离应当符合招标文件规定的偏离范围和幅度。</w:t>
      </w:r>
    </w:p>
    <w:p>
      <w:pPr>
        <w:pStyle w:val="6"/>
        <w:spacing w:before="0" w:line="360" w:lineRule="atLeast"/>
        <w:jc w:val="center"/>
        <w:rPr>
          <w:rFonts w:hint="eastAsia" w:ascii="宋体" w:hAnsi="宋体" w:eastAsia="宋体" w:cs="宋体"/>
          <w:color w:val="auto"/>
          <w:highlight w:val="none"/>
        </w:rPr>
      </w:pPr>
      <w:bookmarkStart w:id="76" w:name="_Toc215308775"/>
      <w:bookmarkStart w:id="77" w:name="_Toc215537202"/>
      <w:bookmarkStart w:id="78" w:name="_Toc4719"/>
      <w:bookmarkStart w:id="79" w:name="_Toc63471371"/>
      <w:bookmarkStart w:id="80" w:name="_Toc200777767"/>
      <w:bookmarkStart w:id="81" w:name="_Toc31739"/>
      <w:bookmarkStart w:id="82" w:name="_Toc16683"/>
      <w:bookmarkStart w:id="83" w:name="_Toc15323"/>
      <w:bookmarkStart w:id="84" w:name="_Toc214954248"/>
      <w:bookmarkStart w:id="85" w:name="_Toc2956"/>
      <w:bookmarkStart w:id="86" w:name="_Toc6809"/>
      <w:bookmarkStart w:id="87" w:name="_Toc95912225"/>
      <w:r>
        <w:rPr>
          <w:rFonts w:hint="eastAsia" w:ascii="宋体" w:hAnsi="宋体" w:eastAsia="宋体" w:cs="宋体"/>
          <w:color w:val="auto"/>
          <w:highlight w:val="none"/>
        </w:rPr>
        <w:t>（二）招标文件</w:t>
      </w:r>
      <w:bookmarkEnd w:id="76"/>
      <w:bookmarkEnd w:id="77"/>
      <w:bookmarkEnd w:id="78"/>
      <w:bookmarkEnd w:id="79"/>
      <w:bookmarkEnd w:id="80"/>
      <w:bookmarkEnd w:id="81"/>
      <w:bookmarkEnd w:id="82"/>
      <w:bookmarkEnd w:id="83"/>
      <w:bookmarkEnd w:id="84"/>
      <w:bookmarkEnd w:id="85"/>
      <w:bookmarkEnd w:id="86"/>
      <w:bookmarkEnd w:id="87"/>
    </w:p>
    <w:p>
      <w:pPr>
        <w:pStyle w:val="8"/>
        <w:numPr>
          <w:ilvl w:val="0"/>
          <w:numId w:val="8"/>
        </w:numPr>
        <w:spacing w:before="0" w:after="0" w:line="360" w:lineRule="atLeast"/>
        <w:rPr>
          <w:rFonts w:hint="eastAsia" w:ascii="宋体" w:hAnsi="宋体" w:eastAsia="宋体" w:cs="宋体"/>
          <w:color w:val="auto"/>
          <w:highlight w:val="none"/>
        </w:rPr>
      </w:pPr>
      <w:bookmarkStart w:id="88" w:name="_Toc63471372"/>
      <w:bookmarkStart w:id="89" w:name="_Toc214954249"/>
      <w:bookmarkStart w:id="90" w:name="_Toc215537203"/>
      <w:bookmarkStart w:id="91" w:name="_Toc215308776"/>
      <w:r>
        <w:rPr>
          <w:rFonts w:hint="eastAsia" w:ascii="宋体" w:hAnsi="宋体" w:eastAsia="宋体" w:cs="宋体"/>
          <w:color w:val="auto"/>
          <w:highlight w:val="none"/>
        </w:rPr>
        <w:t>招标文件的组成</w:t>
      </w:r>
      <w:bookmarkEnd w:id="88"/>
      <w:bookmarkEnd w:id="89"/>
      <w:bookmarkEnd w:id="90"/>
      <w:bookmarkEnd w:id="91"/>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本招标文件由《通用本》和《专用本》组成，包括下列内容：</w:t>
      </w:r>
    </w:p>
    <w:p>
      <w:pPr>
        <w:pStyle w:val="9"/>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第一章     招标公告（或投标邀请书）</w:t>
      </w:r>
    </w:p>
    <w:p>
      <w:pPr>
        <w:pStyle w:val="9"/>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第二章　　 投标须知</w:t>
      </w:r>
    </w:p>
    <w:p>
      <w:pPr>
        <w:pStyle w:val="9"/>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第三章　 　</w:t>
      </w:r>
      <w:r>
        <w:rPr>
          <w:rFonts w:hint="eastAsia" w:ascii="宋体" w:hAnsi="宋体" w:eastAsia="宋体" w:cs="宋体"/>
          <w:color w:val="auto"/>
          <w:sz w:val="24"/>
          <w:szCs w:val="24"/>
          <w:highlight w:val="none"/>
        </w:rPr>
        <w:t>评标办法和标准</w:t>
      </w:r>
    </w:p>
    <w:p>
      <w:pPr>
        <w:pStyle w:val="9"/>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第四章　 　合同条款及格式</w:t>
      </w:r>
    </w:p>
    <w:p>
      <w:pPr>
        <w:pStyle w:val="9"/>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第五章　 　工程量清单与计价</w:t>
      </w:r>
    </w:p>
    <w:p>
      <w:pPr>
        <w:pStyle w:val="9"/>
        <w:ind w:firstLine="47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招标图纸</w:t>
      </w:r>
    </w:p>
    <w:p>
      <w:pPr>
        <w:pStyle w:val="9"/>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技术标准和要求</w:t>
      </w:r>
    </w:p>
    <w:p>
      <w:pPr>
        <w:pStyle w:val="9"/>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第八章     投标文件格式</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投标须知第13.1款所述的招标文件内容外，招标人在招标期间根据本章第10条、第14条对招标文件所作的澄清、修改，均构成招标文件的组成部分，对招标人和投标人起约束作用，当招标文件与澄清、修改对同一内容的表述不一致时，以最后发出的内容为准。</w:t>
      </w:r>
    </w:p>
    <w:p>
      <w:pPr>
        <w:pStyle w:val="8"/>
        <w:numPr>
          <w:ilvl w:val="0"/>
          <w:numId w:val="8"/>
        </w:numPr>
        <w:spacing w:before="0" w:after="0" w:line="360" w:lineRule="atLeast"/>
        <w:rPr>
          <w:rFonts w:hint="eastAsia" w:ascii="宋体" w:hAnsi="宋体" w:eastAsia="宋体" w:cs="宋体"/>
          <w:color w:val="auto"/>
          <w:highlight w:val="none"/>
        </w:rPr>
      </w:pPr>
      <w:bookmarkStart w:id="92" w:name="_Toc214954250"/>
      <w:bookmarkStart w:id="93" w:name="_Toc215537204"/>
      <w:bookmarkStart w:id="94" w:name="_Toc215308777"/>
      <w:bookmarkStart w:id="95" w:name="_Toc63471373"/>
      <w:r>
        <w:rPr>
          <w:rFonts w:hint="eastAsia" w:ascii="宋体" w:hAnsi="宋体" w:eastAsia="宋体" w:cs="宋体"/>
          <w:color w:val="auto"/>
          <w:highlight w:val="none"/>
        </w:rPr>
        <w:t>招标文件的澄清</w:t>
      </w:r>
      <w:bookmarkEnd w:id="92"/>
      <w:bookmarkEnd w:id="93"/>
      <w:bookmarkEnd w:id="94"/>
      <w:r>
        <w:rPr>
          <w:rFonts w:hint="eastAsia" w:ascii="宋体" w:hAnsi="宋体" w:eastAsia="宋体" w:cs="宋体"/>
          <w:color w:val="auto"/>
          <w:highlight w:val="none"/>
        </w:rPr>
        <w:t>、修改</w:t>
      </w:r>
      <w:bookmarkEnd w:id="95"/>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招标人可以对已发出的招标文件进行必要的澄清、修改，并通过电子交易平台发布。澄清、修改的内容可能影响投标文件编制的，将在投标须知前附表第17项规定的投标截止时间至少</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日前通过电子交易平台发布；不足</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日的，将相应延长投标截止时间。</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潜在投标人应自行留意招标人发布的招标文件的澄清、修改。</w:t>
      </w:r>
    </w:p>
    <w:p>
      <w:pPr>
        <w:pStyle w:val="6"/>
        <w:spacing w:before="0" w:line="360" w:lineRule="atLeast"/>
        <w:jc w:val="center"/>
        <w:rPr>
          <w:rFonts w:hint="eastAsia" w:ascii="宋体" w:hAnsi="宋体" w:eastAsia="宋体" w:cs="宋体"/>
          <w:color w:val="auto"/>
          <w:highlight w:val="none"/>
        </w:rPr>
      </w:pPr>
      <w:bookmarkStart w:id="96" w:name="_Toc95912226"/>
      <w:bookmarkStart w:id="97" w:name="_Toc7600"/>
      <w:bookmarkStart w:id="98" w:name="_Toc30788"/>
      <w:bookmarkStart w:id="99" w:name="_Toc19189"/>
      <w:bookmarkStart w:id="100" w:name="_Toc23924"/>
      <w:bookmarkStart w:id="101" w:name="_Toc215308779"/>
      <w:bookmarkStart w:id="102" w:name="_Toc200777768"/>
      <w:bookmarkStart w:id="103" w:name="_Toc32006"/>
      <w:bookmarkStart w:id="104" w:name="_Toc12253"/>
      <w:bookmarkStart w:id="105" w:name="_Toc214954252"/>
      <w:bookmarkStart w:id="106" w:name="_Toc63471374"/>
      <w:bookmarkStart w:id="107" w:name="_Toc215537206"/>
      <w:r>
        <w:rPr>
          <w:rFonts w:hint="eastAsia" w:ascii="宋体" w:hAnsi="宋体" w:eastAsia="宋体" w:cs="宋体"/>
          <w:color w:val="auto"/>
          <w:highlight w:val="none"/>
        </w:rPr>
        <w:t>（三）投标文件</w:t>
      </w:r>
      <w:bookmarkEnd w:id="96"/>
      <w:bookmarkEnd w:id="97"/>
      <w:bookmarkEnd w:id="98"/>
      <w:bookmarkEnd w:id="99"/>
      <w:bookmarkEnd w:id="100"/>
      <w:bookmarkEnd w:id="101"/>
      <w:bookmarkEnd w:id="102"/>
      <w:bookmarkEnd w:id="103"/>
      <w:bookmarkEnd w:id="104"/>
      <w:bookmarkEnd w:id="105"/>
      <w:bookmarkEnd w:id="106"/>
      <w:bookmarkEnd w:id="107"/>
    </w:p>
    <w:p>
      <w:pPr>
        <w:pStyle w:val="8"/>
        <w:numPr>
          <w:ilvl w:val="0"/>
          <w:numId w:val="8"/>
        </w:numPr>
        <w:spacing w:before="0" w:after="0" w:line="360" w:lineRule="atLeast"/>
        <w:rPr>
          <w:rFonts w:hint="eastAsia" w:ascii="宋体" w:hAnsi="宋体" w:eastAsia="宋体" w:cs="宋体"/>
          <w:color w:val="auto"/>
          <w:highlight w:val="none"/>
        </w:rPr>
      </w:pPr>
      <w:bookmarkStart w:id="108" w:name="_Toc215537207"/>
      <w:bookmarkStart w:id="109" w:name="_Toc63471375"/>
      <w:bookmarkStart w:id="110" w:name="_Toc215308780"/>
      <w:bookmarkStart w:id="111" w:name="_Toc214954253"/>
      <w:r>
        <w:rPr>
          <w:rFonts w:hint="eastAsia" w:ascii="宋体" w:hAnsi="宋体" w:eastAsia="宋体" w:cs="宋体"/>
          <w:color w:val="auto"/>
          <w:highlight w:val="none"/>
        </w:rPr>
        <w:t>投标文件的组成</w:t>
      </w:r>
      <w:bookmarkEnd w:id="108"/>
      <w:bookmarkEnd w:id="109"/>
      <w:bookmarkEnd w:id="110"/>
      <w:bookmarkEnd w:id="111"/>
    </w:p>
    <w:p>
      <w:pPr>
        <w:pStyle w:val="9"/>
        <w:tabs>
          <w:tab w:val="left" w:pos="10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投标人应当按照招标文件的要求编制投标文件。投标文件由资格文件、商务文件和技术文件（如有时）组成。</w:t>
      </w:r>
    </w:p>
    <w:p>
      <w:pPr>
        <w:pStyle w:val="9"/>
        <w:numPr>
          <w:ilvl w:val="1"/>
          <w:numId w:val="8"/>
        </w:numPr>
        <w:tabs>
          <w:tab w:val="left" w:pos="1000"/>
        </w:tabs>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资格文件</w:t>
      </w:r>
    </w:p>
    <w:p>
      <w:pPr>
        <w:pStyle w:val="9"/>
        <w:numPr>
          <w:ilvl w:val="2"/>
          <w:numId w:val="8"/>
        </w:numPr>
        <w:tabs>
          <w:tab w:val="left" w:pos="1000"/>
          <w:tab w:val="left" w:pos="144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资格文件应包括以下内容：</w:t>
      </w:r>
    </w:p>
    <w:p>
      <w:pPr>
        <w:pStyle w:val="35"/>
        <w:numPr>
          <w:ilvl w:val="7"/>
          <w:numId w:val="10"/>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投标人基本情况表</w:t>
      </w:r>
    </w:p>
    <w:p>
      <w:pPr>
        <w:pStyle w:val="35"/>
        <w:numPr>
          <w:ilvl w:val="7"/>
          <w:numId w:val="10"/>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联合体协议书（如有时）</w:t>
      </w:r>
    </w:p>
    <w:p>
      <w:pPr>
        <w:pStyle w:val="35"/>
        <w:numPr>
          <w:ilvl w:val="7"/>
          <w:numId w:val="10"/>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法定代表人资格证明书</w:t>
      </w:r>
    </w:p>
    <w:p>
      <w:pPr>
        <w:pStyle w:val="35"/>
        <w:numPr>
          <w:ilvl w:val="7"/>
          <w:numId w:val="10"/>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授权委托书（如有时）</w:t>
      </w:r>
    </w:p>
    <w:p>
      <w:pPr>
        <w:pStyle w:val="35"/>
        <w:numPr>
          <w:ilvl w:val="7"/>
          <w:numId w:val="10"/>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拟分包企业情况（如有时）</w:t>
      </w:r>
    </w:p>
    <w:p>
      <w:pPr>
        <w:pStyle w:val="35"/>
        <w:numPr>
          <w:ilvl w:val="7"/>
          <w:numId w:val="10"/>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拟派出项目负责人（即项目经理，下同）简要情况表</w:t>
      </w:r>
    </w:p>
    <w:p>
      <w:pPr>
        <w:pStyle w:val="35"/>
        <w:numPr>
          <w:ilvl w:val="7"/>
          <w:numId w:val="10"/>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拟派出项目技术负责人简要情况表</w:t>
      </w:r>
    </w:p>
    <w:p>
      <w:pPr>
        <w:pStyle w:val="35"/>
        <w:numPr>
          <w:ilvl w:val="7"/>
          <w:numId w:val="10"/>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项目部施工管理人员到位承诺书</w:t>
      </w:r>
    </w:p>
    <w:p>
      <w:pPr>
        <w:pStyle w:val="35"/>
        <w:numPr>
          <w:ilvl w:val="7"/>
          <w:numId w:val="10"/>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投标人基本账户信息</w:t>
      </w:r>
    </w:p>
    <w:p>
      <w:pPr>
        <w:pStyle w:val="35"/>
        <w:numPr>
          <w:ilvl w:val="7"/>
          <w:numId w:val="10"/>
        </w:numPr>
        <w:tabs>
          <w:tab w:val="left" w:pos="0"/>
          <w:tab w:val="left" w:pos="800"/>
          <w:tab w:val="left" w:pos="810"/>
          <w:tab w:val="left" w:pos="1008"/>
          <w:tab w:val="left" w:pos="1134"/>
          <w:tab w:val="left" w:pos="1600"/>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“类似工程业绩”情况表（如有时）</w:t>
      </w:r>
    </w:p>
    <w:p>
      <w:pPr>
        <w:pStyle w:val="35"/>
        <w:numPr>
          <w:ilvl w:val="7"/>
          <w:numId w:val="10"/>
        </w:numPr>
        <w:tabs>
          <w:tab w:val="left" w:pos="0"/>
          <w:tab w:val="left" w:pos="800"/>
          <w:tab w:val="left" w:pos="1008"/>
          <w:tab w:val="left" w:pos="1134"/>
          <w:tab w:val="left" w:pos="1600"/>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投标保证金有关单据扫描件</w:t>
      </w:r>
    </w:p>
    <w:p>
      <w:pPr>
        <w:pStyle w:val="35"/>
        <w:numPr>
          <w:ilvl w:val="7"/>
          <w:numId w:val="10"/>
        </w:numPr>
        <w:tabs>
          <w:tab w:val="left" w:pos="0"/>
          <w:tab w:val="left" w:pos="800"/>
          <w:tab w:val="left" w:pos="1008"/>
          <w:tab w:val="left" w:pos="1134"/>
          <w:tab w:val="left" w:pos="1600"/>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其他资料</w:t>
      </w:r>
    </w:p>
    <w:p>
      <w:pPr>
        <w:pStyle w:val="9"/>
        <w:numPr>
          <w:ilvl w:val="1"/>
          <w:numId w:val="8"/>
        </w:numPr>
        <w:tabs>
          <w:tab w:val="left" w:pos="1000"/>
        </w:tabs>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商务文件</w:t>
      </w:r>
    </w:p>
    <w:p>
      <w:pPr>
        <w:pStyle w:val="9"/>
        <w:numPr>
          <w:ilvl w:val="2"/>
          <w:numId w:val="8"/>
        </w:numPr>
        <w:tabs>
          <w:tab w:val="left" w:pos="1000"/>
          <w:tab w:val="left" w:pos="144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商务文件应包括下列内容：</w:t>
      </w:r>
    </w:p>
    <w:p>
      <w:pPr>
        <w:pStyle w:val="35"/>
        <w:numPr>
          <w:ilvl w:val="7"/>
          <w:numId w:val="11"/>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投标函；</w:t>
      </w:r>
    </w:p>
    <w:p>
      <w:pPr>
        <w:pStyle w:val="35"/>
        <w:numPr>
          <w:ilvl w:val="7"/>
          <w:numId w:val="11"/>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投标函附录；</w:t>
      </w:r>
    </w:p>
    <w:p>
      <w:pPr>
        <w:pStyle w:val="35"/>
        <w:numPr>
          <w:ilvl w:val="7"/>
          <w:numId w:val="11"/>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已标价工程量清单；</w:t>
      </w:r>
    </w:p>
    <w:p>
      <w:pPr>
        <w:pStyle w:val="35"/>
        <w:numPr>
          <w:ilvl w:val="7"/>
          <w:numId w:val="11"/>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其他资料。</w:t>
      </w:r>
    </w:p>
    <w:p>
      <w:pPr>
        <w:pStyle w:val="35"/>
        <w:numPr>
          <w:ilvl w:val="0"/>
          <w:numId w:val="0"/>
        </w:numPr>
        <w:tabs>
          <w:tab w:val="left" w:pos="0"/>
          <w:tab w:val="left" w:pos="800"/>
          <w:tab w:val="left" w:pos="1008"/>
          <w:tab w:val="left" w:pos="1134"/>
          <w:tab w:val="clear" w:pos="993"/>
        </w:tabs>
        <w:spacing w:line="360" w:lineRule="atLeast"/>
        <w:ind w:firstLine="479"/>
        <w:rPr>
          <w:rFonts w:hint="eastAsia" w:ascii="宋体" w:hAnsi="宋体" w:eastAsia="宋体" w:cs="宋体"/>
          <w:color w:val="auto"/>
          <w:highlight w:val="none"/>
        </w:rPr>
      </w:pPr>
      <w:r>
        <w:rPr>
          <w:rFonts w:hint="eastAsia" w:ascii="宋体" w:hAnsi="宋体" w:eastAsia="宋体" w:cs="宋体"/>
          <w:color w:val="auto"/>
          <w:szCs w:val="24"/>
          <w:highlight w:val="none"/>
        </w:rPr>
        <w:t>已标价工程量清单应当按照第5章“工程量清单及计价”、第7章“技术标准和要求”和第8章“投标文件格式”有关规定进行编制。</w:t>
      </w:r>
    </w:p>
    <w:p>
      <w:pPr>
        <w:pStyle w:val="35"/>
        <w:numPr>
          <w:ilvl w:val="0"/>
          <w:numId w:val="0"/>
        </w:numPr>
        <w:tabs>
          <w:tab w:val="left" w:pos="0"/>
          <w:tab w:val="left" w:pos="800"/>
          <w:tab w:val="left" w:pos="1008"/>
          <w:tab w:val="left" w:pos="1134"/>
          <w:tab w:val="clear" w:pos="993"/>
        </w:tabs>
        <w:spacing w:line="360" w:lineRule="atLeast"/>
        <w:ind w:firstLine="479"/>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采用简易评标法的招标项目，其商务文件可只包括上述（1）、（2）、（4）项的内容。</w:t>
      </w:r>
    </w:p>
    <w:p>
      <w:pPr>
        <w:pStyle w:val="9"/>
        <w:numPr>
          <w:ilvl w:val="1"/>
          <w:numId w:val="8"/>
        </w:numPr>
        <w:tabs>
          <w:tab w:val="left" w:pos="1000"/>
        </w:tabs>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技术文件</w:t>
      </w:r>
    </w:p>
    <w:p>
      <w:pPr>
        <w:pStyle w:val="9"/>
        <w:numPr>
          <w:ilvl w:val="2"/>
          <w:numId w:val="8"/>
        </w:numPr>
        <w:tabs>
          <w:tab w:val="left" w:pos="1000"/>
          <w:tab w:val="left" w:pos="144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采用综合评估法的，招标人是否要求投标人提交技术文件，见投标须知前附表第18项。要求投标人提交技术文件的，技术文件应当按照第3章“评标办法和标准”和第8章“投标文件格式”的规定进行编制。</w:t>
      </w:r>
    </w:p>
    <w:p>
      <w:pPr>
        <w:pStyle w:val="9"/>
        <w:numPr>
          <w:ilvl w:val="2"/>
          <w:numId w:val="8"/>
        </w:numPr>
        <w:tabs>
          <w:tab w:val="left" w:pos="1000"/>
          <w:tab w:val="left" w:pos="1440"/>
        </w:tabs>
        <w:snapToGrid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double"/>
        </w:rPr>
        <w:t>技术文件所有内容均不得出现体现投标人的名称及其他可识别投标人身份的字符、徽标、人员名称以及其他特殊标记等信息。</w:t>
      </w:r>
    </w:p>
    <w:p>
      <w:pPr>
        <w:pStyle w:val="8"/>
        <w:numPr>
          <w:ilvl w:val="0"/>
          <w:numId w:val="8"/>
        </w:numPr>
        <w:spacing w:before="0" w:after="0" w:line="360" w:lineRule="atLeast"/>
        <w:rPr>
          <w:rFonts w:hint="eastAsia" w:ascii="宋体" w:hAnsi="宋体" w:eastAsia="宋体" w:cs="宋体"/>
          <w:color w:val="auto"/>
          <w:highlight w:val="none"/>
        </w:rPr>
      </w:pPr>
      <w:bookmarkStart w:id="112" w:name="_Toc214954255"/>
      <w:bookmarkStart w:id="113" w:name="_Toc215537209"/>
      <w:bookmarkStart w:id="114" w:name="_Toc63471377"/>
      <w:bookmarkStart w:id="115" w:name="_Toc215308782"/>
      <w:r>
        <w:rPr>
          <w:rFonts w:hint="eastAsia" w:ascii="宋体" w:hAnsi="宋体" w:eastAsia="宋体" w:cs="宋体"/>
          <w:color w:val="auto"/>
          <w:highlight w:val="none"/>
        </w:rPr>
        <w:t>投标和支付所使用的货币</w:t>
      </w:r>
      <w:bookmarkEnd w:id="112"/>
      <w:bookmarkEnd w:id="113"/>
      <w:bookmarkEnd w:id="114"/>
      <w:bookmarkEnd w:id="115"/>
    </w:p>
    <w:p>
      <w:pPr>
        <w:pStyle w:val="9"/>
        <w:tabs>
          <w:tab w:val="left" w:pos="10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本招标项目的投标应以人民币报价，合同实施时亦以人民币支付。</w:t>
      </w:r>
    </w:p>
    <w:p>
      <w:pPr>
        <w:pStyle w:val="8"/>
        <w:numPr>
          <w:ilvl w:val="0"/>
          <w:numId w:val="8"/>
        </w:numPr>
        <w:spacing w:before="0" w:after="0" w:line="360" w:lineRule="atLeast"/>
        <w:rPr>
          <w:rFonts w:hint="eastAsia" w:ascii="宋体" w:hAnsi="宋体" w:eastAsia="宋体" w:cs="宋体"/>
          <w:color w:val="auto"/>
          <w:highlight w:val="none"/>
        </w:rPr>
      </w:pPr>
      <w:bookmarkStart w:id="116" w:name="_Toc215308783"/>
      <w:bookmarkStart w:id="117" w:name="_Toc63471378"/>
      <w:bookmarkStart w:id="118" w:name="_Toc214954256"/>
      <w:bookmarkStart w:id="119" w:name="_Toc215537210"/>
      <w:r>
        <w:rPr>
          <w:rFonts w:hint="eastAsia" w:ascii="宋体" w:hAnsi="宋体" w:eastAsia="宋体" w:cs="宋体"/>
          <w:color w:val="auto"/>
          <w:highlight w:val="none"/>
        </w:rPr>
        <w:t>投标有效期</w:t>
      </w:r>
      <w:bookmarkEnd w:id="116"/>
      <w:bookmarkEnd w:id="117"/>
      <w:bookmarkEnd w:id="118"/>
      <w:bookmarkEnd w:id="119"/>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本招标项目的投标有效期见投标须知前附表第19项。投标有效期从提交投标文件的截止之日起算。</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有效期结束前，出现特殊情况的，招标人应当通过本招标项目发布招标公告的媒介通知所有投标人延长投标有效期。投标人同意延长的，不得修改其投标文件的实质性内容，但应相应延长其投标保证金的有效期；投标人拒绝延长的，其投标失效，但投标人有权收回其投标保证金。因延长投标有效期造成投标人损失的，招标人应当给予补偿，但因不可抗力延长投标有效期的除外。在延长的投标有效期内，本投标须知第18条关于投标保证金的退还与没收的规定仍然适用。</w:t>
      </w:r>
    </w:p>
    <w:p>
      <w:pPr>
        <w:pStyle w:val="8"/>
        <w:numPr>
          <w:ilvl w:val="0"/>
          <w:numId w:val="8"/>
        </w:numPr>
        <w:spacing w:before="0" w:after="0" w:line="360" w:lineRule="atLeast"/>
        <w:rPr>
          <w:rFonts w:hint="eastAsia" w:ascii="宋体" w:hAnsi="宋体" w:eastAsia="宋体" w:cs="宋体"/>
          <w:color w:val="auto"/>
          <w:highlight w:val="none"/>
        </w:rPr>
      </w:pPr>
      <w:bookmarkStart w:id="120" w:name="_Toc215537211"/>
      <w:bookmarkStart w:id="121" w:name="_Toc214954257"/>
      <w:bookmarkStart w:id="122" w:name="_Toc215308784"/>
      <w:bookmarkStart w:id="123" w:name="_Toc63471379"/>
      <w:r>
        <w:rPr>
          <w:rFonts w:hint="eastAsia" w:ascii="宋体" w:hAnsi="宋体" w:eastAsia="宋体" w:cs="宋体"/>
          <w:color w:val="auto"/>
          <w:highlight w:val="none"/>
        </w:rPr>
        <w:t>投标保证金</w:t>
      </w:r>
      <w:bookmarkEnd w:id="120"/>
      <w:bookmarkEnd w:id="121"/>
      <w:bookmarkEnd w:id="122"/>
      <w:bookmarkEnd w:id="123"/>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投标须知前附表第20项规定的金额、方式提交投标保证金，并将相关证明材料扫描件作为其投标文件的组成部分。投标保证金有效期应当与投标有效期一致。联合体投标的，其投标保证金由牵头人递交。</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投标保证金退还</w:t>
      </w:r>
    </w:p>
    <w:p>
      <w:pPr>
        <w:pStyle w:val="35"/>
        <w:numPr>
          <w:ilvl w:val="2"/>
          <w:numId w:val="8"/>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szCs w:val="24"/>
          <w:highlight w:val="none"/>
        </w:rPr>
        <w:t>招标人在中标结果公示期结束后的5日内（因投标人异议或投诉可能造成</w:t>
      </w:r>
      <w:r>
        <w:rPr>
          <w:rFonts w:hint="eastAsia" w:ascii="宋体" w:hAnsi="宋体" w:eastAsia="宋体" w:cs="宋体"/>
          <w:color w:val="auto"/>
          <w:highlight w:val="none"/>
        </w:rPr>
        <w:t>重新评标的，在异议或投诉处理完后5日内），应通知中标候选人以外的投标人到投标保证金的收款单位办理投标保证金退还手续。</w:t>
      </w:r>
    </w:p>
    <w:p>
      <w:pPr>
        <w:pStyle w:val="35"/>
        <w:numPr>
          <w:ilvl w:val="2"/>
          <w:numId w:val="8"/>
        </w:numPr>
        <w:tabs>
          <w:tab w:val="left" w:pos="0"/>
          <w:tab w:val="left" w:pos="800"/>
          <w:tab w:val="left" w:pos="1008"/>
          <w:tab w:val="left" w:pos="1134"/>
          <w:tab w:val="clear" w:pos="993"/>
        </w:tabs>
        <w:spacing w:line="360" w:lineRule="atLeast"/>
        <w:rPr>
          <w:rFonts w:hint="eastAsia" w:ascii="宋体" w:hAnsi="宋体" w:eastAsia="宋体" w:cs="宋体"/>
          <w:color w:val="auto"/>
          <w:szCs w:val="24"/>
          <w:highlight w:val="none"/>
        </w:rPr>
      </w:pPr>
      <w:r>
        <w:rPr>
          <w:rFonts w:hint="eastAsia" w:ascii="宋体" w:hAnsi="宋体" w:eastAsia="宋体" w:cs="宋体"/>
          <w:color w:val="auto"/>
          <w:highlight w:val="none"/>
        </w:rPr>
        <w:t>招标人在与中标人签订合同后的5日内，按本投标须知第18.2.1款规定的办法将投标保证金退还中标人以及其他中标候选人。招标文件中规定中标人需提交履约担保的, 招标人应当在与中标人签订合同且提交履约担保后的5日内, 将投标保证金退还中标人。</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投标人存在下列情形之一的，其投标保证金将不予退还：</w:t>
      </w:r>
    </w:p>
    <w:p>
      <w:pPr>
        <w:pStyle w:val="35"/>
        <w:numPr>
          <w:ilvl w:val="0"/>
          <w:numId w:val="0"/>
        </w:numPr>
        <w:tabs>
          <w:tab w:val="left" w:pos="0"/>
          <w:tab w:val="left" w:pos="510"/>
          <w:tab w:val="left" w:pos="800"/>
          <w:tab w:val="left" w:pos="1008"/>
          <w:tab w:val="left" w:pos="1134"/>
          <w:tab w:val="clear" w:pos="993"/>
        </w:tabs>
        <w:spacing w:line="360" w:lineRule="atLeast"/>
        <w:ind w:left="-21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（1）投标人在投标有效期内撤销其投标文件；</w:t>
      </w:r>
    </w:p>
    <w:p>
      <w:pPr>
        <w:pStyle w:val="35"/>
        <w:numPr>
          <w:ilvl w:val="0"/>
          <w:numId w:val="0"/>
        </w:numPr>
        <w:tabs>
          <w:tab w:val="left" w:pos="0"/>
          <w:tab w:val="left" w:pos="510"/>
          <w:tab w:val="left" w:pos="800"/>
          <w:tab w:val="left" w:pos="1008"/>
          <w:tab w:val="left" w:pos="1134"/>
          <w:tab w:val="clear" w:pos="993"/>
        </w:tabs>
        <w:spacing w:line="360" w:lineRule="atLeast"/>
        <w:ind w:left="-21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（2）中标人非因不可抗力原因放弃中标、无正当理由不与招标人订立合同、在签订合同时向招标人提出附加条件、或者不按照招标文件要求提交履约担保金；</w:t>
      </w:r>
    </w:p>
    <w:p>
      <w:pPr>
        <w:pStyle w:val="35"/>
        <w:numPr>
          <w:ilvl w:val="0"/>
          <w:numId w:val="0"/>
        </w:numPr>
        <w:tabs>
          <w:tab w:val="left" w:pos="0"/>
          <w:tab w:val="left" w:pos="510"/>
          <w:tab w:val="left" w:pos="800"/>
          <w:tab w:val="left" w:pos="1008"/>
          <w:tab w:val="left" w:pos="1134"/>
          <w:tab w:val="clear" w:pos="993"/>
        </w:tabs>
        <w:spacing w:line="360" w:lineRule="atLeast"/>
        <w:ind w:left="-21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）因中标人的违法行为导致中标被依法确认无效；</w:t>
      </w:r>
    </w:p>
    <w:p>
      <w:pPr>
        <w:pStyle w:val="35"/>
        <w:numPr>
          <w:ilvl w:val="0"/>
          <w:numId w:val="0"/>
        </w:numPr>
        <w:tabs>
          <w:tab w:val="left" w:pos="0"/>
          <w:tab w:val="left" w:pos="510"/>
          <w:tab w:val="left" w:pos="800"/>
          <w:tab w:val="left" w:pos="1008"/>
          <w:tab w:val="left" w:pos="1134"/>
          <w:tab w:val="clear" w:pos="993"/>
        </w:tabs>
        <w:spacing w:line="360" w:lineRule="atLeast"/>
        <w:ind w:left="-21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）法律、法规规定的其他情形。</w:t>
      </w:r>
    </w:p>
    <w:p>
      <w:pPr>
        <w:pStyle w:val="8"/>
        <w:numPr>
          <w:ilvl w:val="0"/>
          <w:numId w:val="8"/>
        </w:numPr>
        <w:spacing w:before="0" w:after="0" w:line="360" w:lineRule="atLeast"/>
        <w:rPr>
          <w:rFonts w:hint="eastAsia" w:ascii="宋体" w:hAnsi="宋体" w:eastAsia="宋体" w:cs="宋体"/>
          <w:color w:val="auto"/>
          <w:highlight w:val="none"/>
        </w:rPr>
      </w:pPr>
      <w:bookmarkStart w:id="124" w:name="_Toc215308785"/>
      <w:bookmarkStart w:id="125" w:name="_Toc214954258"/>
      <w:bookmarkStart w:id="126" w:name="_Toc63471380"/>
      <w:bookmarkStart w:id="127" w:name="_Toc215537212"/>
      <w:r>
        <w:rPr>
          <w:rFonts w:hint="eastAsia" w:ascii="宋体" w:hAnsi="宋体" w:eastAsia="宋体" w:cs="宋体"/>
          <w:color w:val="auto"/>
          <w:highlight w:val="none"/>
        </w:rPr>
        <w:t>备选投标方案</w:t>
      </w:r>
      <w:bookmarkEnd w:id="124"/>
      <w:bookmarkEnd w:id="125"/>
      <w:bookmarkEnd w:id="126"/>
      <w:bookmarkEnd w:id="127"/>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投标须知前附表第21项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8"/>
        <w:numPr>
          <w:ilvl w:val="0"/>
          <w:numId w:val="8"/>
        </w:numPr>
        <w:spacing w:before="0" w:after="0" w:line="360" w:lineRule="atLeast"/>
        <w:rPr>
          <w:rFonts w:hint="eastAsia" w:ascii="宋体" w:hAnsi="宋体" w:eastAsia="宋体" w:cs="宋体"/>
          <w:color w:val="auto"/>
          <w:highlight w:val="none"/>
        </w:rPr>
      </w:pPr>
      <w:bookmarkStart w:id="128" w:name="_Toc214954259"/>
      <w:bookmarkStart w:id="129" w:name="_Toc215308786"/>
      <w:bookmarkStart w:id="130" w:name="_Toc215537213"/>
      <w:bookmarkStart w:id="131" w:name="_Toc63471381"/>
      <w:r>
        <w:rPr>
          <w:rFonts w:hint="eastAsia" w:ascii="宋体" w:hAnsi="宋体" w:eastAsia="宋体" w:cs="宋体"/>
          <w:color w:val="auto"/>
          <w:highlight w:val="none"/>
        </w:rPr>
        <w:t>投标文件的编制</w:t>
      </w:r>
      <w:bookmarkEnd w:id="128"/>
      <w:bookmarkEnd w:id="129"/>
      <w:bookmarkEnd w:id="130"/>
      <w:bookmarkEnd w:id="131"/>
      <w:r>
        <w:rPr>
          <w:rFonts w:hint="eastAsia" w:ascii="宋体" w:hAnsi="宋体" w:eastAsia="宋体" w:cs="宋体"/>
          <w:color w:val="auto"/>
          <w:highlight w:val="none"/>
        </w:rPr>
        <w:t>与加密</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招标人要求投标人编制和提交的投标文件内容见投标须知前附表第22项。</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按照招标文件第8章“投标文件格式”规定的格式和内容（表格可以按同样格式扩展，如有必要，可以增加附页，作为投标文件的组成部分）进行编写。投标人应仔细阅读投标文件格式的备注或说明，并按要求提交相关资料。</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double"/>
        </w:rPr>
        <w:t>第8章“投标文件格式”中要求盖单位公章处是指加盖投标人的电子单位公章，个人盖章处是指加盖相应人员的电子姓名章。</w:t>
      </w:r>
    </w:p>
    <w:p>
      <w:pPr>
        <w:pStyle w:val="9"/>
        <w:numPr>
          <w:ilvl w:val="1"/>
          <w:numId w:val="8"/>
        </w:numPr>
        <w:tabs>
          <w:tab w:val="left" w:pos="1000"/>
        </w:tabs>
        <w:snapToGrid w:val="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u w:val="double"/>
        </w:rPr>
        <w:t>招标文件要求提交的证件、单据等证明材料扫描件，应为其原件彩色扫描件。</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投标人应当按投标须知前附表第23项的规定编制与加密投标文件。</w:t>
      </w:r>
    </w:p>
    <w:p>
      <w:pPr>
        <w:pStyle w:val="6"/>
        <w:spacing w:before="0" w:line="360" w:lineRule="atLeast"/>
        <w:jc w:val="center"/>
        <w:rPr>
          <w:rFonts w:hint="eastAsia" w:ascii="宋体" w:hAnsi="宋体" w:eastAsia="宋体" w:cs="宋体"/>
          <w:color w:val="auto"/>
          <w:highlight w:val="none"/>
        </w:rPr>
      </w:pPr>
      <w:bookmarkStart w:id="132" w:name="_Toc17456"/>
      <w:bookmarkStart w:id="133" w:name="_Toc200777769"/>
      <w:bookmarkStart w:id="134" w:name="_Toc2754"/>
      <w:bookmarkStart w:id="135" w:name="_Toc215537214"/>
      <w:bookmarkStart w:id="136" w:name="_Toc95912227"/>
      <w:bookmarkStart w:id="137" w:name="_Toc26994"/>
      <w:bookmarkStart w:id="138" w:name="_Toc215308787"/>
      <w:bookmarkStart w:id="139" w:name="_Toc214954260"/>
      <w:bookmarkStart w:id="140" w:name="_Toc4967"/>
      <w:bookmarkStart w:id="141" w:name="_Toc30826"/>
      <w:bookmarkStart w:id="142" w:name="_Toc63471382"/>
      <w:bookmarkStart w:id="143" w:name="_Toc16145"/>
      <w:r>
        <w:rPr>
          <w:rFonts w:hint="eastAsia" w:ascii="宋体" w:hAnsi="宋体" w:eastAsia="宋体" w:cs="宋体"/>
          <w:color w:val="auto"/>
          <w:highlight w:val="none"/>
        </w:rPr>
        <w:t>（四）投    标</w:t>
      </w:r>
      <w:bookmarkEnd w:id="132"/>
      <w:bookmarkEnd w:id="133"/>
      <w:bookmarkEnd w:id="134"/>
      <w:bookmarkEnd w:id="135"/>
      <w:bookmarkEnd w:id="136"/>
      <w:bookmarkEnd w:id="137"/>
      <w:bookmarkEnd w:id="138"/>
      <w:bookmarkEnd w:id="139"/>
      <w:bookmarkEnd w:id="140"/>
      <w:bookmarkEnd w:id="141"/>
      <w:bookmarkEnd w:id="142"/>
      <w:bookmarkEnd w:id="143"/>
    </w:p>
    <w:p>
      <w:pPr>
        <w:pStyle w:val="8"/>
        <w:numPr>
          <w:ilvl w:val="0"/>
          <w:numId w:val="8"/>
        </w:numPr>
        <w:spacing w:before="0" w:after="0" w:line="360" w:lineRule="atLeast"/>
        <w:rPr>
          <w:rFonts w:hint="eastAsia" w:ascii="宋体" w:hAnsi="宋体" w:eastAsia="宋体" w:cs="宋体"/>
          <w:color w:val="auto"/>
          <w:highlight w:val="none"/>
        </w:rPr>
      </w:pPr>
      <w:bookmarkStart w:id="144" w:name="_Toc63471385"/>
      <w:bookmarkStart w:id="145" w:name="_Toc215308789"/>
      <w:bookmarkStart w:id="146" w:name="_Toc214954262"/>
      <w:bookmarkStart w:id="147" w:name="_Toc215537216"/>
      <w:r>
        <w:rPr>
          <w:rFonts w:hint="eastAsia" w:ascii="宋体" w:hAnsi="宋体" w:eastAsia="宋体" w:cs="宋体"/>
          <w:color w:val="auto"/>
          <w:highlight w:val="none"/>
        </w:rPr>
        <w:t>投标文件的</w:t>
      </w:r>
      <w:bookmarkEnd w:id="144"/>
      <w:bookmarkEnd w:id="145"/>
      <w:bookmarkEnd w:id="146"/>
      <w:bookmarkEnd w:id="147"/>
      <w:r>
        <w:rPr>
          <w:rFonts w:hint="eastAsia" w:ascii="宋体" w:hAnsi="宋体" w:eastAsia="宋体" w:cs="宋体"/>
          <w:color w:val="auto"/>
          <w:highlight w:val="none"/>
        </w:rPr>
        <w:t>递交</w:t>
      </w:r>
    </w:p>
    <w:p>
      <w:pPr>
        <w:pStyle w:val="9"/>
        <w:numPr>
          <w:ilvl w:val="1"/>
          <w:numId w:val="8"/>
        </w:numPr>
        <w:tabs>
          <w:tab w:val="left" w:pos="1000"/>
        </w:tabs>
        <w:snapToGrid w:val="0"/>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投标人应当在电子交易平台注册登记，如实递交有关信息，并经电子交易平台运营机构验证。</w:t>
      </w:r>
    </w:p>
    <w:p>
      <w:pPr>
        <w:pStyle w:val="9"/>
        <w:numPr>
          <w:ilvl w:val="1"/>
          <w:numId w:val="8"/>
        </w:numPr>
        <w:tabs>
          <w:tab w:val="left" w:pos="1000"/>
        </w:tabs>
        <w:snapToGrid w:val="0"/>
        <w:rPr>
          <w:rFonts w:hint="eastAsia" w:ascii="宋体" w:hAnsi="宋体" w:eastAsia="宋体" w:cs="宋体"/>
          <w:b/>
          <w:bCs/>
          <w:iCs/>
          <w:color w:val="auto"/>
          <w:sz w:val="24"/>
          <w:szCs w:val="24"/>
          <w:highlight w:val="none"/>
          <w:u w:val="double"/>
        </w:rPr>
      </w:pPr>
      <w:r>
        <w:rPr>
          <w:rFonts w:hint="eastAsia" w:ascii="宋体" w:hAnsi="宋体" w:eastAsia="宋体" w:cs="宋体"/>
          <w:b/>
          <w:bCs/>
          <w:iCs/>
          <w:color w:val="auto"/>
          <w:sz w:val="24"/>
          <w:szCs w:val="24"/>
          <w:highlight w:val="none"/>
          <w:u w:val="double"/>
        </w:rPr>
        <w:t>投标人应当通过投标须知前附表第7项规定的电子交易平台递交投标文件。</w:t>
      </w:r>
    </w:p>
    <w:p>
      <w:pPr>
        <w:pStyle w:val="9"/>
        <w:numPr>
          <w:ilvl w:val="1"/>
          <w:numId w:val="8"/>
        </w:numPr>
        <w:tabs>
          <w:tab w:val="left" w:pos="1000"/>
        </w:tabs>
        <w:snapToGrid w:val="0"/>
        <w:rPr>
          <w:rFonts w:hint="eastAsia" w:ascii="宋体" w:hAnsi="宋体" w:eastAsia="宋体" w:cs="宋体"/>
          <w:b/>
          <w:bCs/>
          <w:iCs/>
          <w:color w:val="auto"/>
          <w:sz w:val="24"/>
          <w:szCs w:val="24"/>
          <w:highlight w:val="none"/>
          <w:u w:val="double"/>
        </w:rPr>
      </w:pPr>
      <w:r>
        <w:rPr>
          <w:rFonts w:hint="eastAsia" w:ascii="宋体" w:hAnsi="宋体" w:eastAsia="宋体" w:cs="宋体"/>
          <w:b/>
          <w:bCs/>
          <w:iCs/>
          <w:color w:val="auto"/>
          <w:sz w:val="24"/>
          <w:szCs w:val="24"/>
          <w:highlight w:val="none"/>
          <w:u w:val="double"/>
        </w:rPr>
        <w:t>投标人应在投标须知前附表第17项规定的投标截止时间前，完成投标文件的传输递交。投标截止时间前未完成投标文件传输的，视为撤回投标文件。投标截止时间后送达的投标文件，电子交易平台应当拒收。投标截止时间前可以对已经递交的投标文件进行替换或者撤回。</w:t>
      </w:r>
    </w:p>
    <w:p>
      <w:pPr>
        <w:pStyle w:val="9"/>
        <w:numPr>
          <w:ilvl w:val="1"/>
          <w:numId w:val="8"/>
        </w:numPr>
        <w:tabs>
          <w:tab w:val="left" w:pos="1000"/>
        </w:tabs>
        <w:snapToGrid w:val="0"/>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电子交易平台在投标截止时间前收到投标人送达的投标文件，应当即时向投标人发出确认回执通知，并妥善保存投标文件。</w:t>
      </w:r>
    </w:p>
    <w:p>
      <w:pPr>
        <w:pStyle w:val="9"/>
        <w:numPr>
          <w:ilvl w:val="1"/>
          <w:numId w:val="8"/>
        </w:numPr>
        <w:tabs>
          <w:tab w:val="left" w:pos="1000"/>
        </w:tabs>
        <w:snapToGrid w:val="0"/>
        <w:rPr>
          <w:rFonts w:hint="eastAsia" w:ascii="宋体" w:hAnsi="宋体" w:eastAsia="宋体" w:cs="宋体"/>
          <w:bCs/>
          <w:iCs/>
          <w:color w:val="auto"/>
          <w:sz w:val="24"/>
          <w:szCs w:val="24"/>
          <w:highlight w:val="none"/>
        </w:rPr>
      </w:pPr>
      <w:r>
        <w:rPr>
          <w:rFonts w:hint="eastAsia" w:ascii="宋体" w:hAnsi="宋体" w:eastAsia="宋体" w:cs="宋体"/>
          <w:color w:val="auto"/>
          <w:sz w:val="24"/>
          <w:szCs w:val="24"/>
          <w:highlight w:val="none"/>
        </w:rPr>
        <w:t>投标人所提交的投标文件均不予退还。</w:t>
      </w:r>
    </w:p>
    <w:p>
      <w:pPr>
        <w:pStyle w:val="9"/>
        <w:numPr>
          <w:ilvl w:val="1"/>
          <w:numId w:val="8"/>
        </w:numPr>
        <w:tabs>
          <w:tab w:val="left" w:pos="1000"/>
        </w:tabs>
        <w:snapToGrid w:val="0"/>
        <w:rPr>
          <w:rFonts w:hint="eastAsia" w:ascii="宋体" w:hAnsi="宋体" w:eastAsia="宋体" w:cs="宋体"/>
          <w:bCs/>
          <w:iCs/>
          <w:color w:val="auto"/>
          <w:sz w:val="24"/>
          <w:szCs w:val="24"/>
          <w:highlight w:val="none"/>
        </w:rPr>
      </w:pPr>
      <w:r>
        <w:rPr>
          <w:rFonts w:hint="eastAsia" w:ascii="宋体" w:hAnsi="宋体" w:eastAsia="宋体" w:cs="宋体"/>
          <w:color w:val="auto"/>
          <w:sz w:val="24"/>
          <w:szCs w:val="24"/>
          <w:highlight w:val="none"/>
        </w:rPr>
        <w:t>到投标截止时间止，递交投标文件的投标人少于3个的，不得开标；招标人应当重新招标。</w:t>
      </w:r>
    </w:p>
    <w:p>
      <w:pPr>
        <w:pStyle w:val="6"/>
        <w:spacing w:before="0" w:line="360" w:lineRule="atLeast"/>
        <w:jc w:val="center"/>
        <w:rPr>
          <w:rFonts w:hint="eastAsia" w:ascii="宋体" w:hAnsi="宋体" w:eastAsia="宋体" w:cs="宋体"/>
          <w:color w:val="auto"/>
          <w:highlight w:val="none"/>
        </w:rPr>
      </w:pPr>
      <w:bookmarkStart w:id="148" w:name="_Toc7483"/>
      <w:bookmarkStart w:id="149" w:name="_Toc31699"/>
      <w:bookmarkStart w:id="150" w:name="_Toc215308791"/>
      <w:bookmarkStart w:id="151" w:name="_Toc18231"/>
      <w:bookmarkStart w:id="152" w:name="_Toc214954264"/>
      <w:bookmarkStart w:id="153" w:name="_Toc200777770"/>
      <w:bookmarkStart w:id="154" w:name="_Toc63471387"/>
      <w:bookmarkStart w:id="155" w:name="_Toc95912228"/>
      <w:bookmarkStart w:id="156" w:name="_Toc29172"/>
      <w:bookmarkStart w:id="157" w:name="_Toc16281"/>
      <w:bookmarkStart w:id="158" w:name="_Toc11245"/>
      <w:bookmarkStart w:id="159" w:name="_Toc215537218"/>
      <w:r>
        <w:rPr>
          <w:rFonts w:hint="eastAsia" w:ascii="宋体" w:hAnsi="宋体" w:eastAsia="宋体" w:cs="宋体"/>
          <w:color w:val="auto"/>
          <w:highlight w:val="none"/>
        </w:rPr>
        <w:t>（五）开    标</w:t>
      </w:r>
      <w:bookmarkEnd w:id="148"/>
      <w:bookmarkEnd w:id="149"/>
      <w:bookmarkEnd w:id="150"/>
      <w:bookmarkEnd w:id="151"/>
      <w:bookmarkEnd w:id="152"/>
      <w:bookmarkEnd w:id="153"/>
      <w:bookmarkEnd w:id="154"/>
      <w:bookmarkEnd w:id="155"/>
      <w:bookmarkEnd w:id="156"/>
      <w:bookmarkEnd w:id="157"/>
      <w:bookmarkEnd w:id="158"/>
      <w:bookmarkEnd w:id="159"/>
    </w:p>
    <w:p>
      <w:pPr>
        <w:pStyle w:val="8"/>
        <w:numPr>
          <w:ilvl w:val="0"/>
          <w:numId w:val="8"/>
        </w:numPr>
        <w:spacing w:before="0" w:after="0" w:line="360" w:lineRule="atLeast"/>
        <w:rPr>
          <w:rFonts w:hint="eastAsia" w:ascii="宋体" w:hAnsi="宋体" w:eastAsia="宋体" w:cs="宋体"/>
          <w:color w:val="auto"/>
          <w:highlight w:val="none"/>
        </w:rPr>
      </w:pPr>
      <w:bookmarkStart w:id="160" w:name="_Toc215308792"/>
      <w:bookmarkStart w:id="161" w:name="_Toc214954265"/>
      <w:bookmarkStart w:id="162" w:name="_Toc63471388"/>
      <w:bookmarkStart w:id="163" w:name="_Toc215537219"/>
      <w:r>
        <w:rPr>
          <w:rFonts w:hint="eastAsia" w:ascii="宋体" w:hAnsi="宋体" w:eastAsia="宋体" w:cs="宋体"/>
          <w:color w:val="auto"/>
          <w:highlight w:val="none"/>
        </w:rPr>
        <w:t>开标程序</w:t>
      </w:r>
      <w:bookmarkEnd w:id="160"/>
      <w:bookmarkEnd w:id="161"/>
      <w:bookmarkEnd w:id="162"/>
      <w:bookmarkEnd w:id="163"/>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招标人按投标须知前附表第2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项所规定的时间在电子交易平台公开进行在线开标，所有投标人均应当准时在线参加开标。</w:t>
      </w:r>
    </w:p>
    <w:p>
      <w:pPr>
        <w:pStyle w:val="9"/>
        <w:numPr>
          <w:ilvl w:val="1"/>
          <w:numId w:val="8"/>
        </w:numPr>
        <w:tabs>
          <w:tab w:val="left" w:pos="1000"/>
          <w:tab w:val="clear" w:pos="567"/>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开标时，电子交易平台自动提取所有投标文件，提示招标人和投标人按投标须知前附表第2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规定的方式按时在线解密。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投标文件解密失败的补救方案详见投标须知前附表第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所有投标人的代表号由电子交易平台自动生成。</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解密程序完成后，由电子交易平台自动生成《开标记录表》并向所有投标人公布。</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设有随机参数的，公开抽取确定（招标文件第3章“评标办法和标准”对随机参数抽取时间另有规定的，从其规定）。</w:t>
      </w:r>
    </w:p>
    <w:p>
      <w:pPr>
        <w:pStyle w:val="6"/>
        <w:spacing w:before="0" w:line="360" w:lineRule="atLeast"/>
        <w:jc w:val="center"/>
        <w:rPr>
          <w:rFonts w:hint="eastAsia" w:ascii="宋体" w:hAnsi="宋体" w:eastAsia="宋体" w:cs="宋体"/>
          <w:color w:val="auto"/>
          <w:highlight w:val="none"/>
        </w:rPr>
      </w:pPr>
      <w:bookmarkStart w:id="164" w:name="_Toc18202"/>
      <w:bookmarkStart w:id="165" w:name="_Toc10577"/>
      <w:bookmarkStart w:id="166" w:name="_Toc215537221"/>
      <w:bookmarkStart w:id="167" w:name="_Toc17534"/>
      <w:bookmarkStart w:id="168" w:name="_Toc20194"/>
      <w:bookmarkStart w:id="169" w:name="_Toc4264"/>
      <w:bookmarkStart w:id="170" w:name="_Toc32105"/>
      <w:bookmarkStart w:id="171" w:name="_Toc63471390"/>
      <w:bookmarkStart w:id="172" w:name="_Toc214954267"/>
      <w:bookmarkStart w:id="173" w:name="_Toc95912229"/>
      <w:bookmarkStart w:id="174" w:name="_Toc200777771"/>
      <w:bookmarkStart w:id="175" w:name="_Toc215308794"/>
      <w:r>
        <w:rPr>
          <w:rFonts w:hint="eastAsia" w:ascii="宋体" w:hAnsi="宋体" w:eastAsia="宋体" w:cs="宋体"/>
          <w:color w:val="auto"/>
          <w:highlight w:val="none"/>
        </w:rPr>
        <w:t>（六）评    标</w:t>
      </w:r>
      <w:bookmarkEnd w:id="164"/>
      <w:bookmarkEnd w:id="165"/>
      <w:bookmarkEnd w:id="166"/>
      <w:bookmarkEnd w:id="167"/>
      <w:bookmarkEnd w:id="168"/>
      <w:bookmarkEnd w:id="169"/>
      <w:bookmarkEnd w:id="170"/>
      <w:bookmarkEnd w:id="171"/>
      <w:bookmarkEnd w:id="172"/>
      <w:bookmarkEnd w:id="173"/>
      <w:bookmarkEnd w:id="174"/>
      <w:bookmarkEnd w:id="175"/>
    </w:p>
    <w:p>
      <w:pPr>
        <w:pStyle w:val="8"/>
        <w:numPr>
          <w:ilvl w:val="0"/>
          <w:numId w:val="8"/>
        </w:numPr>
        <w:spacing w:before="0" w:after="0" w:line="360" w:lineRule="atLeast"/>
        <w:rPr>
          <w:rFonts w:hint="eastAsia" w:ascii="宋体" w:hAnsi="宋体" w:eastAsia="宋体" w:cs="宋体"/>
          <w:color w:val="auto"/>
          <w:highlight w:val="none"/>
        </w:rPr>
      </w:pPr>
      <w:bookmarkStart w:id="176" w:name="_Toc214954268"/>
      <w:bookmarkStart w:id="177" w:name="_Toc215537222"/>
      <w:bookmarkStart w:id="178" w:name="_Toc63471391"/>
      <w:bookmarkStart w:id="179" w:name="_Toc215308795"/>
      <w:r>
        <w:rPr>
          <w:rFonts w:hint="eastAsia" w:ascii="宋体" w:hAnsi="宋体" w:eastAsia="宋体" w:cs="宋体"/>
          <w:color w:val="auto"/>
          <w:highlight w:val="none"/>
        </w:rPr>
        <w:t>评标委员会</w:t>
      </w:r>
      <w:bookmarkEnd w:id="176"/>
      <w:bookmarkEnd w:id="177"/>
      <w:bookmarkEnd w:id="178"/>
      <w:bookmarkEnd w:id="179"/>
    </w:p>
    <w:p>
      <w:pPr>
        <w:pStyle w:val="9"/>
        <w:numPr>
          <w:ilvl w:val="1"/>
          <w:numId w:val="8"/>
        </w:numPr>
        <w:tabs>
          <w:tab w:val="left" w:pos="1000"/>
        </w:tabs>
        <w:snapToGrid w:val="0"/>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评标委员会成员人数以及技术、经济等方面专家的确定方式见</w:t>
      </w:r>
      <w:r>
        <w:rPr>
          <w:rFonts w:hint="eastAsia" w:ascii="宋体" w:hAnsi="宋体" w:eastAsia="宋体" w:cs="宋体"/>
          <w:color w:val="auto"/>
          <w:sz w:val="24"/>
          <w:szCs w:val="24"/>
          <w:highlight w:val="none"/>
        </w:rPr>
        <w:t>投标须知前附表第2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p>
      <w:pPr>
        <w:pStyle w:val="9"/>
        <w:numPr>
          <w:ilvl w:val="1"/>
          <w:numId w:val="8"/>
        </w:numPr>
        <w:tabs>
          <w:tab w:val="left" w:pos="1000"/>
        </w:tabs>
        <w:snapToGrid w:val="0"/>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评标委员会由招标人的代表和有关技术、经济等方面的专家组成，成员人数为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人（含）以上单数。</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评标委员会成员有下列情形之一的，应当回避：</w:t>
      </w:r>
    </w:p>
    <w:p>
      <w:pPr>
        <w:pStyle w:val="35"/>
        <w:numPr>
          <w:ilvl w:val="7"/>
          <w:numId w:val="12"/>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szCs w:val="24"/>
          <w:highlight w:val="none"/>
        </w:rPr>
        <w:t>招标人</w:t>
      </w:r>
      <w:r>
        <w:rPr>
          <w:rFonts w:hint="eastAsia" w:ascii="宋体" w:hAnsi="宋体" w:eastAsia="宋体" w:cs="宋体"/>
          <w:color w:val="auto"/>
          <w:highlight w:val="none"/>
        </w:rPr>
        <w:t>或投标人的主要负责人的近亲属；</w:t>
      </w:r>
    </w:p>
    <w:p>
      <w:pPr>
        <w:pStyle w:val="35"/>
        <w:numPr>
          <w:ilvl w:val="7"/>
          <w:numId w:val="12"/>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项目主管部门或者行政监督部门的人员；</w:t>
      </w:r>
    </w:p>
    <w:p>
      <w:pPr>
        <w:pStyle w:val="35"/>
        <w:numPr>
          <w:ilvl w:val="7"/>
          <w:numId w:val="12"/>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与投标人有利害关系的；</w:t>
      </w:r>
    </w:p>
    <w:p>
      <w:pPr>
        <w:pStyle w:val="35"/>
        <w:numPr>
          <w:ilvl w:val="7"/>
          <w:numId w:val="12"/>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与投标人有经济利益关系，可能影响对投标公正评审的；</w:t>
      </w:r>
    </w:p>
    <w:p>
      <w:pPr>
        <w:pStyle w:val="35"/>
        <w:numPr>
          <w:ilvl w:val="7"/>
          <w:numId w:val="12"/>
        </w:numPr>
        <w:tabs>
          <w:tab w:val="left" w:pos="0"/>
          <w:tab w:val="left" w:pos="800"/>
          <w:tab w:val="left" w:pos="1008"/>
          <w:tab w:val="left" w:pos="1134"/>
          <w:tab w:val="clear" w:pos="993"/>
        </w:tabs>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曾因在招标、评标以及其他与招标投标有关活动中从事违法行为而受过行政处罚或刑事处罚的。</w:t>
      </w:r>
    </w:p>
    <w:p>
      <w:pPr>
        <w:pStyle w:val="9"/>
        <w:numPr>
          <w:ilvl w:val="1"/>
          <w:numId w:val="8"/>
        </w:numPr>
        <w:tabs>
          <w:tab w:val="left" w:pos="1000"/>
        </w:tabs>
        <w:snapToGrid w:val="0"/>
        <w:ind w:left="0"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在评标委员会成员进入评标室前，招标人及招标代理机构的相关人员不得将评标项目及相关信息泄露给评标委员会成员。评标委员会成员的名单在中标结果确定之前应当保密。</w:t>
      </w:r>
    </w:p>
    <w:p>
      <w:pPr>
        <w:pStyle w:val="9"/>
        <w:numPr>
          <w:ilvl w:val="1"/>
          <w:numId w:val="8"/>
        </w:numPr>
        <w:tabs>
          <w:tab w:val="left" w:pos="1000"/>
        </w:tabs>
        <w:snapToGrid w:val="0"/>
        <w:ind w:left="0"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评标委员会负责人负责组织开展评标活动，对在评标过程中产生的问题提请评标委员会讨论、表决，组织编写评标报告。评标委员会负责人与评标委员会的其他成员享有同等表决权。</w:t>
      </w:r>
    </w:p>
    <w:p>
      <w:pPr>
        <w:pStyle w:val="8"/>
        <w:numPr>
          <w:ilvl w:val="0"/>
          <w:numId w:val="8"/>
        </w:numPr>
        <w:spacing w:before="0" w:after="0" w:line="360" w:lineRule="atLeast"/>
        <w:rPr>
          <w:rFonts w:hint="eastAsia" w:ascii="宋体" w:hAnsi="宋体" w:eastAsia="宋体" w:cs="宋体"/>
          <w:color w:val="auto"/>
          <w:highlight w:val="none"/>
        </w:rPr>
      </w:pPr>
      <w:bookmarkStart w:id="180" w:name="_Toc215308796"/>
      <w:bookmarkStart w:id="181" w:name="_Toc215537223"/>
      <w:bookmarkStart w:id="182" w:name="_Toc214954269"/>
      <w:bookmarkStart w:id="183" w:name="_Toc63471392"/>
      <w:r>
        <w:rPr>
          <w:rFonts w:hint="eastAsia" w:ascii="宋体" w:hAnsi="宋体" w:eastAsia="宋体" w:cs="宋体"/>
          <w:color w:val="auto"/>
          <w:highlight w:val="none"/>
        </w:rPr>
        <w:t>评标原则</w:t>
      </w:r>
      <w:bookmarkEnd w:id="180"/>
      <w:bookmarkEnd w:id="181"/>
      <w:bookmarkEnd w:id="182"/>
      <w:bookmarkEnd w:id="183"/>
    </w:p>
    <w:p>
      <w:pPr>
        <w:pStyle w:val="9"/>
        <w:tabs>
          <w:tab w:val="left" w:pos="10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评标活动遵循公平、公正、科学、择优的原则。</w:t>
      </w:r>
    </w:p>
    <w:p>
      <w:pPr>
        <w:pStyle w:val="8"/>
        <w:numPr>
          <w:ilvl w:val="0"/>
          <w:numId w:val="8"/>
        </w:numPr>
        <w:spacing w:before="0" w:after="0" w:line="360" w:lineRule="atLeast"/>
        <w:rPr>
          <w:rFonts w:hint="eastAsia" w:ascii="宋体" w:hAnsi="宋体" w:eastAsia="宋体" w:cs="宋体"/>
          <w:color w:val="auto"/>
          <w:highlight w:val="none"/>
        </w:rPr>
      </w:pPr>
      <w:bookmarkStart w:id="184" w:name="_Toc215308797"/>
      <w:bookmarkStart w:id="185" w:name="_Toc214954270"/>
      <w:bookmarkStart w:id="186" w:name="_Toc215537224"/>
      <w:bookmarkStart w:id="187" w:name="_Toc63471393"/>
      <w:r>
        <w:rPr>
          <w:rFonts w:hint="eastAsia" w:ascii="宋体" w:hAnsi="宋体" w:eastAsia="宋体" w:cs="宋体"/>
          <w:color w:val="auto"/>
          <w:highlight w:val="none"/>
        </w:rPr>
        <w:t>评标</w:t>
      </w:r>
      <w:bookmarkEnd w:id="184"/>
      <w:bookmarkEnd w:id="185"/>
      <w:bookmarkEnd w:id="186"/>
      <w:bookmarkEnd w:id="187"/>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本招标项目采用的评标办法见投标须知前附表第</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项。</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评标委员会及其成员在评标过程中应当遵守下列工作规则：</w:t>
      </w:r>
    </w:p>
    <w:p>
      <w:pPr>
        <w:pStyle w:val="35"/>
        <w:numPr>
          <w:ilvl w:val="2"/>
          <w:numId w:val="8"/>
        </w:numPr>
        <w:tabs>
          <w:tab w:val="left" w:pos="0"/>
          <w:tab w:val="left" w:pos="800"/>
          <w:tab w:val="left" w:pos="1008"/>
          <w:tab w:val="left" w:pos="1134"/>
          <w:tab w:val="clear" w:pos="993"/>
        </w:tabs>
        <w:spacing w:line="36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评标委员会成员在评标前应当认真研究招标文件，至少应了解和熟悉本工程招标的目标、范围、性质、主要技术要求、标准、商务条款以及评标定标程序、标准、方法和在评标过程中考虑的相关因素。</w:t>
      </w:r>
    </w:p>
    <w:p>
      <w:pPr>
        <w:pStyle w:val="35"/>
        <w:numPr>
          <w:ilvl w:val="2"/>
          <w:numId w:val="8"/>
        </w:numPr>
        <w:tabs>
          <w:tab w:val="left" w:pos="0"/>
          <w:tab w:val="left" w:pos="800"/>
          <w:tab w:val="left" w:pos="1008"/>
          <w:tab w:val="left" w:pos="1134"/>
          <w:tab w:val="clear" w:pos="993"/>
        </w:tabs>
        <w:spacing w:line="36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应当按照招标文件第3章“评标办法和标准”规定的方法、评审因素、标准和程序，客观、公正地对投标文件提出评审意见。招标文件第3章“评标办法和标准”没有规定的方法、评审因素和标准，不得作为评标的依据。</w:t>
      </w:r>
    </w:p>
    <w:p>
      <w:pPr>
        <w:pStyle w:val="35"/>
        <w:numPr>
          <w:ilvl w:val="2"/>
          <w:numId w:val="8"/>
        </w:numPr>
        <w:tabs>
          <w:tab w:val="left" w:pos="0"/>
          <w:tab w:val="left" w:pos="800"/>
          <w:tab w:val="left" w:pos="1008"/>
          <w:tab w:val="left" w:pos="1134"/>
          <w:tab w:val="clear" w:pos="993"/>
        </w:tabs>
        <w:spacing w:line="36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应当对电子招标投标交易平台提供的各项数据、分析结果进行审查、确认，核对交易平台按照招标文件设置的评标参数是否与招标文件（含招标文件的澄清、修改）规定的评标办法和标准一致。如有不一致，应要求招标人修正评标参数，经评标委员会核实无误后方可评标。</w:t>
      </w:r>
    </w:p>
    <w:p>
      <w:pPr>
        <w:pStyle w:val="35"/>
        <w:numPr>
          <w:ilvl w:val="2"/>
          <w:numId w:val="8"/>
        </w:numPr>
        <w:tabs>
          <w:tab w:val="left" w:pos="0"/>
          <w:tab w:val="left" w:pos="800"/>
          <w:tab w:val="left" w:pos="1008"/>
          <w:tab w:val="left" w:pos="1134"/>
          <w:tab w:val="clear" w:pos="993"/>
        </w:tabs>
        <w:spacing w:line="36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招标人应当根据项目规模和技术复杂程度等因素合理确定评标时间。超过三分之一的评标委员会成员认为评标时间不够的，招标人应当适当延长。</w:t>
      </w:r>
    </w:p>
    <w:p>
      <w:pPr>
        <w:pStyle w:val="35"/>
        <w:numPr>
          <w:ilvl w:val="2"/>
          <w:numId w:val="8"/>
        </w:numPr>
        <w:tabs>
          <w:tab w:val="left" w:pos="0"/>
          <w:tab w:val="left" w:pos="800"/>
          <w:tab w:val="left" w:pos="1008"/>
          <w:tab w:val="left" w:pos="1134"/>
          <w:tab w:val="clear" w:pos="993"/>
        </w:tabs>
        <w:spacing w:line="36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评标过程中，评标委员会成员有回避事由、擅离职守或者因健康等原因不能继续评标的，应当及时更换。被更换的评标委员会成员作出的评审结论无效，由更换后的评标委员会成员重新进行评审。</w:t>
      </w:r>
    </w:p>
    <w:p>
      <w:pPr>
        <w:pStyle w:val="35"/>
        <w:numPr>
          <w:ilvl w:val="2"/>
          <w:numId w:val="8"/>
        </w:numPr>
        <w:tabs>
          <w:tab w:val="left" w:pos="0"/>
          <w:tab w:val="left" w:pos="800"/>
          <w:tab w:val="left" w:pos="1008"/>
          <w:tab w:val="left" w:pos="1134"/>
          <w:tab w:val="clear" w:pos="993"/>
        </w:tabs>
        <w:spacing w:line="36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中有含义不明确的内容、明显文字或者计算错误，评标委员会认为需要投标人作出必要澄清、说明或者补正的，应当通过电子交易平台发出。投标人应当按照评标委员会的要求使用CA证书并通过电子交易平台回复，并不得超出投标文件的范围或者改变投标文件的实质性内容。</w:t>
      </w:r>
      <w:r>
        <w:rPr>
          <w:rFonts w:hint="eastAsia" w:ascii="宋体" w:hAnsi="宋体" w:eastAsia="宋体" w:cs="宋体"/>
          <w:b/>
          <w:color w:val="auto"/>
          <w:szCs w:val="24"/>
          <w:highlight w:val="none"/>
          <w:u w:val="double"/>
        </w:rPr>
        <w:t>投标人拒不按照要求对投标文件进行澄清、说明或者补正的，评标委员会可否决其投标。</w:t>
      </w:r>
      <w:r>
        <w:rPr>
          <w:rFonts w:hint="eastAsia" w:ascii="宋体" w:hAnsi="宋体" w:eastAsia="宋体" w:cs="宋体"/>
          <w:color w:val="auto"/>
          <w:szCs w:val="24"/>
          <w:highlight w:val="none"/>
        </w:rPr>
        <w:t>投标人回复澄清、说明或者补正的时限要求见投标须知前附表第</w:t>
      </w:r>
      <w:r>
        <w:rPr>
          <w:rFonts w:hint="eastAsia" w:ascii="宋体" w:hAnsi="宋体" w:eastAsia="宋体" w:cs="宋体"/>
          <w:color w:val="auto"/>
          <w:szCs w:val="24"/>
          <w:highlight w:val="none"/>
          <w:lang w:val="en-US" w:eastAsia="zh-CN"/>
        </w:rPr>
        <w:t>29</w:t>
      </w:r>
      <w:r>
        <w:rPr>
          <w:rFonts w:hint="eastAsia" w:ascii="宋体" w:hAnsi="宋体" w:eastAsia="宋体" w:cs="宋体"/>
          <w:color w:val="auto"/>
          <w:szCs w:val="24"/>
          <w:highlight w:val="none"/>
        </w:rPr>
        <w:t>项。</w:t>
      </w:r>
    </w:p>
    <w:p>
      <w:pPr>
        <w:pStyle w:val="35"/>
        <w:numPr>
          <w:ilvl w:val="2"/>
          <w:numId w:val="8"/>
        </w:numPr>
        <w:tabs>
          <w:tab w:val="left" w:pos="0"/>
          <w:tab w:val="left" w:pos="800"/>
          <w:tab w:val="left" w:pos="1008"/>
          <w:tab w:val="left" w:pos="1134"/>
          <w:tab w:val="clear" w:pos="993"/>
        </w:tabs>
        <w:spacing w:line="36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招标文件条款存在含义不清或者相互矛盾的，评标委员会应当针对相应条款作出有利于相应投标人的结论。</w:t>
      </w:r>
    </w:p>
    <w:p>
      <w:pPr>
        <w:pStyle w:val="35"/>
        <w:numPr>
          <w:ilvl w:val="2"/>
          <w:numId w:val="8"/>
        </w:numPr>
        <w:tabs>
          <w:tab w:val="left" w:pos="0"/>
          <w:tab w:val="left" w:pos="800"/>
          <w:tab w:val="left" w:pos="1008"/>
          <w:tab w:val="left" w:pos="1134"/>
          <w:tab w:val="clear" w:pos="993"/>
        </w:tabs>
        <w:spacing w:line="36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成员的评审意见不一致时，应以表决方式并按照少数服从多数的原则处理。对评标结果有不同意见的，应当在评标报告说明其不同意见和理由。评标委员会成员拒绝在评标报告上签字又不在评标报告说明其不同意见和理由的，视为同意评标结果。</w:t>
      </w:r>
    </w:p>
    <w:p>
      <w:pPr>
        <w:pStyle w:val="35"/>
        <w:numPr>
          <w:ilvl w:val="2"/>
          <w:numId w:val="8"/>
        </w:numPr>
        <w:tabs>
          <w:tab w:val="left" w:pos="0"/>
          <w:tab w:val="left" w:pos="800"/>
          <w:tab w:val="left" w:pos="1008"/>
          <w:tab w:val="left" w:pos="1134"/>
          <w:tab w:val="clear" w:pos="993"/>
        </w:tabs>
        <w:spacing w:line="36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对否决的投标或不采信投标人说明的情况，评标委员会应当在评标报告中作详细说明。</w:t>
      </w:r>
    </w:p>
    <w:p>
      <w:pPr>
        <w:pStyle w:val="35"/>
        <w:numPr>
          <w:ilvl w:val="2"/>
          <w:numId w:val="8"/>
        </w:numPr>
        <w:tabs>
          <w:tab w:val="left" w:pos="0"/>
          <w:tab w:val="left" w:pos="800"/>
          <w:tab w:val="left" w:pos="1008"/>
          <w:tab w:val="left" w:pos="1134"/>
          <w:tab w:val="clear" w:pos="993"/>
        </w:tabs>
        <w:spacing w:line="36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通过评审合格的投标人少于3家（不含3家），评标委员会认为投标明显缺乏竞争的，可以否决全部投标。</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评标委员会完成评标后，应当向招标人提交评标报告。评标报告应至少包含以下内容：</w:t>
      </w:r>
    </w:p>
    <w:p>
      <w:pPr>
        <w:pStyle w:val="9"/>
        <w:numPr>
          <w:ilvl w:val="4"/>
          <w:numId w:val="13"/>
        </w:numPr>
        <w:tabs>
          <w:tab w:val="left" w:pos="624"/>
          <w:tab w:val="left" w:pos="90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基本情况和数据表；</w:t>
      </w:r>
    </w:p>
    <w:p>
      <w:pPr>
        <w:pStyle w:val="9"/>
        <w:numPr>
          <w:ilvl w:val="4"/>
          <w:numId w:val="13"/>
        </w:numPr>
        <w:tabs>
          <w:tab w:val="left" w:pos="624"/>
          <w:tab w:val="left" w:pos="90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评标委员会成员名单；</w:t>
      </w:r>
    </w:p>
    <w:p>
      <w:pPr>
        <w:pStyle w:val="9"/>
        <w:numPr>
          <w:ilvl w:val="4"/>
          <w:numId w:val="13"/>
        </w:numPr>
        <w:tabs>
          <w:tab w:val="left" w:pos="624"/>
          <w:tab w:val="left" w:pos="90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符合要求的投标一览表；</w:t>
      </w:r>
    </w:p>
    <w:p>
      <w:pPr>
        <w:pStyle w:val="9"/>
        <w:numPr>
          <w:ilvl w:val="4"/>
          <w:numId w:val="13"/>
        </w:numPr>
        <w:tabs>
          <w:tab w:val="left" w:pos="624"/>
          <w:tab w:val="left" w:pos="90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否决投标的情况说明；</w:t>
      </w:r>
    </w:p>
    <w:p>
      <w:pPr>
        <w:pStyle w:val="9"/>
        <w:numPr>
          <w:ilvl w:val="4"/>
          <w:numId w:val="13"/>
        </w:numPr>
        <w:tabs>
          <w:tab w:val="left" w:pos="624"/>
          <w:tab w:val="left" w:pos="90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评标标准、方法或者评标因素一览表；</w:t>
      </w:r>
    </w:p>
    <w:p>
      <w:pPr>
        <w:pStyle w:val="9"/>
        <w:numPr>
          <w:ilvl w:val="4"/>
          <w:numId w:val="13"/>
        </w:numPr>
        <w:tabs>
          <w:tab w:val="left" w:pos="624"/>
          <w:tab w:val="left" w:pos="90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经评审的价格及投标人排序情况一览表； </w:t>
      </w:r>
    </w:p>
    <w:p>
      <w:pPr>
        <w:pStyle w:val="9"/>
        <w:numPr>
          <w:ilvl w:val="4"/>
          <w:numId w:val="13"/>
        </w:numPr>
        <w:tabs>
          <w:tab w:val="left" w:pos="624"/>
          <w:tab w:val="left" w:pos="90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推荐的中标候选人名单（</w:t>
      </w:r>
      <w:r>
        <w:rPr>
          <w:rFonts w:hint="eastAsia" w:ascii="宋体" w:hAnsi="宋体" w:eastAsia="宋体" w:cs="宋体"/>
          <w:color w:val="auto"/>
          <w:sz w:val="24"/>
          <w:szCs w:val="24"/>
          <w:highlight w:val="none"/>
        </w:rPr>
        <w:t>推荐中标候选人的人数见投标须知前附表第</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项规定）</w:t>
      </w:r>
      <w:r>
        <w:rPr>
          <w:rFonts w:hint="eastAsia" w:ascii="宋体" w:hAnsi="宋体" w:eastAsia="宋体" w:cs="宋体"/>
          <w:color w:val="auto"/>
          <w:sz w:val="24"/>
          <w:highlight w:val="none"/>
        </w:rPr>
        <w:t xml:space="preserve">和签订合同前要处理的事宜； </w:t>
      </w:r>
    </w:p>
    <w:p>
      <w:pPr>
        <w:pStyle w:val="9"/>
        <w:numPr>
          <w:ilvl w:val="4"/>
          <w:numId w:val="13"/>
        </w:numPr>
        <w:tabs>
          <w:tab w:val="left" w:pos="624"/>
          <w:tab w:val="left" w:pos="90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澄清、说明、补正事项；</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报告应当由评标委员会全体成员签字。对评标结果有不同意见的评标委员会成员应当说明其不同意见和理由，评标报告应当注明该不同意见。评标委员会成员拒绝在评标报告上签字又不说明其不同意见和理由的，视为同意评标结果。</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评标结束后，由招标人向评标委员会成员支付劳务费。除此之外，评标委员会成员不得接受该项目招投标相关单位和个人的任何其他礼物、现金或者有价证券等财物。</w:t>
      </w:r>
    </w:p>
    <w:p>
      <w:pPr>
        <w:pStyle w:val="6"/>
        <w:spacing w:before="0" w:line="360" w:lineRule="atLeast"/>
        <w:jc w:val="center"/>
        <w:rPr>
          <w:rFonts w:hint="eastAsia" w:ascii="宋体" w:hAnsi="宋体" w:eastAsia="宋体" w:cs="宋体"/>
          <w:color w:val="auto"/>
          <w:highlight w:val="none"/>
        </w:rPr>
      </w:pPr>
      <w:bookmarkStart w:id="188" w:name="_Toc63471394"/>
      <w:bookmarkStart w:id="189" w:name="_Toc1370"/>
      <w:bookmarkStart w:id="190" w:name="_Toc95912230"/>
      <w:bookmarkStart w:id="191" w:name="_Toc31525"/>
      <w:bookmarkStart w:id="192" w:name="_Toc3061"/>
      <w:bookmarkStart w:id="193" w:name="_Toc7760"/>
      <w:bookmarkStart w:id="194" w:name="_Toc18451"/>
      <w:bookmarkStart w:id="195" w:name="_Toc30392"/>
      <w:r>
        <w:rPr>
          <w:rFonts w:hint="eastAsia" w:ascii="宋体" w:hAnsi="宋体" w:eastAsia="宋体" w:cs="宋体"/>
          <w:color w:val="auto"/>
          <w:highlight w:val="none"/>
        </w:rPr>
        <w:t>（七）</w:t>
      </w:r>
      <w:bookmarkEnd w:id="188"/>
      <w:r>
        <w:rPr>
          <w:rFonts w:hint="eastAsia" w:ascii="宋体" w:hAnsi="宋体" w:eastAsia="宋体" w:cs="宋体"/>
          <w:color w:val="auto"/>
          <w:highlight w:val="none"/>
        </w:rPr>
        <w:t>中标</w:t>
      </w:r>
      <w:bookmarkEnd w:id="189"/>
      <w:bookmarkEnd w:id="190"/>
      <w:bookmarkEnd w:id="191"/>
      <w:bookmarkEnd w:id="192"/>
      <w:bookmarkEnd w:id="193"/>
      <w:bookmarkEnd w:id="194"/>
      <w:bookmarkEnd w:id="195"/>
    </w:p>
    <w:p>
      <w:pPr>
        <w:pStyle w:val="8"/>
        <w:numPr>
          <w:ilvl w:val="0"/>
          <w:numId w:val="8"/>
        </w:numPr>
        <w:spacing w:before="0" w:after="0" w:line="360" w:lineRule="atLeast"/>
        <w:rPr>
          <w:rFonts w:hint="eastAsia" w:ascii="宋体" w:hAnsi="宋体" w:eastAsia="宋体" w:cs="宋体"/>
          <w:color w:val="auto"/>
          <w:highlight w:val="none"/>
        </w:rPr>
      </w:pPr>
      <w:bookmarkStart w:id="196" w:name="_Toc214954272"/>
      <w:bookmarkStart w:id="197" w:name="_Toc215308799"/>
      <w:bookmarkStart w:id="198" w:name="_Toc215537226"/>
      <w:bookmarkStart w:id="199" w:name="_Toc63471395"/>
      <w:r>
        <w:rPr>
          <w:rFonts w:hint="eastAsia" w:ascii="宋体" w:hAnsi="宋体" w:eastAsia="宋体" w:cs="宋体"/>
          <w:color w:val="auto"/>
          <w:highlight w:val="none"/>
        </w:rPr>
        <w:t>定标方式</w:t>
      </w:r>
      <w:bookmarkEnd w:id="196"/>
      <w:bookmarkEnd w:id="197"/>
      <w:bookmarkEnd w:id="198"/>
      <w:bookmarkEnd w:id="199"/>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除投标须知前附表第3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项规定评标委员会直接确定中标人外，招标人依据评标委员会推荐的中标候选人确定中标人。</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招标人在收到评标报告后15日内，根据评标委员会提出的评标报告和推荐的中标候选人，确定中标人并向中标人发出中标通知书。</w:t>
      </w:r>
      <w:r>
        <w:rPr>
          <w:rFonts w:hint="eastAsia" w:ascii="宋体" w:hAnsi="宋体" w:eastAsia="宋体" w:cs="宋体"/>
          <w:color w:val="auto"/>
          <w:sz w:val="24"/>
          <w:highlight w:val="none"/>
        </w:rPr>
        <w:t>中标通知书对招标人和中标人具有法律效力。中标通知书发出后，招标人改变中标结果的，或者中标人放弃中标项目的，应当依法承担法律责任。</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当中标人放弃中标或被取消中标资格的、或因不可抗力不能履行合同、不按照招标文件要求提交履约担保金，或者被查实存在影响中标结果的违法行为等情形，不符合中标条件的，由招标人在其他中标候选人中按招标文件要求重新抽取中标人。中标人放弃中标或被取消中标人资格后，若有效中标候选人仅剩1名则直接确定为中标人，若无剩余有效中标候选人，则招标人应依法重新招标。</w:t>
      </w:r>
    </w:p>
    <w:p>
      <w:pPr>
        <w:pStyle w:val="9"/>
        <w:numPr>
          <w:ilvl w:val="1"/>
          <w:numId w:val="8"/>
        </w:numPr>
        <w:tabs>
          <w:tab w:val="left" w:pos="100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中标候选人的经营、财务状况发生较大变化或者存在违法行为，招标人认为可能影响其履约能力的，应当在发出中标通知书前由原评标委员会按照招标文件规定的标准和方法审查确认。</w:t>
      </w:r>
    </w:p>
    <w:p>
      <w:pPr>
        <w:pStyle w:val="8"/>
        <w:numPr>
          <w:ilvl w:val="0"/>
          <w:numId w:val="8"/>
        </w:numPr>
        <w:spacing w:before="0" w:after="0" w:line="360" w:lineRule="atLeast"/>
        <w:rPr>
          <w:rFonts w:hint="eastAsia" w:ascii="宋体" w:hAnsi="宋体" w:eastAsia="宋体" w:cs="宋体"/>
          <w:color w:val="auto"/>
          <w:highlight w:val="none"/>
        </w:rPr>
      </w:pPr>
      <w:bookmarkStart w:id="200" w:name="_Toc215537227"/>
      <w:bookmarkStart w:id="201" w:name="_Toc214954273"/>
      <w:bookmarkStart w:id="202" w:name="_Toc63471396"/>
      <w:bookmarkStart w:id="203" w:name="_Toc215308800"/>
      <w:r>
        <w:rPr>
          <w:rFonts w:hint="eastAsia" w:ascii="宋体" w:hAnsi="宋体" w:eastAsia="宋体" w:cs="宋体"/>
          <w:color w:val="auto"/>
          <w:highlight w:val="none"/>
        </w:rPr>
        <w:t>中标候选人公示</w:t>
      </w:r>
      <w:bookmarkEnd w:id="200"/>
      <w:bookmarkEnd w:id="201"/>
      <w:bookmarkEnd w:id="202"/>
      <w:bookmarkEnd w:id="203"/>
    </w:p>
    <w:p>
      <w:pPr>
        <w:pStyle w:val="9"/>
        <w:tabs>
          <w:tab w:val="left" w:pos="567"/>
          <w:tab w:val="left" w:pos="1000"/>
        </w:tabs>
        <w:snapToGrid w:val="0"/>
        <w:ind w:left="56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招标人收到评标报告之日起3日内，应当通过本招标项目发布招标公告的媒介公示中标候选人，公示期不少于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。公示至少包括以下内容：</w:t>
      </w:r>
    </w:p>
    <w:p>
      <w:pPr>
        <w:pStyle w:val="35"/>
        <w:numPr>
          <w:ilvl w:val="0"/>
          <w:numId w:val="0"/>
        </w:numPr>
        <w:tabs>
          <w:tab w:val="left" w:pos="0"/>
          <w:tab w:val="left" w:pos="800"/>
          <w:tab w:val="left" w:pos="1008"/>
          <w:tab w:val="left" w:pos="1134"/>
          <w:tab w:val="clear" w:pos="993"/>
        </w:tabs>
        <w:spacing w:line="360" w:lineRule="atLeast"/>
        <w:ind w:left="51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（一）招标人的名称、地址和联系方式；</w:t>
      </w:r>
    </w:p>
    <w:p>
      <w:pPr>
        <w:pStyle w:val="35"/>
        <w:numPr>
          <w:ilvl w:val="0"/>
          <w:numId w:val="0"/>
        </w:numPr>
        <w:tabs>
          <w:tab w:val="left" w:pos="0"/>
          <w:tab w:val="left" w:pos="800"/>
          <w:tab w:val="left" w:pos="1008"/>
          <w:tab w:val="left" w:pos="1134"/>
          <w:tab w:val="clear" w:pos="993"/>
        </w:tabs>
        <w:spacing w:line="360" w:lineRule="atLeast"/>
        <w:ind w:left="51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（二）招标项目名称；</w:t>
      </w:r>
    </w:p>
    <w:p>
      <w:pPr>
        <w:pStyle w:val="35"/>
        <w:numPr>
          <w:ilvl w:val="0"/>
          <w:numId w:val="0"/>
        </w:numPr>
        <w:tabs>
          <w:tab w:val="left" w:pos="0"/>
          <w:tab w:val="left" w:pos="800"/>
          <w:tab w:val="left" w:pos="1008"/>
          <w:tab w:val="left" w:pos="1134"/>
          <w:tab w:val="clear" w:pos="993"/>
        </w:tabs>
        <w:spacing w:line="360" w:lineRule="atLeast"/>
        <w:ind w:left="510"/>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eastAsia="zh-CN"/>
        </w:rPr>
        <w:t>三</w:t>
      </w:r>
      <w:r>
        <w:rPr>
          <w:rFonts w:hint="eastAsia" w:ascii="宋体" w:hAnsi="宋体" w:eastAsia="宋体" w:cs="宋体"/>
          <w:color w:val="auto"/>
          <w:szCs w:val="28"/>
          <w:highlight w:val="none"/>
        </w:rPr>
        <w:t>）被否决投标的进入评审的投标人名称及原因；</w:t>
      </w:r>
    </w:p>
    <w:p>
      <w:pPr>
        <w:pStyle w:val="35"/>
        <w:numPr>
          <w:ilvl w:val="0"/>
          <w:numId w:val="0"/>
        </w:numPr>
        <w:tabs>
          <w:tab w:val="left" w:pos="0"/>
          <w:tab w:val="left" w:pos="800"/>
          <w:tab w:val="left" w:pos="1008"/>
          <w:tab w:val="left" w:pos="1134"/>
          <w:tab w:val="clear" w:pos="993"/>
        </w:tabs>
        <w:spacing w:line="360" w:lineRule="atLeast"/>
        <w:ind w:left="510"/>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eastAsia="zh-CN"/>
        </w:rPr>
        <w:t>四</w:t>
      </w:r>
      <w:r>
        <w:rPr>
          <w:rFonts w:hint="eastAsia" w:ascii="宋体" w:hAnsi="宋体" w:eastAsia="宋体" w:cs="宋体"/>
          <w:color w:val="auto"/>
          <w:szCs w:val="28"/>
          <w:highlight w:val="none"/>
        </w:rPr>
        <w:t>）推荐的中标候选人名单及其排序；</w:t>
      </w:r>
    </w:p>
    <w:p>
      <w:pPr>
        <w:pStyle w:val="35"/>
        <w:numPr>
          <w:ilvl w:val="0"/>
          <w:numId w:val="0"/>
        </w:numPr>
        <w:tabs>
          <w:tab w:val="left" w:pos="0"/>
          <w:tab w:val="left" w:pos="800"/>
          <w:tab w:val="left" w:pos="1008"/>
          <w:tab w:val="left" w:pos="1134"/>
          <w:tab w:val="clear" w:pos="993"/>
        </w:tabs>
        <w:spacing w:line="360" w:lineRule="atLeast"/>
        <w:ind w:left="510"/>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eastAsia="zh-CN"/>
        </w:rPr>
        <w:t>五</w:t>
      </w:r>
      <w:r>
        <w:rPr>
          <w:rFonts w:hint="eastAsia" w:ascii="宋体" w:hAnsi="宋体" w:eastAsia="宋体" w:cs="宋体"/>
          <w:color w:val="auto"/>
          <w:szCs w:val="28"/>
          <w:highlight w:val="none"/>
        </w:rPr>
        <w:t>）中标候选人的项目负责人姓名及其相关个人业绩（如有时）、执业资格证书名称和注册编号；</w:t>
      </w:r>
    </w:p>
    <w:p>
      <w:pPr>
        <w:pStyle w:val="35"/>
        <w:numPr>
          <w:ilvl w:val="0"/>
          <w:numId w:val="0"/>
        </w:numPr>
        <w:tabs>
          <w:tab w:val="left" w:pos="0"/>
          <w:tab w:val="left" w:pos="800"/>
          <w:tab w:val="left" w:pos="1008"/>
          <w:tab w:val="left" w:pos="1134"/>
          <w:tab w:val="clear" w:pos="993"/>
        </w:tabs>
        <w:spacing w:line="360" w:lineRule="atLeast"/>
        <w:ind w:left="510"/>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eastAsia="zh-CN"/>
        </w:rPr>
        <w:t>六</w:t>
      </w:r>
      <w:r>
        <w:rPr>
          <w:rFonts w:hint="eastAsia" w:ascii="宋体" w:hAnsi="宋体" w:eastAsia="宋体" w:cs="宋体"/>
          <w:color w:val="auto"/>
          <w:szCs w:val="28"/>
          <w:highlight w:val="none"/>
        </w:rPr>
        <w:t>）中标候选人的投标报价、工期、质量标准以及投标报价中包括的专业工程暂估价、暂列金额等；</w:t>
      </w:r>
    </w:p>
    <w:p>
      <w:pPr>
        <w:pStyle w:val="35"/>
        <w:numPr>
          <w:ilvl w:val="0"/>
          <w:numId w:val="0"/>
        </w:numPr>
        <w:tabs>
          <w:tab w:val="left" w:pos="0"/>
          <w:tab w:val="left" w:pos="800"/>
          <w:tab w:val="left" w:pos="1008"/>
          <w:tab w:val="left" w:pos="1134"/>
          <w:tab w:val="clear" w:pos="993"/>
        </w:tabs>
        <w:spacing w:line="360" w:lineRule="atLeast"/>
        <w:ind w:left="510"/>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eastAsia="zh-CN"/>
        </w:rPr>
        <w:t>七</w:t>
      </w:r>
      <w:r>
        <w:rPr>
          <w:rFonts w:hint="eastAsia" w:ascii="宋体" w:hAnsi="宋体" w:eastAsia="宋体" w:cs="宋体"/>
          <w:color w:val="auto"/>
          <w:szCs w:val="28"/>
          <w:highlight w:val="none"/>
        </w:rPr>
        <w:t>）异议的渠道和方式；</w:t>
      </w:r>
    </w:p>
    <w:p>
      <w:pPr>
        <w:pStyle w:val="35"/>
        <w:numPr>
          <w:ilvl w:val="0"/>
          <w:numId w:val="0"/>
        </w:numPr>
        <w:tabs>
          <w:tab w:val="left" w:pos="0"/>
          <w:tab w:val="left" w:pos="800"/>
          <w:tab w:val="left" w:pos="1008"/>
          <w:tab w:val="left" w:pos="1134"/>
          <w:tab w:val="clear" w:pos="993"/>
        </w:tabs>
        <w:spacing w:line="360" w:lineRule="atLeast"/>
        <w:ind w:left="510"/>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eastAsia="zh-CN"/>
        </w:rPr>
        <w:t>八</w:t>
      </w:r>
      <w:r>
        <w:rPr>
          <w:rFonts w:hint="eastAsia" w:ascii="宋体" w:hAnsi="宋体" w:eastAsia="宋体" w:cs="宋体"/>
          <w:color w:val="auto"/>
          <w:szCs w:val="28"/>
          <w:highlight w:val="none"/>
        </w:rPr>
        <w:t>）招标文件规定公示的其他内容。</w:t>
      </w:r>
    </w:p>
    <w:p>
      <w:pPr>
        <w:pStyle w:val="8"/>
        <w:numPr>
          <w:ilvl w:val="0"/>
          <w:numId w:val="8"/>
        </w:numPr>
        <w:spacing w:before="0" w:after="0" w:line="360" w:lineRule="atLeast"/>
        <w:rPr>
          <w:rFonts w:hint="eastAsia" w:ascii="宋体" w:hAnsi="宋体" w:eastAsia="宋体" w:cs="宋体"/>
          <w:color w:val="auto"/>
          <w:highlight w:val="none"/>
        </w:rPr>
      </w:pPr>
      <w:bookmarkStart w:id="204" w:name="_Toc63471397"/>
      <w:bookmarkStart w:id="205" w:name="_Toc369013767"/>
      <w:bookmarkStart w:id="206" w:name="_Toc214854854"/>
      <w:bookmarkStart w:id="207" w:name="_Toc300038957"/>
      <w:bookmarkStart w:id="208" w:name="_Toc215308801"/>
      <w:bookmarkStart w:id="209" w:name="_Toc214954274"/>
      <w:bookmarkStart w:id="210" w:name="_Toc215537228"/>
      <w:r>
        <w:rPr>
          <w:rFonts w:hint="eastAsia" w:ascii="宋体" w:hAnsi="宋体" w:eastAsia="宋体" w:cs="宋体"/>
          <w:color w:val="auto"/>
          <w:highlight w:val="none"/>
        </w:rPr>
        <w:t>中标结果公示</w:t>
      </w:r>
      <w:bookmarkEnd w:id="204"/>
    </w:p>
    <w:p>
      <w:pPr>
        <w:pStyle w:val="9"/>
        <w:tabs>
          <w:tab w:val="left" w:pos="567"/>
          <w:tab w:val="left" w:pos="1000"/>
        </w:tabs>
        <w:snapToGrid w:val="0"/>
        <w:ind w:left="56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依法必须进行招标的项目，招标人自确定中标人之日起3日内，将下列有关中标结果的事项在本招标项目发布招标公告的媒介进行公示，公示期不少于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日，公示至少包括以下内容：</w:t>
      </w:r>
    </w:p>
    <w:p>
      <w:pPr>
        <w:pStyle w:val="35"/>
        <w:numPr>
          <w:ilvl w:val="0"/>
          <w:numId w:val="0"/>
        </w:numPr>
        <w:tabs>
          <w:tab w:val="left" w:pos="0"/>
          <w:tab w:val="left" w:pos="800"/>
          <w:tab w:val="left" w:pos="1008"/>
          <w:tab w:val="left" w:pos="1134"/>
          <w:tab w:val="clear" w:pos="993"/>
        </w:tabs>
        <w:spacing w:line="360" w:lineRule="atLeast"/>
        <w:ind w:left="510"/>
        <w:rPr>
          <w:rFonts w:hint="eastAsia" w:ascii="宋体" w:hAnsi="宋体" w:eastAsia="宋体" w:cs="宋体"/>
          <w:color w:val="auto"/>
          <w:highlight w:val="none"/>
        </w:rPr>
      </w:pPr>
      <w:r>
        <w:rPr>
          <w:rFonts w:hint="eastAsia" w:ascii="宋体" w:hAnsi="宋体" w:eastAsia="宋体" w:cs="宋体"/>
          <w:color w:val="auto"/>
          <w:highlight w:val="none"/>
        </w:rPr>
        <w:t>（一）招标人的名称、地址和联系方式；</w:t>
      </w:r>
    </w:p>
    <w:p>
      <w:pPr>
        <w:pStyle w:val="35"/>
        <w:numPr>
          <w:ilvl w:val="0"/>
          <w:numId w:val="0"/>
        </w:numPr>
        <w:tabs>
          <w:tab w:val="left" w:pos="0"/>
          <w:tab w:val="left" w:pos="800"/>
          <w:tab w:val="left" w:pos="1008"/>
          <w:tab w:val="left" w:pos="1134"/>
          <w:tab w:val="clear" w:pos="993"/>
        </w:tabs>
        <w:spacing w:line="360" w:lineRule="atLeast"/>
        <w:ind w:left="510"/>
        <w:rPr>
          <w:rFonts w:hint="eastAsia" w:ascii="宋体" w:hAnsi="宋体" w:eastAsia="宋体" w:cs="宋体"/>
          <w:color w:val="auto"/>
          <w:highlight w:val="none"/>
        </w:rPr>
      </w:pPr>
      <w:r>
        <w:rPr>
          <w:rFonts w:hint="eastAsia" w:ascii="宋体" w:hAnsi="宋体" w:eastAsia="宋体" w:cs="宋体"/>
          <w:color w:val="auto"/>
          <w:highlight w:val="none"/>
        </w:rPr>
        <w:t>（二）招标项目名称；</w:t>
      </w:r>
    </w:p>
    <w:p>
      <w:pPr>
        <w:pStyle w:val="35"/>
        <w:numPr>
          <w:ilvl w:val="0"/>
          <w:numId w:val="0"/>
        </w:numPr>
        <w:tabs>
          <w:tab w:val="left" w:pos="0"/>
          <w:tab w:val="left" w:pos="800"/>
          <w:tab w:val="left" w:pos="1008"/>
          <w:tab w:val="left" w:pos="1134"/>
          <w:tab w:val="clear" w:pos="993"/>
        </w:tabs>
        <w:spacing w:line="360" w:lineRule="atLeast"/>
        <w:ind w:left="510"/>
        <w:rPr>
          <w:rFonts w:hint="eastAsia" w:ascii="宋体" w:hAnsi="宋体" w:eastAsia="宋体" w:cs="宋体"/>
          <w:color w:val="auto"/>
          <w:highlight w:val="none"/>
        </w:rPr>
      </w:pPr>
      <w:r>
        <w:rPr>
          <w:rFonts w:hint="eastAsia" w:ascii="宋体" w:hAnsi="宋体" w:eastAsia="宋体" w:cs="宋体"/>
          <w:color w:val="auto"/>
          <w:highlight w:val="none"/>
        </w:rPr>
        <w:t>（三）中标人名称及其中标金额；</w:t>
      </w:r>
    </w:p>
    <w:p>
      <w:pPr>
        <w:pStyle w:val="35"/>
        <w:numPr>
          <w:ilvl w:val="0"/>
          <w:numId w:val="0"/>
        </w:numPr>
        <w:tabs>
          <w:tab w:val="left" w:pos="0"/>
          <w:tab w:val="left" w:pos="800"/>
          <w:tab w:val="left" w:pos="1008"/>
          <w:tab w:val="left" w:pos="1134"/>
          <w:tab w:val="clear" w:pos="993"/>
        </w:tabs>
        <w:spacing w:line="360" w:lineRule="atLeast"/>
        <w:ind w:left="510"/>
        <w:rPr>
          <w:rFonts w:hint="eastAsia" w:ascii="宋体" w:hAnsi="宋体" w:eastAsia="宋体" w:cs="宋体"/>
          <w:color w:val="auto"/>
          <w:highlight w:val="none"/>
        </w:rPr>
      </w:pPr>
      <w:r>
        <w:rPr>
          <w:rFonts w:hint="eastAsia" w:ascii="宋体" w:hAnsi="宋体" w:eastAsia="宋体" w:cs="宋体"/>
          <w:color w:val="auto"/>
          <w:highlight w:val="none"/>
        </w:rPr>
        <w:t>（四）评标委员会成员名单。</w:t>
      </w:r>
    </w:p>
    <w:bookmarkEnd w:id="205"/>
    <w:bookmarkEnd w:id="206"/>
    <w:bookmarkEnd w:id="207"/>
    <w:p>
      <w:pPr>
        <w:pStyle w:val="8"/>
        <w:pageBreakBefore w:val="0"/>
        <w:numPr>
          <w:ilvl w:val="0"/>
          <w:numId w:val="8"/>
        </w:numPr>
        <w:kinsoku/>
        <w:wordWrap/>
        <w:overflowPunct/>
        <w:topLinePunct w:val="0"/>
        <w:autoSpaceDE/>
        <w:autoSpaceDN/>
        <w:bidi w:val="0"/>
        <w:spacing w:before="0" w:after="0" w:line="350" w:lineRule="atLeast"/>
        <w:rPr>
          <w:rFonts w:hint="eastAsia" w:ascii="宋体" w:hAnsi="宋体" w:eastAsia="宋体" w:cs="宋体"/>
          <w:color w:val="auto"/>
          <w:highlight w:val="none"/>
        </w:rPr>
      </w:pPr>
      <w:bookmarkStart w:id="211" w:name="_Toc63471398"/>
      <w:r>
        <w:rPr>
          <w:rFonts w:hint="eastAsia" w:ascii="宋体" w:hAnsi="宋体" w:eastAsia="宋体" w:cs="宋体"/>
          <w:color w:val="auto"/>
          <w:highlight w:val="none"/>
        </w:rPr>
        <w:t>履约担保金额和</w:t>
      </w:r>
      <w:bookmarkEnd w:id="208"/>
      <w:bookmarkEnd w:id="209"/>
      <w:bookmarkEnd w:id="210"/>
      <w:r>
        <w:rPr>
          <w:rFonts w:hint="eastAsia" w:ascii="宋体" w:hAnsi="宋体" w:eastAsia="宋体" w:cs="宋体"/>
          <w:color w:val="auto"/>
          <w:highlight w:val="none"/>
        </w:rPr>
        <w:t>形式</w:t>
      </w:r>
      <w:bookmarkEnd w:id="211"/>
    </w:p>
    <w:p>
      <w:pPr>
        <w:pStyle w:val="9"/>
        <w:pageBreakBefore w:val="0"/>
        <w:numPr>
          <w:ilvl w:val="1"/>
          <w:numId w:val="8"/>
        </w:numPr>
        <w:tabs>
          <w:tab w:val="left" w:pos="1000"/>
        </w:tabs>
        <w:kinsoku/>
        <w:wordWrap/>
        <w:overflowPunct/>
        <w:topLinePunct w:val="0"/>
        <w:autoSpaceDE/>
        <w:autoSpaceDN/>
        <w:bidi w:val="0"/>
        <w:snapToGrid w:val="0"/>
        <w:spacing w:line="35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在签订合同前，中标人应按投标须知前附表第3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规定金额、形式和期限向招标人提交履约担保。联合体投标的，其履约担保应当由联合体牵头人提交。已推行工程担保制度的地区，当地住房城乡建设行政主管部门有规定格式的，履约保函应当采用当地住房城乡建设行政主管部门规定的格式。履约担保金不得超过中标合同金额的</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p>
      <w:pPr>
        <w:pStyle w:val="9"/>
        <w:pageBreakBefore w:val="0"/>
        <w:numPr>
          <w:ilvl w:val="1"/>
          <w:numId w:val="8"/>
        </w:numPr>
        <w:tabs>
          <w:tab w:val="left" w:pos="1000"/>
        </w:tabs>
        <w:kinsoku/>
        <w:wordWrap/>
        <w:overflowPunct/>
        <w:topLinePunct w:val="0"/>
        <w:autoSpaceDE/>
        <w:autoSpaceDN/>
        <w:bidi w:val="0"/>
        <w:snapToGrid w:val="0"/>
        <w:spacing w:line="35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不能按照前款规定提交履约担保的，视为放弃中标，其现金投标保证金不予退还；以投标保函形式提供投标保证金的，招标人向保函出具单位索款。给招标人造成的损失超过投标保证金金额的，中标人还应当对超过部分予以赔偿。</w:t>
      </w:r>
    </w:p>
    <w:p>
      <w:pPr>
        <w:pStyle w:val="8"/>
        <w:pageBreakBefore w:val="0"/>
        <w:numPr>
          <w:ilvl w:val="0"/>
          <w:numId w:val="8"/>
        </w:numPr>
        <w:kinsoku/>
        <w:wordWrap/>
        <w:overflowPunct/>
        <w:topLinePunct w:val="0"/>
        <w:autoSpaceDE/>
        <w:autoSpaceDN/>
        <w:bidi w:val="0"/>
        <w:spacing w:before="0" w:after="0" w:line="350" w:lineRule="atLeast"/>
        <w:rPr>
          <w:rFonts w:hint="eastAsia" w:ascii="宋体" w:hAnsi="宋体" w:eastAsia="宋体" w:cs="宋体"/>
          <w:color w:val="auto"/>
          <w:highlight w:val="none"/>
        </w:rPr>
      </w:pPr>
      <w:bookmarkStart w:id="212" w:name="_Toc63471399"/>
      <w:bookmarkStart w:id="213" w:name="_Toc215308802"/>
      <w:bookmarkStart w:id="214" w:name="_Toc214954275"/>
      <w:bookmarkStart w:id="215" w:name="_Toc215537229"/>
      <w:r>
        <w:rPr>
          <w:rFonts w:hint="eastAsia" w:ascii="宋体" w:hAnsi="宋体" w:eastAsia="宋体" w:cs="宋体"/>
          <w:color w:val="auto"/>
          <w:highlight w:val="none"/>
        </w:rPr>
        <w:t>签订合同</w:t>
      </w:r>
      <w:bookmarkEnd w:id="212"/>
      <w:bookmarkEnd w:id="213"/>
      <w:bookmarkEnd w:id="214"/>
      <w:bookmarkEnd w:id="215"/>
    </w:p>
    <w:p>
      <w:pPr>
        <w:pStyle w:val="9"/>
        <w:pageBreakBefore w:val="0"/>
        <w:numPr>
          <w:ilvl w:val="1"/>
          <w:numId w:val="8"/>
        </w:numPr>
        <w:tabs>
          <w:tab w:val="left" w:pos="1000"/>
        </w:tabs>
        <w:kinsoku/>
        <w:wordWrap/>
        <w:overflowPunct/>
        <w:topLinePunct w:val="0"/>
        <w:autoSpaceDE/>
        <w:autoSpaceDN/>
        <w:bidi w:val="0"/>
        <w:snapToGrid w:val="0"/>
        <w:spacing w:line="35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中标人在收到中标通知书后按投标须</w:t>
      </w:r>
      <w:r>
        <w:rPr>
          <w:rFonts w:hint="eastAsia" w:ascii="宋体" w:hAnsi="宋体" w:eastAsia="宋体" w:cs="宋体"/>
          <w:bCs/>
          <w:color w:val="auto"/>
          <w:sz w:val="24"/>
          <w:szCs w:val="24"/>
          <w:highlight w:val="none"/>
        </w:rPr>
        <w:t>知前附表第3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项规定的</w:t>
      </w:r>
      <w:r>
        <w:rPr>
          <w:rFonts w:hint="eastAsia" w:ascii="宋体" w:hAnsi="宋体" w:eastAsia="宋体" w:cs="宋体"/>
          <w:color w:val="auto"/>
          <w:sz w:val="24"/>
          <w:szCs w:val="24"/>
          <w:highlight w:val="none"/>
        </w:rPr>
        <w:t>时间内，应派代表在中标通知书中规定的地点与招</w:t>
      </w:r>
      <w:r>
        <w:rPr>
          <w:rFonts w:hint="eastAsia" w:ascii="宋体" w:hAnsi="宋体" w:eastAsia="宋体" w:cs="宋体"/>
          <w:bCs/>
          <w:color w:val="auto"/>
          <w:sz w:val="24"/>
          <w:szCs w:val="24"/>
          <w:highlight w:val="none"/>
          <w:lang w:val="en-US" w:eastAsia="zh-CN"/>
        </w:rPr>
        <w:t>标人联系商定签订合同事宜。招标人与中标人应当在投标有效期内并在中标通知书发出之日起30日内，按照招标文件和中标人的投标文件，订立书面施工合同。</w:t>
      </w:r>
    </w:p>
    <w:p>
      <w:pPr>
        <w:pStyle w:val="9"/>
        <w:pageBreakBefore w:val="0"/>
        <w:numPr>
          <w:ilvl w:val="1"/>
          <w:numId w:val="8"/>
        </w:numPr>
        <w:tabs>
          <w:tab w:val="left" w:pos="1000"/>
        </w:tabs>
        <w:kinsoku/>
        <w:wordWrap/>
        <w:overflowPunct/>
        <w:topLinePunct w:val="0"/>
        <w:autoSpaceDE/>
        <w:autoSpaceDN/>
        <w:bidi w:val="0"/>
        <w:snapToGrid w:val="0"/>
        <w:spacing w:line="35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和中标人应当依照《中华人民共和国招标投标法》和《中华人民共和国招标投标法实施条例》的规定签订书面合同，合同的标的、价款、质量、履行期限等主要条款应当与招标文件和中标人的投标文件的内容一致。招标人和中标人不得再行订立背离合同实质性内容的其他协议。</w:t>
      </w:r>
    </w:p>
    <w:p>
      <w:pPr>
        <w:pStyle w:val="8"/>
        <w:pageBreakBefore w:val="0"/>
        <w:numPr>
          <w:ilvl w:val="0"/>
          <w:numId w:val="8"/>
        </w:numPr>
        <w:kinsoku/>
        <w:wordWrap/>
        <w:overflowPunct/>
        <w:topLinePunct w:val="0"/>
        <w:autoSpaceDE/>
        <w:autoSpaceDN/>
        <w:bidi w:val="0"/>
        <w:spacing w:before="0" w:after="0" w:line="350" w:lineRule="atLeast"/>
        <w:rPr>
          <w:rFonts w:hint="eastAsia" w:ascii="宋体" w:hAnsi="宋体" w:eastAsia="宋体" w:cs="宋体"/>
          <w:color w:val="auto"/>
          <w:highlight w:val="none"/>
        </w:rPr>
      </w:pPr>
      <w:bookmarkStart w:id="216" w:name="_Toc215537230"/>
      <w:bookmarkStart w:id="217" w:name="_Toc215308803"/>
      <w:bookmarkStart w:id="218" w:name="_Toc214954276"/>
      <w:bookmarkStart w:id="219" w:name="_Toc63471400"/>
      <w:r>
        <w:rPr>
          <w:rFonts w:hint="eastAsia" w:ascii="宋体" w:hAnsi="宋体" w:eastAsia="宋体" w:cs="宋体"/>
          <w:color w:val="auto"/>
          <w:highlight w:val="none"/>
        </w:rPr>
        <w:t>重新招标和</w:t>
      </w:r>
      <w:bookmarkEnd w:id="216"/>
      <w:bookmarkEnd w:id="217"/>
      <w:bookmarkEnd w:id="218"/>
      <w:r>
        <w:rPr>
          <w:rFonts w:hint="eastAsia" w:ascii="宋体" w:hAnsi="宋体" w:eastAsia="宋体" w:cs="宋体"/>
          <w:color w:val="auto"/>
          <w:highlight w:val="none"/>
        </w:rPr>
        <w:t>终止招标</w:t>
      </w:r>
      <w:bookmarkEnd w:id="219"/>
    </w:p>
    <w:p>
      <w:pPr>
        <w:pStyle w:val="9"/>
        <w:pageBreakBefore w:val="0"/>
        <w:numPr>
          <w:ilvl w:val="1"/>
          <w:numId w:val="8"/>
        </w:numPr>
        <w:tabs>
          <w:tab w:val="left" w:pos="1000"/>
        </w:tabs>
        <w:kinsoku/>
        <w:wordWrap/>
        <w:overflowPunct/>
        <w:topLinePunct w:val="0"/>
        <w:autoSpaceDE/>
        <w:autoSpaceDN/>
        <w:bidi w:val="0"/>
        <w:snapToGrid w:val="0"/>
        <w:spacing w:line="35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有下列情形之一的，招标人将重新招标：</w:t>
      </w:r>
    </w:p>
    <w:p>
      <w:pPr>
        <w:pStyle w:val="35"/>
        <w:pageBreakBefore w:val="0"/>
        <w:numPr>
          <w:ilvl w:val="7"/>
          <w:numId w:val="14"/>
        </w:numPr>
        <w:tabs>
          <w:tab w:val="left" w:pos="0"/>
          <w:tab w:val="left" w:pos="800"/>
          <w:tab w:val="left" w:pos="1008"/>
          <w:tab w:val="left" w:pos="1134"/>
          <w:tab w:val="clear" w:pos="993"/>
        </w:tabs>
        <w:kinsoku/>
        <w:wordWrap/>
        <w:overflowPunct/>
        <w:topLinePunct w:val="0"/>
        <w:autoSpaceDE/>
        <w:autoSpaceDN/>
        <w:bidi w:val="0"/>
        <w:spacing w:line="350" w:lineRule="atLeast"/>
        <w:rPr>
          <w:rFonts w:hint="eastAsia" w:ascii="宋体" w:hAnsi="宋体" w:eastAsia="宋体" w:cs="宋体"/>
          <w:color w:val="auto"/>
          <w:highlight w:val="none"/>
        </w:rPr>
      </w:pPr>
      <w:r>
        <w:rPr>
          <w:rFonts w:hint="eastAsia" w:ascii="宋体" w:hAnsi="宋体" w:eastAsia="宋体" w:cs="宋体"/>
          <w:color w:val="auto"/>
          <w:highlight w:val="none"/>
        </w:rPr>
        <w:t>在投标截止时间届满时提交投标文件的投标人少于三个的；</w:t>
      </w:r>
    </w:p>
    <w:p>
      <w:pPr>
        <w:pStyle w:val="35"/>
        <w:pageBreakBefore w:val="0"/>
        <w:numPr>
          <w:ilvl w:val="7"/>
          <w:numId w:val="14"/>
        </w:numPr>
        <w:tabs>
          <w:tab w:val="left" w:pos="0"/>
          <w:tab w:val="left" w:pos="800"/>
          <w:tab w:val="left" w:pos="1008"/>
          <w:tab w:val="left" w:pos="1080"/>
          <w:tab w:val="left" w:pos="1134"/>
          <w:tab w:val="clear" w:pos="993"/>
        </w:tabs>
        <w:kinsoku/>
        <w:wordWrap/>
        <w:overflowPunct/>
        <w:topLinePunct w:val="0"/>
        <w:autoSpaceDE/>
        <w:autoSpaceDN/>
        <w:bidi w:val="0"/>
        <w:spacing w:line="350" w:lineRule="atLeast"/>
        <w:rPr>
          <w:rFonts w:hint="eastAsia" w:ascii="宋体" w:hAnsi="宋体" w:eastAsia="宋体" w:cs="宋体"/>
          <w:b/>
          <w:color w:val="auto"/>
          <w:highlight w:val="none"/>
        </w:rPr>
      </w:pPr>
      <w:r>
        <w:rPr>
          <w:rFonts w:hint="eastAsia" w:ascii="宋体" w:hAnsi="宋体" w:eastAsia="宋体" w:cs="宋体"/>
          <w:color w:val="auto"/>
          <w:highlight w:val="none"/>
        </w:rPr>
        <w:t>评标委员会决定否决所有投标的；</w:t>
      </w:r>
    </w:p>
    <w:p>
      <w:pPr>
        <w:pStyle w:val="35"/>
        <w:pageBreakBefore w:val="0"/>
        <w:numPr>
          <w:ilvl w:val="7"/>
          <w:numId w:val="14"/>
        </w:numPr>
        <w:tabs>
          <w:tab w:val="left" w:pos="0"/>
          <w:tab w:val="left" w:pos="800"/>
          <w:tab w:val="left" w:pos="1008"/>
          <w:tab w:val="left" w:pos="1134"/>
          <w:tab w:val="clear" w:pos="993"/>
        </w:tabs>
        <w:kinsoku/>
        <w:wordWrap/>
        <w:overflowPunct/>
        <w:topLinePunct w:val="0"/>
        <w:autoSpaceDE/>
        <w:autoSpaceDN/>
        <w:bidi w:val="0"/>
        <w:spacing w:line="350" w:lineRule="atLeast"/>
        <w:rPr>
          <w:rFonts w:hint="eastAsia" w:ascii="宋体" w:hAnsi="宋体" w:eastAsia="宋体" w:cs="宋体"/>
          <w:b/>
          <w:color w:val="auto"/>
          <w:highlight w:val="none"/>
        </w:rPr>
      </w:pPr>
      <w:r>
        <w:rPr>
          <w:rFonts w:hint="eastAsia" w:ascii="宋体" w:hAnsi="宋体" w:eastAsia="宋体" w:cs="宋体"/>
          <w:color w:val="auto"/>
          <w:highlight w:val="none"/>
        </w:rPr>
        <w:t>法律、法规规定的应当重新招标的其他情形。</w:t>
      </w:r>
    </w:p>
    <w:p>
      <w:pPr>
        <w:pStyle w:val="9"/>
        <w:pageBreakBefore w:val="0"/>
        <w:numPr>
          <w:ilvl w:val="1"/>
          <w:numId w:val="8"/>
        </w:numPr>
        <w:tabs>
          <w:tab w:val="left" w:pos="1000"/>
        </w:tabs>
        <w:kinsoku/>
        <w:wordWrap/>
        <w:overflowPunct/>
        <w:topLinePunct w:val="0"/>
        <w:autoSpaceDE/>
        <w:autoSpaceDN/>
        <w:bidi w:val="0"/>
        <w:snapToGrid w:val="0"/>
        <w:spacing w:line="350" w:lineRule="atLeas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依法必须招标项目非因招标程序违法或者项目单位提出不合理条件限制、排斥潜在投标人或者投标人等原因，导致招标失败，且连续两次公开招标失败的，招标人可以按照《福建省招标投标条例》第四十七条的规定调整招标方式，并承担相应责任。</w:t>
      </w:r>
    </w:p>
    <w:p>
      <w:pPr>
        <w:pStyle w:val="9"/>
        <w:pageBreakBefore w:val="0"/>
        <w:numPr>
          <w:ilvl w:val="1"/>
          <w:numId w:val="8"/>
        </w:numPr>
        <w:tabs>
          <w:tab w:val="left" w:pos="1000"/>
        </w:tabs>
        <w:kinsoku/>
        <w:wordWrap/>
        <w:overflowPunct/>
        <w:topLinePunct w:val="0"/>
        <w:autoSpaceDE/>
        <w:autoSpaceDN/>
        <w:bidi w:val="0"/>
        <w:snapToGrid w:val="0"/>
        <w:spacing w:line="35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招标人终止招标的，应当及时在本招标项目发布招标公告的媒介</w:t>
      </w:r>
      <w:r>
        <w:rPr>
          <w:rFonts w:hint="eastAsia" w:ascii="宋体" w:hAnsi="宋体" w:eastAsia="宋体" w:cs="宋体"/>
          <w:bCs/>
          <w:color w:val="auto"/>
          <w:sz w:val="24"/>
          <w:szCs w:val="24"/>
          <w:highlight w:val="none"/>
        </w:rPr>
        <w:t>上发布公告通知被邀请的或者已经获取招标文件的潜在投标人。已经发售招标文件（如有）或者已经收取投标保证金的，招标人应当及时退还</w:t>
      </w:r>
      <w:r>
        <w:rPr>
          <w:rFonts w:hint="eastAsia" w:ascii="宋体" w:hAnsi="宋体" w:eastAsia="宋体" w:cs="宋体"/>
          <w:color w:val="auto"/>
          <w:sz w:val="24"/>
          <w:szCs w:val="24"/>
          <w:highlight w:val="none"/>
        </w:rPr>
        <w:t>所收取的现金投标保证金（无息）；</w:t>
      </w:r>
    </w:p>
    <w:p>
      <w:pPr>
        <w:pStyle w:val="6"/>
        <w:pageBreakBefore w:val="0"/>
        <w:kinsoku/>
        <w:wordWrap/>
        <w:overflowPunct/>
        <w:topLinePunct w:val="0"/>
        <w:autoSpaceDE/>
        <w:autoSpaceDN/>
        <w:bidi w:val="0"/>
        <w:spacing w:before="0" w:line="350" w:lineRule="atLeast"/>
        <w:jc w:val="center"/>
        <w:rPr>
          <w:rFonts w:hint="eastAsia" w:ascii="宋体" w:hAnsi="宋体" w:eastAsia="宋体" w:cs="宋体"/>
          <w:color w:val="auto"/>
          <w:sz w:val="24"/>
          <w:szCs w:val="24"/>
          <w:highlight w:val="none"/>
        </w:rPr>
      </w:pPr>
      <w:bookmarkStart w:id="220" w:name="_Toc9509"/>
      <w:bookmarkStart w:id="221" w:name="_Toc8499"/>
      <w:bookmarkStart w:id="222" w:name="_Toc22273"/>
      <w:bookmarkStart w:id="223" w:name="_Toc1230"/>
      <w:bookmarkStart w:id="224" w:name="_Toc63471401"/>
      <w:bookmarkStart w:id="225" w:name="_Toc95912231"/>
      <w:bookmarkStart w:id="226" w:name="_Toc18600"/>
      <w:bookmarkStart w:id="227" w:name="_Toc24487"/>
      <w:r>
        <w:rPr>
          <w:rFonts w:hint="eastAsia" w:ascii="宋体" w:hAnsi="宋体" w:eastAsia="宋体" w:cs="宋体"/>
          <w:color w:val="auto"/>
          <w:highlight w:val="none"/>
        </w:rPr>
        <w:t>（八）异议、投诉</w:t>
      </w:r>
      <w:bookmarkEnd w:id="220"/>
      <w:bookmarkEnd w:id="221"/>
      <w:bookmarkEnd w:id="222"/>
      <w:bookmarkEnd w:id="223"/>
      <w:bookmarkEnd w:id="224"/>
      <w:bookmarkEnd w:id="225"/>
      <w:bookmarkEnd w:id="226"/>
      <w:bookmarkEnd w:id="227"/>
    </w:p>
    <w:p>
      <w:pPr>
        <w:pStyle w:val="8"/>
        <w:pageBreakBefore w:val="0"/>
        <w:numPr>
          <w:ilvl w:val="0"/>
          <w:numId w:val="8"/>
        </w:numPr>
        <w:kinsoku/>
        <w:wordWrap/>
        <w:overflowPunct/>
        <w:topLinePunct w:val="0"/>
        <w:autoSpaceDE/>
        <w:autoSpaceDN/>
        <w:bidi w:val="0"/>
        <w:spacing w:before="0" w:after="0" w:line="350" w:lineRule="atLeast"/>
        <w:rPr>
          <w:rFonts w:hint="eastAsia" w:ascii="宋体" w:hAnsi="宋体" w:eastAsia="宋体" w:cs="宋体"/>
          <w:color w:val="auto"/>
          <w:highlight w:val="none"/>
        </w:rPr>
      </w:pPr>
      <w:bookmarkStart w:id="228" w:name="_Toc63471402"/>
      <w:r>
        <w:rPr>
          <w:rFonts w:hint="eastAsia" w:ascii="宋体" w:hAnsi="宋体" w:eastAsia="宋体" w:cs="宋体"/>
          <w:color w:val="auto"/>
          <w:highlight w:val="none"/>
        </w:rPr>
        <w:t>异议</w:t>
      </w:r>
      <w:bookmarkEnd w:id="228"/>
    </w:p>
    <w:p>
      <w:pPr>
        <w:pStyle w:val="9"/>
        <w:pageBreakBefore w:val="0"/>
        <w:numPr>
          <w:ilvl w:val="1"/>
          <w:numId w:val="8"/>
        </w:numPr>
        <w:tabs>
          <w:tab w:val="left" w:pos="1000"/>
        </w:tabs>
        <w:kinsoku/>
        <w:wordWrap/>
        <w:overflowPunct/>
        <w:topLinePunct w:val="0"/>
        <w:autoSpaceDE/>
        <w:autoSpaceDN/>
        <w:bidi w:val="0"/>
        <w:snapToGrid w:val="0"/>
        <w:spacing w:line="35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投标人对开标有异议的，应当使用本单位的CA证书当场通过电子交易平台在线提出；招标人应当通过电子交易平台当场作出答复。电子交易平台应当记录并保存异议的提出和答复情况。</w:t>
      </w:r>
    </w:p>
    <w:p>
      <w:pPr>
        <w:pStyle w:val="9"/>
        <w:pageBreakBefore w:val="0"/>
        <w:numPr>
          <w:ilvl w:val="1"/>
          <w:numId w:val="8"/>
        </w:numPr>
        <w:tabs>
          <w:tab w:val="left" w:pos="1000"/>
        </w:tabs>
        <w:kinsoku/>
        <w:wordWrap/>
        <w:overflowPunct/>
        <w:topLinePunct w:val="0"/>
        <w:autoSpaceDE/>
        <w:autoSpaceDN/>
        <w:bidi w:val="0"/>
        <w:snapToGrid w:val="0"/>
        <w:spacing w:line="35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潜在投标人或投标人及其他利害关系人对招标文件或评标结果有异议的，应当在规定的期限内以书面的形式向招标人提出。异议应当包括下列内容：</w:t>
      </w:r>
    </w:p>
    <w:p>
      <w:pPr>
        <w:pStyle w:val="35"/>
        <w:pageBreakBefore w:val="0"/>
        <w:numPr>
          <w:ilvl w:val="0"/>
          <w:numId w:val="0"/>
        </w:numPr>
        <w:tabs>
          <w:tab w:val="left" w:pos="0"/>
          <w:tab w:val="left" w:pos="800"/>
          <w:tab w:val="left" w:pos="1008"/>
          <w:tab w:val="left" w:pos="1134"/>
          <w:tab w:val="clear" w:pos="993"/>
        </w:tabs>
        <w:kinsoku/>
        <w:wordWrap/>
        <w:overflowPunct/>
        <w:topLinePunct w:val="0"/>
        <w:autoSpaceDE/>
        <w:autoSpaceDN/>
        <w:bidi w:val="0"/>
        <w:spacing w:line="350" w:lineRule="atLeas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（一）异议人的名称、地址及有效联系方式；</w:t>
      </w:r>
    </w:p>
    <w:p>
      <w:pPr>
        <w:pStyle w:val="35"/>
        <w:pageBreakBefore w:val="0"/>
        <w:numPr>
          <w:ilvl w:val="0"/>
          <w:numId w:val="0"/>
        </w:numPr>
        <w:tabs>
          <w:tab w:val="left" w:pos="0"/>
          <w:tab w:val="left" w:pos="800"/>
          <w:tab w:val="left" w:pos="1008"/>
          <w:tab w:val="left" w:pos="1134"/>
          <w:tab w:val="clear" w:pos="993"/>
        </w:tabs>
        <w:kinsoku/>
        <w:wordWrap/>
        <w:overflowPunct/>
        <w:topLinePunct w:val="0"/>
        <w:autoSpaceDE/>
        <w:autoSpaceDN/>
        <w:bidi w:val="0"/>
        <w:spacing w:line="350" w:lineRule="atLeas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（二）被异议人的名称（仅适用于对评标结果的异议）；</w:t>
      </w:r>
    </w:p>
    <w:p>
      <w:pPr>
        <w:pStyle w:val="35"/>
        <w:pageBreakBefore w:val="0"/>
        <w:numPr>
          <w:ilvl w:val="0"/>
          <w:numId w:val="0"/>
        </w:numPr>
        <w:tabs>
          <w:tab w:val="left" w:pos="0"/>
          <w:tab w:val="left" w:pos="800"/>
          <w:tab w:val="left" w:pos="1008"/>
          <w:tab w:val="left" w:pos="1134"/>
          <w:tab w:val="clear" w:pos="993"/>
        </w:tabs>
        <w:kinsoku/>
        <w:wordWrap/>
        <w:overflowPunct/>
        <w:topLinePunct w:val="0"/>
        <w:autoSpaceDE/>
        <w:autoSpaceDN/>
        <w:bidi w:val="0"/>
        <w:spacing w:line="350" w:lineRule="atLeas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（三）异议事项的基本事实；</w:t>
      </w:r>
    </w:p>
    <w:p>
      <w:pPr>
        <w:pStyle w:val="35"/>
        <w:pageBreakBefore w:val="0"/>
        <w:numPr>
          <w:ilvl w:val="0"/>
          <w:numId w:val="0"/>
        </w:numPr>
        <w:tabs>
          <w:tab w:val="left" w:pos="0"/>
          <w:tab w:val="left" w:pos="800"/>
          <w:tab w:val="left" w:pos="1008"/>
          <w:tab w:val="left" w:pos="1134"/>
          <w:tab w:val="clear" w:pos="993"/>
        </w:tabs>
        <w:kinsoku/>
        <w:wordWrap/>
        <w:overflowPunct/>
        <w:topLinePunct w:val="0"/>
        <w:autoSpaceDE/>
        <w:autoSpaceDN/>
        <w:bidi w:val="0"/>
        <w:spacing w:line="350" w:lineRule="atLeas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（四）相关请求及主张；</w:t>
      </w:r>
    </w:p>
    <w:p>
      <w:pPr>
        <w:pStyle w:val="35"/>
        <w:pageBreakBefore w:val="0"/>
        <w:numPr>
          <w:ilvl w:val="0"/>
          <w:numId w:val="0"/>
        </w:numPr>
        <w:tabs>
          <w:tab w:val="left" w:pos="0"/>
          <w:tab w:val="left" w:pos="800"/>
          <w:tab w:val="left" w:pos="1008"/>
          <w:tab w:val="left" w:pos="1134"/>
          <w:tab w:val="clear" w:pos="993"/>
        </w:tabs>
        <w:kinsoku/>
        <w:wordWrap/>
        <w:overflowPunct/>
        <w:topLinePunct w:val="0"/>
        <w:autoSpaceDE/>
        <w:autoSpaceDN/>
        <w:bidi w:val="0"/>
        <w:spacing w:line="350" w:lineRule="atLeas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（五）有效线索和相关证明材料。 </w:t>
      </w:r>
    </w:p>
    <w:p>
      <w:pPr>
        <w:pStyle w:val="35"/>
        <w:pageBreakBefore w:val="0"/>
        <w:numPr>
          <w:ilvl w:val="0"/>
          <w:numId w:val="0"/>
        </w:numPr>
        <w:tabs>
          <w:tab w:val="left" w:pos="0"/>
          <w:tab w:val="left" w:pos="800"/>
          <w:tab w:val="left" w:pos="1008"/>
          <w:tab w:val="left" w:pos="1134"/>
          <w:tab w:val="clear" w:pos="993"/>
        </w:tabs>
        <w:kinsoku/>
        <w:wordWrap/>
        <w:overflowPunct/>
        <w:topLinePunct w:val="0"/>
        <w:autoSpaceDE/>
        <w:autoSpaceDN/>
        <w:bidi w:val="0"/>
        <w:spacing w:line="350" w:lineRule="atLeast"/>
        <w:ind w:firstLine="598"/>
        <w:rPr>
          <w:rFonts w:hint="eastAsia" w:ascii="宋体" w:hAnsi="宋体" w:eastAsia="宋体" w:cs="宋体"/>
          <w:color w:val="auto"/>
          <w:kern w:val="2"/>
          <w:szCs w:val="28"/>
          <w:highlight w:val="none"/>
        </w:rPr>
      </w:pPr>
      <w:r>
        <w:rPr>
          <w:rFonts w:hint="eastAsia" w:ascii="宋体" w:hAnsi="宋体" w:eastAsia="宋体" w:cs="宋体"/>
          <w:color w:val="auto"/>
          <w:kern w:val="2"/>
          <w:szCs w:val="28"/>
          <w:highlight w:val="none"/>
        </w:rPr>
        <w:t>异议人是法人的，异议必须由其法定代表人签字并盖公章；与本招标活动有利害关系的自然人提出的，异议必须由异议人本人签字，并附有效身份证明复印件以及与本招标项目有利害关系的证明材料。</w:t>
      </w:r>
    </w:p>
    <w:p>
      <w:pPr>
        <w:pStyle w:val="9"/>
        <w:pageBreakBefore w:val="0"/>
        <w:numPr>
          <w:ilvl w:val="1"/>
          <w:numId w:val="8"/>
        </w:numPr>
        <w:tabs>
          <w:tab w:val="left" w:pos="1000"/>
        </w:tabs>
        <w:kinsoku/>
        <w:wordWrap/>
        <w:overflowPunct/>
        <w:topLinePunct w:val="0"/>
        <w:autoSpaceDE/>
        <w:autoSpaceDN/>
        <w:bidi w:val="0"/>
        <w:adjustRightInd/>
        <w:spacing w:line="350" w:lineRule="atLeas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招标人收到</w:t>
      </w:r>
      <w:r>
        <w:rPr>
          <w:rFonts w:hint="eastAsia" w:ascii="宋体" w:hAnsi="宋体" w:eastAsia="宋体" w:cs="宋体"/>
          <w:color w:val="auto"/>
          <w:sz w:val="24"/>
          <w:szCs w:val="24"/>
          <w:highlight w:val="none"/>
        </w:rPr>
        <w:t>对招标文件或评标结果的</w:t>
      </w:r>
      <w:r>
        <w:rPr>
          <w:rFonts w:hint="eastAsia" w:ascii="宋体" w:hAnsi="宋体" w:eastAsia="宋体" w:cs="宋体"/>
          <w:color w:val="auto"/>
          <w:sz w:val="24"/>
          <w:szCs w:val="28"/>
          <w:highlight w:val="none"/>
        </w:rPr>
        <w:t>异议后，应当在3日内作出是否受理的决定，逾期未作出不予受理决定的，自收到异议之日起即视为受理。有下列情形之一的异议，不予受理，并向异议人发出不予受理告知书：</w:t>
      </w:r>
    </w:p>
    <w:p>
      <w:pPr>
        <w:pStyle w:val="9"/>
        <w:pageBreakBefore w:val="0"/>
        <w:tabs>
          <w:tab w:val="left" w:pos="1000"/>
        </w:tabs>
        <w:kinsoku/>
        <w:wordWrap/>
        <w:overflowPunct/>
        <w:topLinePunct w:val="0"/>
        <w:autoSpaceDE/>
        <w:autoSpaceDN/>
        <w:bidi w:val="0"/>
        <w:adjustRightInd/>
        <w:spacing w:line="350" w:lineRule="atLeast"/>
        <w:ind w:left="499" w:hanging="3"/>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（一）对评标结果有异议的异议人不是本项目的参与者，或者与本项目无任何利害关系；</w:t>
      </w:r>
    </w:p>
    <w:p>
      <w:pPr>
        <w:pStyle w:val="9"/>
        <w:pageBreakBefore w:val="0"/>
        <w:tabs>
          <w:tab w:val="left" w:pos="1000"/>
        </w:tabs>
        <w:kinsoku/>
        <w:wordWrap/>
        <w:overflowPunct/>
        <w:topLinePunct w:val="0"/>
        <w:autoSpaceDE/>
        <w:autoSpaceDN/>
        <w:bidi w:val="0"/>
        <w:adjustRightInd/>
        <w:spacing w:line="350" w:lineRule="atLeast"/>
        <w:ind w:left="499" w:hanging="3"/>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（二）异议事项不具体，且未提供有效线索，难以查证的； </w:t>
      </w:r>
    </w:p>
    <w:p>
      <w:pPr>
        <w:pStyle w:val="9"/>
        <w:pageBreakBefore w:val="0"/>
        <w:tabs>
          <w:tab w:val="left" w:pos="1000"/>
        </w:tabs>
        <w:kinsoku/>
        <w:wordWrap/>
        <w:overflowPunct/>
        <w:topLinePunct w:val="0"/>
        <w:autoSpaceDE/>
        <w:autoSpaceDN/>
        <w:bidi w:val="0"/>
        <w:adjustRightInd/>
        <w:spacing w:line="350" w:lineRule="atLeast"/>
        <w:ind w:left="499" w:hanging="3"/>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（三）异议未署具异议人真实姓名、签字和有效联系方式的；以法人名义提出异议的，异议未经法定代表人签字并加盖公章的；</w:t>
      </w:r>
    </w:p>
    <w:p>
      <w:pPr>
        <w:pStyle w:val="9"/>
        <w:pageBreakBefore w:val="0"/>
        <w:tabs>
          <w:tab w:val="left" w:pos="1000"/>
        </w:tabs>
        <w:kinsoku/>
        <w:wordWrap/>
        <w:overflowPunct/>
        <w:topLinePunct w:val="0"/>
        <w:autoSpaceDE/>
        <w:autoSpaceDN/>
        <w:bidi w:val="0"/>
        <w:adjustRightInd/>
        <w:spacing w:line="350" w:lineRule="atLeast"/>
        <w:ind w:left="499" w:hanging="3"/>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（四）超过异议时效的。</w:t>
      </w:r>
    </w:p>
    <w:p>
      <w:pPr>
        <w:pStyle w:val="9"/>
        <w:pageBreakBefore w:val="0"/>
        <w:numPr>
          <w:ilvl w:val="1"/>
          <w:numId w:val="8"/>
        </w:numPr>
        <w:tabs>
          <w:tab w:val="left" w:pos="1000"/>
        </w:tabs>
        <w:kinsoku/>
        <w:wordWrap/>
        <w:overflowPunct/>
        <w:topLinePunct w:val="0"/>
        <w:autoSpaceDE/>
        <w:autoSpaceDN/>
        <w:bidi w:val="0"/>
        <w:snapToGrid w:val="0"/>
        <w:spacing w:line="350" w:lineRule="atLeast"/>
        <w:ind w:left="0" w:firstLine="480" w:firstLineChars="2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招标人对招标文件或者评标结果异议处理结果，应当以书面形式答复异议人。招标人对评标结果异议处理结果的答复涉及需要重新招标或者评标无效的，在作出答复前应当暂停下一阶段招投标活动。</w:t>
      </w:r>
    </w:p>
    <w:p>
      <w:pPr>
        <w:pStyle w:val="8"/>
        <w:pageBreakBefore w:val="0"/>
        <w:numPr>
          <w:ilvl w:val="0"/>
          <w:numId w:val="8"/>
        </w:numPr>
        <w:kinsoku/>
        <w:wordWrap/>
        <w:overflowPunct/>
        <w:topLinePunct w:val="0"/>
        <w:autoSpaceDE/>
        <w:autoSpaceDN/>
        <w:bidi w:val="0"/>
        <w:spacing w:before="0" w:after="0" w:line="350" w:lineRule="atLeast"/>
        <w:rPr>
          <w:rFonts w:hint="eastAsia" w:ascii="宋体" w:hAnsi="宋体" w:eastAsia="宋体" w:cs="宋体"/>
          <w:color w:val="auto"/>
          <w:highlight w:val="none"/>
        </w:rPr>
      </w:pPr>
      <w:bookmarkStart w:id="229" w:name="_Toc63471403"/>
      <w:r>
        <w:rPr>
          <w:rFonts w:hint="eastAsia" w:ascii="宋体" w:hAnsi="宋体" w:eastAsia="宋体" w:cs="宋体"/>
          <w:color w:val="auto"/>
          <w:highlight w:val="none"/>
        </w:rPr>
        <w:t>投诉</w:t>
      </w:r>
      <w:bookmarkEnd w:id="229"/>
    </w:p>
    <w:p>
      <w:pPr>
        <w:pStyle w:val="9"/>
        <w:pageBreakBefore w:val="0"/>
        <w:numPr>
          <w:ilvl w:val="1"/>
          <w:numId w:val="8"/>
        </w:numPr>
        <w:tabs>
          <w:tab w:val="left" w:pos="1000"/>
        </w:tabs>
        <w:kinsoku/>
        <w:wordWrap/>
        <w:overflowPunct/>
        <w:topLinePunct w:val="0"/>
        <w:autoSpaceDE/>
        <w:autoSpaceDN/>
        <w:bidi w:val="0"/>
        <w:snapToGrid w:val="0"/>
        <w:spacing w:line="350" w:lineRule="atLeast"/>
        <w:rPr>
          <w:rFonts w:hint="eastAsia" w:ascii="宋体" w:hAnsi="宋体" w:eastAsia="宋体" w:cs="宋体"/>
          <w:color w:val="auto"/>
          <w:sz w:val="24"/>
          <w:szCs w:val="24"/>
          <w:highlight w:val="none"/>
        </w:rPr>
      </w:pPr>
      <w:r>
        <w:rPr>
          <w:rStyle w:val="32"/>
          <w:rFonts w:hint="eastAsia" w:ascii="宋体" w:hAnsi="宋体" w:eastAsia="宋体" w:cs="宋体"/>
          <w:color w:val="auto"/>
          <w:kern w:val="0"/>
          <w:sz w:val="24"/>
          <w:szCs w:val="24"/>
          <w:highlight w:val="none"/>
        </w:rPr>
        <w:t>投标人或者其他利害关系人认为招标投标活动不符合有关规定的，应当自知道或者应当知道之日起10日内向该项目的监督机关依法提出书面投诉。投诉应当符合《中华人民共和国招标投标法实施条例》和《工程建设项目招标投标活动投诉处理办法》（国家发改委等七部委11号令）的要求。</w:t>
      </w:r>
    </w:p>
    <w:p>
      <w:pPr>
        <w:pStyle w:val="9"/>
        <w:pageBreakBefore w:val="0"/>
        <w:numPr>
          <w:ilvl w:val="1"/>
          <w:numId w:val="8"/>
        </w:numPr>
        <w:tabs>
          <w:tab w:val="left" w:pos="1000"/>
        </w:tabs>
        <w:kinsoku/>
        <w:wordWrap/>
        <w:overflowPunct/>
        <w:topLinePunct w:val="0"/>
        <w:autoSpaceDE/>
        <w:autoSpaceDN/>
        <w:bidi w:val="0"/>
        <w:snapToGrid w:val="0"/>
        <w:spacing w:line="35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投诉人就招标文件、开标、评标结果的事项投诉的，除需提供《工程建设项目招标投标活动投诉处理办法》规定的内容外，还应当提供招标人的异议答复复印件</w:t>
      </w:r>
      <w:r>
        <w:rPr>
          <w:rFonts w:hint="eastAsia" w:ascii="宋体" w:hAnsi="宋体" w:eastAsia="宋体" w:cs="宋体"/>
          <w:color w:val="auto"/>
          <w:sz w:val="24"/>
          <w:szCs w:val="24"/>
          <w:highlight w:val="none"/>
          <w:lang w:eastAsia="zh-CN"/>
        </w:rPr>
        <w:t>。</w:t>
      </w:r>
    </w:p>
    <w:p>
      <w:pPr>
        <w:pStyle w:val="9"/>
        <w:pageBreakBefore w:val="0"/>
        <w:numPr>
          <w:ilvl w:val="1"/>
          <w:numId w:val="8"/>
        </w:numPr>
        <w:tabs>
          <w:tab w:val="left" w:pos="1000"/>
        </w:tabs>
        <w:kinsoku/>
        <w:wordWrap/>
        <w:overflowPunct/>
        <w:topLinePunct w:val="0"/>
        <w:autoSpaceDE/>
        <w:autoSpaceDN/>
        <w:bidi w:val="0"/>
        <w:snapToGrid w:val="0"/>
        <w:spacing w:line="35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本项目招投标的监管部门或机构的名称和地址见投标须知前附表第3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w:t>
      </w:r>
    </w:p>
    <w:p>
      <w:pPr>
        <w:pStyle w:val="6"/>
        <w:pageBreakBefore w:val="0"/>
        <w:kinsoku/>
        <w:wordWrap/>
        <w:overflowPunct/>
        <w:topLinePunct w:val="0"/>
        <w:autoSpaceDE/>
        <w:autoSpaceDN/>
        <w:bidi w:val="0"/>
        <w:spacing w:before="0" w:line="350" w:lineRule="atLeast"/>
        <w:jc w:val="center"/>
        <w:rPr>
          <w:rFonts w:hint="eastAsia" w:ascii="宋体" w:hAnsi="宋体" w:eastAsia="宋体" w:cs="宋体"/>
          <w:color w:val="auto"/>
          <w:highlight w:val="none"/>
        </w:rPr>
      </w:pPr>
      <w:bookmarkStart w:id="230" w:name="_Toc63471406"/>
      <w:bookmarkStart w:id="231" w:name="_Toc11533"/>
      <w:bookmarkStart w:id="232" w:name="_Toc24938"/>
      <w:bookmarkStart w:id="233" w:name="_Toc95912232"/>
      <w:bookmarkStart w:id="234" w:name="_Toc21177"/>
      <w:bookmarkStart w:id="235" w:name="_Toc27468"/>
      <w:bookmarkStart w:id="236" w:name="_Toc13857"/>
      <w:bookmarkStart w:id="237" w:name="_Toc16580"/>
      <w:r>
        <w:rPr>
          <w:rFonts w:hint="eastAsia" w:ascii="宋体" w:hAnsi="宋体" w:eastAsia="宋体" w:cs="宋体"/>
          <w:color w:val="auto"/>
          <w:highlight w:val="none"/>
        </w:rPr>
        <w:t>（九）其他</w:t>
      </w:r>
      <w:bookmarkEnd w:id="230"/>
      <w:bookmarkEnd w:id="231"/>
      <w:bookmarkEnd w:id="232"/>
      <w:bookmarkEnd w:id="233"/>
      <w:bookmarkEnd w:id="234"/>
      <w:bookmarkEnd w:id="235"/>
      <w:bookmarkEnd w:id="236"/>
      <w:bookmarkEnd w:id="237"/>
    </w:p>
    <w:p>
      <w:pPr>
        <w:pStyle w:val="8"/>
        <w:pageBreakBefore w:val="0"/>
        <w:numPr>
          <w:ilvl w:val="0"/>
          <w:numId w:val="8"/>
        </w:numPr>
        <w:kinsoku/>
        <w:wordWrap/>
        <w:overflowPunct/>
        <w:topLinePunct w:val="0"/>
        <w:autoSpaceDE/>
        <w:autoSpaceDN/>
        <w:bidi w:val="0"/>
        <w:spacing w:before="0" w:after="0" w:line="350" w:lineRule="atLeast"/>
        <w:rPr>
          <w:rFonts w:hint="eastAsia" w:ascii="宋体" w:hAnsi="宋体" w:eastAsia="宋体" w:cs="宋体"/>
          <w:color w:val="auto"/>
          <w:highlight w:val="none"/>
        </w:rPr>
      </w:pPr>
      <w:bookmarkStart w:id="238" w:name="_Toc63471407"/>
      <w:bookmarkStart w:id="239" w:name="_Toc215308805"/>
      <w:bookmarkStart w:id="240" w:name="_Toc214954278"/>
      <w:bookmarkStart w:id="241" w:name="_Toc215537232"/>
      <w:r>
        <w:rPr>
          <w:rFonts w:hint="eastAsia" w:ascii="宋体" w:hAnsi="宋体" w:eastAsia="宋体" w:cs="宋体"/>
          <w:color w:val="auto"/>
          <w:highlight w:val="none"/>
        </w:rPr>
        <w:t>需要补充的其他内容</w:t>
      </w:r>
      <w:bookmarkEnd w:id="238"/>
      <w:bookmarkEnd w:id="239"/>
      <w:bookmarkEnd w:id="240"/>
      <w:bookmarkEnd w:id="241"/>
    </w:p>
    <w:p>
      <w:pPr>
        <w:pStyle w:val="9"/>
        <w:pageBreakBefore w:val="0"/>
        <w:numPr>
          <w:ilvl w:val="1"/>
          <w:numId w:val="8"/>
        </w:numPr>
        <w:tabs>
          <w:tab w:val="left" w:pos="1000"/>
        </w:tabs>
        <w:kinsoku/>
        <w:wordWrap/>
        <w:overflowPunct/>
        <w:topLinePunct w:val="0"/>
        <w:autoSpaceDE/>
        <w:autoSpaceDN/>
        <w:bidi w:val="0"/>
        <w:snapToGrid w:val="0"/>
        <w:spacing w:line="350" w:lineRule="atLeast"/>
        <w:rPr>
          <w:rStyle w:val="32"/>
          <w:rFonts w:hint="eastAsia" w:ascii="宋体" w:hAnsi="宋体" w:eastAsia="宋体" w:cs="宋体"/>
          <w:color w:val="auto"/>
          <w:kern w:val="0"/>
          <w:sz w:val="24"/>
          <w:szCs w:val="24"/>
          <w:highlight w:val="none"/>
        </w:rPr>
      </w:pPr>
      <w:r>
        <w:rPr>
          <w:rStyle w:val="32"/>
          <w:rFonts w:hint="eastAsia" w:ascii="宋体" w:hAnsi="宋体" w:eastAsia="宋体" w:cs="宋体"/>
          <w:color w:val="auto"/>
          <w:kern w:val="0"/>
          <w:sz w:val="24"/>
          <w:szCs w:val="24"/>
          <w:highlight w:val="none"/>
        </w:rPr>
        <w:t>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pPr>
        <w:pStyle w:val="9"/>
        <w:pageBreakBefore w:val="0"/>
        <w:numPr>
          <w:ilvl w:val="1"/>
          <w:numId w:val="8"/>
        </w:numPr>
        <w:tabs>
          <w:tab w:val="left" w:pos="1000"/>
        </w:tabs>
        <w:kinsoku/>
        <w:wordWrap/>
        <w:overflowPunct/>
        <w:topLinePunct w:val="0"/>
        <w:autoSpaceDE/>
        <w:autoSpaceDN/>
        <w:bidi w:val="0"/>
        <w:snapToGrid w:val="0"/>
        <w:spacing w:line="350" w:lineRule="atLeast"/>
        <w:rPr>
          <w:rStyle w:val="32"/>
          <w:rFonts w:hint="eastAsia" w:ascii="宋体" w:hAnsi="宋体" w:eastAsia="宋体" w:cs="宋体"/>
          <w:color w:val="auto"/>
          <w:kern w:val="0"/>
          <w:sz w:val="24"/>
          <w:szCs w:val="24"/>
          <w:highlight w:val="none"/>
        </w:rPr>
      </w:pPr>
      <w:r>
        <w:rPr>
          <w:rStyle w:val="32"/>
          <w:rFonts w:hint="eastAsia" w:ascii="宋体" w:hAnsi="宋体" w:eastAsia="宋体" w:cs="宋体"/>
          <w:color w:val="auto"/>
          <w:kern w:val="0"/>
          <w:sz w:val="24"/>
          <w:szCs w:val="24"/>
          <w:highlight w:val="none"/>
        </w:rPr>
        <w:t>有关投标须知需要补充的其他内容详见投标须知前附表第</w:t>
      </w:r>
      <w:r>
        <w:rPr>
          <w:rStyle w:val="32"/>
          <w:rFonts w:hint="eastAsia" w:ascii="宋体" w:hAnsi="宋体" w:eastAsia="宋体" w:cs="宋体"/>
          <w:color w:val="auto"/>
          <w:kern w:val="0"/>
          <w:sz w:val="24"/>
          <w:szCs w:val="24"/>
          <w:highlight w:val="none"/>
          <w:lang w:val="en-US" w:eastAsia="zh-CN"/>
        </w:rPr>
        <w:t>34</w:t>
      </w:r>
      <w:r>
        <w:rPr>
          <w:rStyle w:val="32"/>
          <w:rFonts w:hint="eastAsia" w:ascii="宋体" w:hAnsi="宋体" w:eastAsia="宋体" w:cs="宋体"/>
          <w:color w:val="auto"/>
          <w:kern w:val="0"/>
          <w:sz w:val="24"/>
          <w:szCs w:val="24"/>
          <w:highlight w:val="none"/>
        </w:rPr>
        <w:t>项。</w:t>
      </w:r>
    </w:p>
    <w:bookmarkEnd w:id="24"/>
    <w:p>
      <w:pPr>
        <w:pStyle w:val="2"/>
        <w:ind w:firstLine="560"/>
        <w:rPr>
          <w:rFonts w:hint="eastAsia" w:ascii="宋体" w:hAnsi="宋体" w:eastAsia="宋体" w:cs="宋体"/>
          <w:color w:val="auto"/>
          <w:highlight w:val="none"/>
        </w:rPr>
      </w:pPr>
    </w:p>
    <w:p>
      <w:pPr>
        <w:pStyle w:val="2"/>
        <w:ind w:firstLine="560"/>
        <w:rPr>
          <w:rFonts w:hint="eastAsia" w:ascii="宋体" w:hAnsi="宋体" w:eastAsia="宋体" w:cs="宋体"/>
          <w:color w:val="auto"/>
          <w:highlight w:val="none"/>
        </w:rPr>
      </w:pPr>
    </w:p>
    <w:p>
      <w:pPr>
        <w:pStyle w:val="2"/>
        <w:ind w:firstLine="560"/>
        <w:rPr>
          <w:rFonts w:hint="eastAsia" w:ascii="宋体" w:hAnsi="宋体" w:eastAsia="宋体" w:cs="宋体"/>
          <w:color w:val="auto"/>
          <w:highlight w:val="none"/>
        </w:rPr>
      </w:pPr>
    </w:p>
    <w:p>
      <w:pPr>
        <w:pStyle w:val="2"/>
        <w:ind w:firstLine="560"/>
        <w:rPr>
          <w:rFonts w:hint="eastAsia" w:ascii="宋体" w:hAnsi="宋体" w:eastAsia="宋体" w:cs="宋体"/>
          <w:color w:val="auto"/>
          <w:highlight w:val="none"/>
        </w:rPr>
      </w:pPr>
    </w:p>
    <w:p>
      <w:pPr>
        <w:pStyle w:val="2"/>
        <w:ind w:firstLine="560"/>
        <w:rPr>
          <w:rFonts w:hint="eastAsia" w:ascii="宋体" w:hAnsi="宋体" w:eastAsia="宋体" w:cs="宋体"/>
          <w:color w:val="auto"/>
          <w:highlight w:val="none"/>
        </w:rPr>
      </w:pPr>
    </w:p>
    <w:p>
      <w:pPr>
        <w:pStyle w:val="2"/>
        <w:ind w:firstLine="560"/>
        <w:rPr>
          <w:rFonts w:hint="eastAsia" w:ascii="宋体" w:hAnsi="宋体" w:eastAsia="宋体" w:cs="宋体"/>
          <w:color w:val="auto"/>
          <w:highlight w:val="none"/>
        </w:rPr>
      </w:pPr>
    </w:p>
    <w:p>
      <w:pPr>
        <w:pStyle w:val="2"/>
        <w:ind w:firstLine="560"/>
        <w:rPr>
          <w:rFonts w:hint="eastAsia" w:ascii="宋体" w:hAnsi="宋体" w:eastAsia="宋体" w:cs="宋体"/>
          <w:color w:val="auto"/>
          <w:highlight w:val="none"/>
        </w:rPr>
      </w:pPr>
    </w:p>
    <w:p>
      <w:pPr>
        <w:pStyle w:val="2"/>
        <w:ind w:firstLine="560"/>
        <w:rPr>
          <w:rFonts w:hint="eastAsia" w:ascii="宋体" w:hAnsi="宋体" w:eastAsia="宋体" w:cs="宋体"/>
          <w:color w:val="auto"/>
          <w:highlight w:val="none"/>
        </w:rPr>
      </w:pPr>
    </w:p>
    <w:p>
      <w:pPr>
        <w:pStyle w:val="2"/>
        <w:ind w:firstLine="560"/>
        <w:rPr>
          <w:rFonts w:hint="eastAsia" w:ascii="宋体" w:hAnsi="宋体" w:eastAsia="宋体" w:cs="宋体"/>
          <w:color w:val="auto"/>
          <w:highlight w:val="none"/>
        </w:rPr>
      </w:pPr>
    </w:p>
    <w:p>
      <w:pPr>
        <w:pStyle w:val="2"/>
        <w:ind w:firstLine="560"/>
        <w:rPr>
          <w:rFonts w:hint="eastAsia" w:ascii="宋体" w:hAnsi="宋体" w:eastAsia="宋体" w:cs="宋体"/>
          <w:color w:val="auto"/>
          <w:highlight w:val="none"/>
        </w:rPr>
      </w:pPr>
    </w:p>
    <w:p>
      <w:pPr>
        <w:pStyle w:val="2"/>
        <w:ind w:firstLine="560"/>
        <w:rPr>
          <w:rFonts w:hint="eastAsia" w:ascii="宋体" w:hAnsi="宋体" w:eastAsia="宋体" w:cs="宋体"/>
          <w:color w:val="auto"/>
          <w:highlight w:val="none"/>
        </w:rPr>
      </w:pPr>
    </w:p>
    <w:p>
      <w:pPr>
        <w:pStyle w:val="2"/>
        <w:ind w:firstLine="560"/>
        <w:rPr>
          <w:rFonts w:hint="eastAsia" w:ascii="宋体" w:hAnsi="宋体" w:eastAsia="宋体" w:cs="宋体"/>
          <w:color w:val="auto"/>
          <w:highlight w:val="none"/>
        </w:rPr>
      </w:pPr>
    </w:p>
    <w:p>
      <w:pPr>
        <w:pStyle w:val="2"/>
        <w:ind w:firstLine="560"/>
        <w:rPr>
          <w:rFonts w:hint="eastAsia" w:ascii="宋体" w:hAnsi="宋体" w:eastAsia="宋体" w:cs="宋体"/>
          <w:color w:val="auto"/>
          <w:highlight w:val="none"/>
        </w:rPr>
      </w:pPr>
    </w:p>
    <w:p>
      <w:pPr>
        <w:pStyle w:val="2"/>
        <w:ind w:firstLine="560"/>
        <w:rPr>
          <w:rFonts w:hint="eastAsia" w:ascii="宋体" w:hAnsi="宋体" w:eastAsia="宋体" w:cs="宋体"/>
          <w:color w:val="auto"/>
          <w:highlight w:val="none"/>
        </w:rPr>
      </w:pPr>
    </w:p>
    <w:p>
      <w:pPr>
        <w:pStyle w:val="2"/>
        <w:ind w:firstLine="560"/>
        <w:rPr>
          <w:rFonts w:hint="eastAsia" w:ascii="宋体" w:hAnsi="宋体" w:eastAsia="宋体" w:cs="宋体"/>
          <w:color w:val="auto"/>
          <w:highlight w:val="none"/>
        </w:rPr>
      </w:pPr>
    </w:p>
    <w:p>
      <w:pPr>
        <w:pStyle w:val="2"/>
        <w:ind w:firstLine="560"/>
        <w:rPr>
          <w:rFonts w:hint="eastAsia" w:ascii="宋体" w:hAnsi="宋体" w:eastAsia="宋体" w:cs="宋体"/>
          <w:color w:val="auto"/>
          <w:highlight w:val="none"/>
        </w:rPr>
      </w:pPr>
    </w:p>
    <w:p>
      <w:pPr>
        <w:pStyle w:val="2"/>
        <w:ind w:firstLine="560"/>
        <w:rPr>
          <w:rFonts w:hint="eastAsia" w:ascii="宋体" w:hAnsi="宋体" w:eastAsia="宋体" w:cs="宋体"/>
          <w:color w:val="auto"/>
          <w:highlight w:val="none"/>
        </w:rPr>
      </w:pPr>
    </w:p>
    <w:bookmarkEnd w:id="25"/>
    <w:p>
      <w:pPr>
        <w:pStyle w:val="4"/>
        <w:spacing w:before="1440" w:after="120" w:line="360" w:lineRule="auto"/>
        <w:jc w:val="center"/>
        <w:rPr>
          <w:rFonts w:hint="eastAsia" w:ascii="宋体" w:hAnsi="宋体" w:eastAsia="宋体" w:cs="宋体"/>
          <w:color w:val="auto"/>
          <w:highlight w:val="none"/>
        </w:rPr>
      </w:pPr>
      <w:bookmarkStart w:id="242" w:name="_Toc4040"/>
      <w:bookmarkStart w:id="243" w:name="_Toc525120827"/>
      <w:bookmarkStart w:id="244" w:name="_Toc300038964"/>
      <w:r>
        <w:rPr>
          <w:rFonts w:hint="eastAsia" w:ascii="宋体" w:hAnsi="宋体" w:eastAsia="宋体" w:cs="宋体"/>
          <w:color w:val="auto"/>
          <w:highlight w:val="none"/>
        </w:rPr>
        <w:t>评</w:t>
      </w:r>
      <w:bookmarkStart w:id="245" w:name="_Toc13309372"/>
      <w:r>
        <w:rPr>
          <w:rFonts w:hint="eastAsia" w:ascii="宋体" w:hAnsi="宋体" w:eastAsia="宋体" w:cs="宋体"/>
          <w:color w:val="auto"/>
          <w:highlight w:val="none"/>
        </w:rPr>
        <w:t>标办法和标准</w:t>
      </w:r>
      <w:bookmarkEnd w:id="242"/>
      <w:bookmarkEnd w:id="243"/>
    </w:p>
    <w:bookmarkEnd w:id="244"/>
    <w:bookmarkEnd w:id="245"/>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headerReference r:id="rId3" w:type="default"/>
          <w:footerReference r:id="rId4" w:type="default"/>
          <w:pgSz w:w="11905" w:h="16838"/>
          <w:pgMar w:top="1134" w:right="1219" w:bottom="1004" w:left="1332" w:header="652" w:footer="652" w:gutter="0"/>
          <w:cols w:space="720" w:num="1"/>
          <w:rtlGutter w:val="0"/>
          <w:docGrid w:type="linesAndChars" w:linePitch="312" w:charSpace="0"/>
        </w:sectPr>
      </w:pPr>
    </w:p>
    <w:p>
      <w:pPr>
        <w:pStyle w:val="5"/>
        <w:numPr>
          <w:ilvl w:val="1"/>
          <w:numId w:val="15"/>
        </w:numPr>
        <w:spacing w:before="0" w:after="0" w:line="240" w:lineRule="auto"/>
        <w:ind w:firstLine="0"/>
        <w:jc w:val="center"/>
        <w:rPr>
          <w:rFonts w:hint="eastAsia" w:ascii="宋体" w:hAnsi="宋体" w:eastAsia="宋体" w:cs="宋体"/>
          <w:color w:val="auto"/>
          <w:highlight w:val="none"/>
        </w:rPr>
      </w:pPr>
      <w:bookmarkStart w:id="246" w:name="_Toc18159"/>
      <w:bookmarkStart w:id="247" w:name="_Toc525120828"/>
      <w:r>
        <w:rPr>
          <w:rFonts w:hint="eastAsia" w:ascii="宋体" w:hAnsi="宋体" w:eastAsia="宋体" w:cs="宋体"/>
          <w:color w:val="auto"/>
          <w:highlight w:val="none"/>
        </w:rPr>
        <w:t>评</w:t>
      </w:r>
      <w:bookmarkStart w:id="248" w:name="_Toc13309373"/>
      <w:r>
        <w:rPr>
          <w:rFonts w:hint="eastAsia" w:ascii="宋体" w:hAnsi="宋体" w:eastAsia="宋体" w:cs="宋体"/>
          <w:color w:val="auto"/>
          <w:highlight w:val="none"/>
        </w:rPr>
        <w:t>标办法和标准数据表</w:t>
      </w:r>
      <w:bookmarkEnd w:id="246"/>
      <w:bookmarkEnd w:id="247"/>
    </w:p>
    <w:bookmarkEnd w:id="248"/>
    <w:p>
      <w:pPr>
        <w:spacing w:line="360" w:lineRule="auto"/>
        <w:ind w:firstLine="1424" w:firstLineChars="445"/>
        <w:rPr>
          <w:rFonts w:hint="eastAsia" w:ascii="宋体" w:hAnsi="宋体" w:eastAsia="宋体" w:cs="宋体"/>
          <w:color w:val="auto"/>
          <w:sz w:val="24"/>
          <w:szCs w:val="24"/>
          <w:highlight w:val="none"/>
        </w:rPr>
      </w:pPr>
      <w:bookmarkStart w:id="249" w:name="_Toc95912242"/>
      <w:bookmarkStart w:id="250" w:name="_Toc214954294"/>
      <w:bookmarkStart w:id="251" w:name="_Toc525120829"/>
      <w:bookmarkStart w:id="252" w:name="_Toc18262"/>
      <w:bookmarkStart w:id="253" w:name="_Toc30"/>
      <w:bookmarkStart w:id="254" w:name="_Toc215537244"/>
      <w:bookmarkStart w:id="255" w:name="_Toc63471418"/>
      <w:bookmarkStart w:id="256" w:name="_Toc84419857"/>
      <w:bookmarkStart w:id="257" w:name="_Toc26069"/>
      <w:r>
        <w:rPr>
          <w:rFonts w:hint="eastAsia" w:ascii="宋体" w:hAnsi="宋体" w:eastAsia="宋体" w:cs="宋体"/>
          <w:b/>
          <w:color w:val="auto"/>
          <w:sz w:val="32"/>
          <w:szCs w:val="32"/>
          <w:highlight w:val="none"/>
        </w:rPr>
        <w:t>评标办法和标准数据表（简易评标法）</w:t>
      </w:r>
    </w:p>
    <w:tbl>
      <w:tblPr>
        <w:tblStyle w:val="24"/>
        <w:tblW w:w="10210"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870"/>
        <w:gridCol w:w="1900"/>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Borders>
              <w:top w:val="single" w:color="auto" w:sz="8" w:space="0"/>
              <w:left w:val="single" w:color="auto" w:sz="8" w:space="0"/>
              <w:bottom w:val="single" w:color="auto" w:sz="8" w:space="0"/>
            </w:tcBorders>
            <w:noWrap w:val="0"/>
            <w:vAlign w:val="center"/>
          </w:tcPr>
          <w:p>
            <w:pPr>
              <w:pStyle w:val="9"/>
              <w:keepNext w:val="0"/>
              <w:keepLines w:val="0"/>
              <w:pageBreakBefore w:val="0"/>
              <w:widowControl w:val="0"/>
              <w:kinsoku/>
              <w:wordWrap/>
              <w:overflowPunct/>
              <w:topLinePunct w:val="0"/>
              <w:bidi w:val="0"/>
              <w:snapToGrid w:val="0"/>
              <w:spacing w:line="360" w:lineRule="exact"/>
              <w:ind w:firstLine="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项号</w:t>
            </w:r>
          </w:p>
        </w:tc>
        <w:tc>
          <w:tcPr>
            <w:tcW w:w="870" w:type="dxa"/>
            <w:tcBorders>
              <w:top w:val="single" w:color="auto" w:sz="8" w:space="0"/>
              <w:bottom w:val="single" w:color="auto" w:sz="8" w:space="0"/>
            </w:tcBorders>
            <w:noWrap w:val="0"/>
            <w:vAlign w:val="center"/>
          </w:tcPr>
          <w:p>
            <w:pPr>
              <w:pStyle w:val="9"/>
              <w:keepNext w:val="0"/>
              <w:keepLines w:val="0"/>
              <w:pageBreakBefore w:val="0"/>
              <w:widowControl w:val="0"/>
              <w:kinsoku/>
              <w:wordWrap/>
              <w:overflowPunct/>
              <w:topLinePunct w:val="0"/>
              <w:bidi w:val="0"/>
              <w:snapToGrid w:val="0"/>
              <w:spacing w:line="360" w:lineRule="exact"/>
              <w:ind w:firstLine="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条款号</w:t>
            </w:r>
          </w:p>
        </w:tc>
        <w:tc>
          <w:tcPr>
            <w:tcW w:w="1900" w:type="dxa"/>
            <w:tcBorders>
              <w:top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bidi w:val="0"/>
              <w:snapToGrid w:val="0"/>
              <w:spacing w:line="360" w:lineRule="exact"/>
              <w:ind w:firstLine="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条款名称</w:t>
            </w:r>
          </w:p>
        </w:tc>
        <w:tc>
          <w:tcPr>
            <w:tcW w:w="6700" w:type="dxa"/>
            <w:tcBorders>
              <w:top w:val="single" w:color="auto" w:sz="4" w:space="0"/>
              <w:left w:val="single" w:color="auto" w:sz="4" w:space="0"/>
              <w:bottom w:val="single" w:color="auto" w:sz="4" w:space="0"/>
              <w:right w:val="single" w:color="auto" w:sz="8" w:space="0"/>
            </w:tcBorders>
            <w:noWrap w:val="0"/>
            <w:vAlign w:val="center"/>
          </w:tcPr>
          <w:p>
            <w:pPr>
              <w:pStyle w:val="9"/>
              <w:keepNext w:val="0"/>
              <w:keepLines w:val="0"/>
              <w:pageBreakBefore w:val="0"/>
              <w:widowControl w:val="0"/>
              <w:kinsoku/>
              <w:wordWrap/>
              <w:overflowPunct/>
              <w:topLinePunct w:val="0"/>
              <w:bidi w:val="0"/>
              <w:snapToGrid w:val="0"/>
              <w:spacing w:line="36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740" w:type="dxa"/>
            <w:tcBorders>
              <w:top w:val="single" w:color="auto" w:sz="8" w:space="0"/>
              <w:left w:val="single" w:color="auto" w:sz="8" w:space="0"/>
              <w:bottom w:val="single" w:color="auto" w:sz="4" w:space="0"/>
              <w:right w:val="single" w:color="auto" w:sz="4" w:space="0"/>
            </w:tcBorders>
            <w:noWrap w:val="0"/>
            <w:vAlign w:val="center"/>
          </w:tcPr>
          <w:p>
            <w:pPr>
              <w:pStyle w:val="9"/>
              <w:keepNext w:val="0"/>
              <w:keepLines w:val="0"/>
              <w:pageBreakBefore w:val="0"/>
              <w:widowControl w:val="0"/>
              <w:tabs>
                <w:tab w:val="left" w:pos="180"/>
              </w:tabs>
              <w:kinsoku/>
              <w:wordWrap/>
              <w:overflowPunct/>
              <w:topLinePunct w:val="0"/>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870" w:type="dxa"/>
            <w:tcBorders>
              <w:top w:val="single" w:color="auto" w:sz="8"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bidi w:val="0"/>
              <w:snapToGrid w:val="0"/>
              <w:spacing w:line="360" w:lineRule="exact"/>
              <w:ind w:firstLine="0"/>
              <w:jc w:val="center"/>
              <w:rPr>
                <w:rFonts w:hint="eastAsia" w:ascii="宋体" w:hAnsi="宋体" w:eastAsia="宋体" w:cs="宋体"/>
                <w:color w:val="auto"/>
                <w:kern w:val="0"/>
                <w:szCs w:val="21"/>
                <w:highlight w:val="none"/>
                <w:lang w:val="en-US" w:eastAsia="zh-CN"/>
              </w:rPr>
            </w:pPr>
            <w:r>
              <w:rPr>
                <w:rFonts w:hint="eastAsia" w:ascii="宋体" w:hAnsi="宋体" w:cs="宋体"/>
                <w:color w:val="auto"/>
                <w:spacing w:val="0"/>
                <w:kern w:val="0"/>
                <w:position w:val="0"/>
                <w:szCs w:val="21"/>
                <w:highlight w:val="none"/>
                <w:lang w:val="en-US" w:eastAsia="zh-CN"/>
              </w:rPr>
              <w:t>招标控制价（即最高投标限价）</w:t>
            </w:r>
          </w:p>
        </w:tc>
        <w:tc>
          <w:tcPr>
            <w:tcW w:w="6700" w:type="dxa"/>
            <w:tcBorders>
              <w:top w:val="single" w:color="auto" w:sz="4" w:space="0"/>
              <w:left w:val="single" w:color="auto" w:sz="4" w:space="0"/>
              <w:bottom w:val="single" w:color="auto" w:sz="4" w:space="0"/>
              <w:right w:val="single" w:color="auto" w:sz="8" w:space="0"/>
            </w:tcBorders>
            <w:noWrap w:val="0"/>
            <w:vAlign w:val="center"/>
          </w:tcPr>
          <w:p>
            <w:pPr>
              <w:pStyle w:val="9"/>
              <w:snapToGrid w:val="0"/>
              <w:spacing w:line="276" w:lineRule="auto"/>
              <w:ind w:firstLine="0"/>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本项目招标控制价为</w:t>
            </w:r>
            <w:r>
              <w:rPr>
                <w:rFonts w:hint="eastAsia" w:ascii="宋体" w:hAnsi="宋体" w:eastAsia="宋体" w:cs="宋体"/>
                <w:b w:val="0"/>
                <w:bCs w:val="0"/>
                <w:color w:val="auto"/>
                <w:spacing w:val="0"/>
                <w:position w:val="0"/>
                <w:sz w:val="21"/>
                <w:szCs w:val="21"/>
                <w:highlight w:val="none"/>
                <w:lang w:eastAsia="zh-CN"/>
              </w:rPr>
              <w:t>：</w:t>
            </w:r>
            <w:r>
              <w:rPr>
                <w:rFonts w:hint="eastAsia" w:ascii="宋体" w:hAnsi="宋体" w:eastAsia="宋体" w:cs="宋体"/>
                <w:b w:val="0"/>
                <w:bCs w:val="0"/>
                <w:color w:val="auto"/>
                <w:spacing w:val="0"/>
                <w:position w:val="0"/>
                <w:sz w:val="21"/>
                <w:szCs w:val="21"/>
                <w:highlight w:val="none"/>
                <w:u w:val="single"/>
                <w:lang w:eastAsia="zh-CN"/>
              </w:rPr>
              <w:t>3264784元</w:t>
            </w:r>
            <w:r>
              <w:rPr>
                <w:rFonts w:hint="eastAsia" w:ascii="宋体" w:hAnsi="宋体" w:eastAsia="宋体" w:cs="宋体"/>
                <w:b w:val="0"/>
                <w:bCs w:val="0"/>
                <w:color w:val="auto"/>
                <w:spacing w:val="0"/>
                <w:position w:val="0"/>
                <w:sz w:val="21"/>
                <w:szCs w:val="21"/>
                <w:highlight w:val="none"/>
              </w:rPr>
              <w:t>；</w:t>
            </w:r>
          </w:p>
          <w:p>
            <w:pPr>
              <w:pStyle w:val="9"/>
              <w:snapToGrid w:val="0"/>
              <w:spacing w:line="276" w:lineRule="auto"/>
              <w:ind w:firstLine="0"/>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招标控制价由可竞争项目造价和不可竞争项目造价组成。</w:t>
            </w:r>
          </w:p>
          <w:p>
            <w:pPr>
              <w:pStyle w:val="9"/>
              <w:snapToGrid w:val="0"/>
              <w:spacing w:line="276" w:lineRule="auto"/>
              <w:ind w:firstLine="0"/>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（1）可竞争项目造价：</w:t>
            </w:r>
            <w:r>
              <w:rPr>
                <w:rFonts w:hint="eastAsia" w:ascii="宋体" w:hAnsi="宋体" w:eastAsia="宋体" w:cs="宋体"/>
                <w:b w:val="0"/>
                <w:bCs w:val="0"/>
                <w:color w:val="auto"/>
                <w:spacing w:val="0"/>
                <w:position w:val="0"/>
                <w:sz w:val="21"/>
                <w:szCs w:val="21"/>
                <w:highlight w:val="none"/>
                <w:u w:val="single"/>
                <w:lang w:eastAsia="zh-CN"/>
              </w:rPr>
              <w:t>3264784元</w:t>
            </w:r>
            <w:r>
              <w:rPr>
                <w:rFonts w:hint="eastAsia" w:ascii="宋体" w:hAnsi="宋体" w:eastAsia="宋体" w:cs="宋体"/>
                <w:b w:val="0"/>
                <w:bCs w:val="0"/>
                <w:color w:val="auto"/>
                <w:spacing w:val="0"/>
                <w:position w:val="0"/>
                <w:sz w:val="21"/>
                <w:szCs w:val="21"/>
                <w:highlight w:val="none"/>
              </w:rPr>
              <w:t>；</w:t>
            </w:r>
          </w:p>
          <w:p>
            <w:pPr>
              <w:pStyle w:val="9"/>
              <w:snapToGrid w:val="0"/>
              <w:spacing w:line="276" w:lineRule="auto"/>
              <w:ind w:firstLine="0"/>
              <w:jc w:val="left"/>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（2）不可竞争项目造价：</w:t>
            </w:r>
            <w:r>
              <w:rPr>
                <w:rFonts w:hint="eastAsia" w:ascii="宋体" w:hAnsi="宋体" w:eastAsia="宋体" w:cs="宋体"/>
                <w:b w:val="0"/>
                <w:bCs w:val="0"/>
                <w:color w:val="auto"/>
                <w:spacing w:val="0"/>
                <w:position w:val="0"/>
                <w:sz w:val="21"/>
                <w:szCs w:val="21"/>
                <w:highlight w:val="none"/>
                <w:u w:val="single"/>
              </w:rPr>
              <w:t>0</w:t>
            </w:r>
            <w:r>
              <w:rPr>
                <w:rFonts w:hint="eastAsia" w:ascii="宋体" w:hAnsi="宋体" w:eastAsia="宋体" w:cs="宋体"/>
                <w:b w:val="0"/>
                <w:bCs w:val="0"/>
                <w:color w:val="auto"/>
                <w:spacing w:val="0"/>
                <w:position w:val="0"/>
                <w:sz w:val="21"/>
                <w:szCs w:val="21"/>
                <w:highlight w:val="none"/>
              </w:rPr>
              <w:t xml:space="preserve">元；其中 </w:t>
            </w:r>
          </w:p>
          <w:p>
            <w:pPr>
              <w:pStyle w:val="9"/>
              <w:snapToGrid w:val="0"/>
              <w:spacing w:line="276" w:lineRule="auto"/>
              <w:ind w:firstLine="0"/>
              <w:jc w:val="left"/>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①暂列金额：</w:t>
            </w:r>
            <w:r>
              <w:rPr>
                <w:rFonts w:hint="eastAsia" w:ascii="宋体" w:hAnsi="宋体" w:eastAsia="宋体" w:cs="宋体"/>
                <w:b w:val="0"/>
                <w:bCs w:val="0"/>
                <w:color w:val="auto"/>
                <w:spacing w:val="0"/>
                <w:position w:val="0"/>
                <w:sz w:val="21"/>
                <w:szCs w:val="21"/>
                <w:highlight w:val="none"/>
                <w:u w:val="single"/>
              </w:rPr>
              <w:t>0</w:t>
            </w:r>
            <w:r>
              <w:rPr>
                <w:rFonts w:hint="eastAsia" w:ascii="宋体" w:hAnsi="宋体" w:eastAsia="宋体" w:cs="宋体"/>
                <w:b w:val="0"/>
                <w:bCs w:val="0"/>
                <w:color w:val="auto"/>
                <w:spacing w:val="0"/>
                <w:position w:val="0"/>
                <w:sz w:val="21"/>
                <w:szCs w:val="21"/>
                <w:highlight w:val="none"/>
              </w:rPr>
              <w:t>元，专业工程暂估价：</w:t>
            </w:r>
            <w:r>
              <w:rPr>
                <w:rFonts w:hint="eastAsia" w:ascii="宋体" w:hAnsi="宋体" w:eastAsia="宋体" w:cs="宋体"/>
                <w:b w:val="0"/>
                <w:bCs w:val="0"/>
                <w:color w:val="auto"/>
                <w:spacing w:val="0"/>
                <w:position w:val="0"/>
                <w:sz w:val="21"/>
                <w:szCs w:val="21"/>
                <w:highlight w:val="none"/>
                <w:u w:val="single"/>
              </w:rPr>
              <w:t>0</w:t>
            </w:r>
            <w:r>
              <w:rPr>
                <w:rFonts w:hint="eastAsia" w:ascii="宋体" w:hAnsi="宋体" w:eastAsia="宋体" w:cs="宋体"/>
                <w:b w:val="0"/>
                <w:bCs w:val="0"/>
                <w:color w:val="auto"/>
                <w:spacing w:val="0"/>
                <w:position w:val="0"/>
                <w:sz w:val="21"/>
                <w:szCs w:val="21"/>
                <w:highlight w:val="none"/>
              </w:rPr>
              <w:t>元，甲供材料费：</w:t>
            </w:r>
            <w:r>
              <w:rPr>
                <w:rFonts w:hint="eastAsia" w:ascii="宋体" w:hAnsi="宋体" w:eastAsia="宋体" w:cs="宋体"/>
                <w:b w:val="0"/>
                <w:bCs w:val="0"/>
                <w:color w:val="auto"/>
                <w:spacing w:val="0"/>
                <w:position w:val="0"/>
                <w:sz w:val="21"/>
                <w:szCs w:val="21"/>
                <w:highlight w:val="none"/>
                <w:u w:val="single"/>
              </w:rPr>
              <w:t>0</w:t>
            </w:r>
            <w:r>
              <w:rPr>
                <w:rFonts w:hint="eastAsia" w:ascii="宋体" w:hAnsi="宋体" w:eastAsia="宋体" w:cs="宋体"/>
                <w:b w:val="0"/>
                <w:bCs w:val="0"/>
                <w:color w:val="auto"/>
                <w:spacing w:val="0"/>
                <w:position w:val="0"/>
                <w:sz w:val="21"/>
                <w:szCs w:val="21"/>
                <w:highlight w:val="none"/>
              </w:rPr>
              <w:t>元；</w:t>
            </w:r>
          </w:p>
          <w:p>
            <w:pPr>
              <w:pStyle w:val="30"/>
              <w:ind w:left="0" w:leftChars="0" w:firstLine="0" w:firstLineChars="0"/>
              <w:rPr>
                <w:rFonts w:hint="eastAsia"/>
                <w:color w:val="auto"/>
                <w:lang w:eastAsia="zh-CN"/>
              </w:rPr>
            </w:pPr>
            <w:r>
              <w:rPr>
                <w:rFonts w:hint="eastAsia" w:ascii="宋体" w:hAnsi="宋体" w:eastAsia="宋体" w:cs="宋体"/>
                <w:b w:val="0"/>
                <w:bCs w:val="0"/>
                <w:color w:val="auto"/>
                <w:spacing w:val="0"/>
                <w:position w:val="0"/>
                <w:sz w:val="21"/>
                <w:szCs w:val="21"/>
                <w:highlight w:val="none"/>
              </w:rPr>
              <w:t>②措施项目清单中的安全文明施工费按有关规定计取。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40" w:type="dxa"/>
            <w:tcBorders>
              <w:top w:val="single" w:color="auto" w:sz="8" w:space="0"/>
              <w:left w:val="single" w:color="auto" w:sz="8" w:space="0"/>
              <w:bottom w:val="single" w:color="auto" w:sz="4" w:space="0"/>
              <w:right w:val="single" w:color="auto" w:sz="4" w:space="0"/>
            </w:tcBorders>
            <w:noWrap w:val="0"/>
            <w:vAlign w:val="center"/>
          </w:tcPr>
          <w:p>
            <w:pPr>
              <w:pStyle w:val="9"/>
              <w:keepNext w:val="0"/>
              <w:keepLines w:val="0"/>
              <w:pageBreakBefore w:val="0"/>
              <w:widowControl w:val="0"/>
              <w:tabs>
                <w:tab w:val="left" w:pos="180"/>
              </w:tabs>
              <w:kinsoku/>
              <w:wordWrap/>
              <w:overflowPunct/>
              <w:topLinePunct w:val="0"/>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870" w:type="dxa"/>
            <w:tcBorders>
              <w:top w:val="single" w:color="auto" w:sz="8"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bidi w:val="0"/>
              <w:snapToGrid w:val="0"/>
              <w:spacing w:line="360" w:lineRule="exact"/>
              <w:ind w:firstLine="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lang w:val="en-US" w:eastAsia="zh-CN"/>
              </w:rPr>
              <w:t>K值取定</w:t>
            </w:r>
          </w:p>
        </w:tc>
        <w:tc>
          <w:tcPr>
            <w:tcW w:w="6700" w:type="dxa"/>
            <w:tcBorders>
              <w:top w:val="single" w:color="auto" w:sz="4" w:space="0"/>
              <w:left w:val="single" w:color="auto" w:sz="4" w:space="0"/>
              <w:bottom w:val="single" w:color="auto" w:sz="4" w:space="0"/>
              <w:right w:val="single" w:color="auto" w:sz="8" w:space="0"/>
            </w:tcBorders>
            <w:noWrap w:val="0"/>
            <w:vAlign w:val="center"/>
          </w:tcPr>
          <w:p>
            <w:pPr>
              <w:pStyle w:val="9"/>
              <w:snapToGrid w:val="0"/>
              <w:spacing w:line="240" w:lineRule="auto"/>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本招标项目K的取值为</w:t>
            </w:r>
            <w:r>
              <w:rPr>
                <w:rFonts w:hint="eastAsia" w:ascii="宋体" w:hAnsi="宋体" w:eastAsia="宋体" w:cs="宋体"/>
                <w:b/>
                <w:color w:val="auto"/>
                <w:sz w:val="21"/>
                <w:szCs w:val="21"/>
                <w:u w:val="single"/>
                <w:lang w:val="en-US" w:eastAsia="zh-CN"/>
              </w:rPr>
              <w:t>8</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w:t>
            </w:r>
            <w:r>
              <w:rPr>
                <w:rFonts w:hint="eastAsia" w:ascii="宋体" w:hAnsi="宋体" w:eastAsia="宋体" w:cs="宋体"/>
                <w:b/>
                <w:color w:val="auto"/>
                <w:sz w:val="21"/>
                <w:szCs w:val="21"/>
                <w:u w:val="single"/>
                <w:lang w:val="en-US" w:eastAsia="zh-CN"/>
              </w:rPr>
              <w:t>10</w:t>
            </w:r>
            <w:r>
              <w:rPr>
                <w:rFonts w:hint="eastAsia" w:ascii="宋体" w:hAnsi="宋体" w:eastAsia="宋体" w:cs="宋体"/>
                <w:b/>
                <w:color w:val="auto"/>
                <w:sz w:val="21"/>
                <w:szCs w:val="21"/>
                <w:lang w:val="en-US" w:eastAsia="zh-CN"/>
              </w:rPr>
              <w:t>%；</w:t>
            </w:r>
            <w:r>
              <w:rPr>
                <w:rFonts w:hint="eastAsia" w:ascii="宋体" w:hAnsi="宋体" w:eastAsia="宋体" w:cs="宋体"/>
                <w:b/>
                <w:bCs/>
                <w:color w:val="auto"/>
                <w:sz w:val="21"/>
                <w:szCs w:val="21"/>
                <w:lang w:eastAsia="zh-CN"/>
              </w:rPr>
              <w:t>（含</w:t>
            </w:r>
            <w:r>
              <w:rPr>
                <w:rFonts w:hint="eastAsia" w:ascii="宋体" w:hAnsi="宋体" w:eastAsia="宋体" w:cs="宋体"/>
                <w:b/>
                <w:bCs/>
                <w:color w:val="auto"/>
                <w:sz w:val="21"/>
                <w:szCs w:val="21"/>
                <w:lang w:val="en-US" w:eastAsia="zh-CN"/>
              </w:rPr>
              <w:t>8-不含10</w:t>
            </w:r>
            <w:r>
              <w:rPr>
                <w:rFonts w:hint="eastAsia" w:ascii="宋体" w:hAnsi="宋体" w:eastAsia="宋体" w:cs="宋体"/>
                <w:b/>
                <w:bCs/>
                <w:color w:val="auto"/>
                <w:sz w:val="21"/>
                <w:szCs w:val="21"/>
                <w:lang w:eastAsia="zh-CN"/>
              </w:rPr>
              <w:t>）</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val="0"/>
              <w:autoSpaceDN w:val="0"/>
              <w:bidi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按百分数表示的K值小数点后保留2位。K值分三次由业主代表抽取，首先抽取整数位，其次抽取小数点后第一位，最后抽取小数点后第二位。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40" w:type="dxa"/>
            <w:tcBorders>
              <w:top w:val="single" w:color="auto" w:sz="8" w:space="0"/>
              <w:left w:val="single" w:color="auto" w:sz="8" w:space="0"/>
              <w:bottom w:val="single" w:color="auto" w:sz="4" w:space="0"/>
              <w:right w:val="single" w:color="auto" w:sz="4" w:space="0"/>
            </w:tcBorders>
            <w:noWrap w:val="0"/>
            <w:vAlign w:val="center"/>
          </w:tcPr>
          <w:p>
            <w:pPr>
              <w:pStyle w:val="9"/>
              <w:keepNext w:val="0"/>
              <w:keepLines w:val="0"/>
              <w:pageBreakBefore w:val="0"/>
              <w:widowControl w:val="0"/>
              <w:tabs>
                <w:tab w:val="left" w:pos="180"/>
              </w:tabs>
              <w:kinsoku/>
              <w:wordWrap/>
              <w:overflowPunct/>
              <w:topLinePunct w:val="0"/>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870" w:type="dxa"/>
            <w:tcBorders>
              <w:top w:val="single" w:color="auto" w:sz="8"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bidi w:val="0"/>
              <w:snapToGrid w:val="0"/>
              <w:spacing w:line="360" w:lineRule="exact"/>
              <w:ind w:firstLine="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lang w:val="en-US" w:eastAsia="zh-CN"/>
              </w:rPr>
              <w:t>发包价及其组成和计算方法</w:t>
            </w:r>
          </w:p>
        </w:tc>
        <w:tc>
          <w:tcPr>
            <w:tcW w:w="6700" w:type="dxa"/>
            <w:tcBorders>
              <w:top w:val="single" w:color="auto" w:sz="4" w:space="0"/>
              <w:left w:val="single" w:color="auto" w:sz="4" w:space="0"/>
              <w:bottom w:val="single" w:color="auto" w:sz="4" w:space="0"/>
              <w:right w:val="single" w:color="auto" w:sz="8" w:space="0"/>
            </w:tcBorders>
            <w:noWrap w:val="0"/>
            <w:vAlign w:val="center"/>
          </w:tcPr>
          <w:p>
            <w:pPr>
              <w:pStyle w:val="9"/>
              <w:keepNext w:val="0"/>
              <w:keepLines w:val="0"/>
              <w:pageBreakBefore w:val="0"/>
              <w:widowControl w:val="0"/>
              <w:kinsoku/>
              <w:wordWrap/>
              <w:overflowPunct/>
              <w:topLinePunct w:val="0"/>
              <w:bidi w:val="0"/>
              <w:snapToGrid w:val="0"/>
              <w:spacing w:line="360" w:lineRule="exact"/>
              <w:ind w:firstLine="0"/>
              <w:jc w:val="both"/>
              <w:textAlignment w:val="center"/>
              <w:rPr>
                <w:rFonts w:hint="eastAsia" w:ascii="宋体" w:hAnsi="宋体" w:eastAsia="宋体" w:cs="宋体"/>
                <w:color w:val="auto"/>
                <w:kern w:val="0"/>
                <w:szCs w:val="21"/>
                <w:highlight w:val="none"/>
                <w:u w:val="single"/>
                <w:lang w:val="en-US" w:eastAsia="zh-CN" w:bidi="ar"/>
              </w:rPr>
            </w:pPr>
            <w:r>
              <w:rPr>
                <w:rFonts w:hint="eastAsia" w:ascii="宋体" w:hAnsi="宋体" w:eastAsia="宋体" w:cs="宋体"/>
                <w:color w:val="auto"/>
                <w:kern w:val="0"/>
                <w:szCs w:val="21"/>
                <w:highlight w:val="none"/>
                <w:u w:val="single"/>
                <w:lang w:val="en-US" w:eastAsia="zh-CN" w:bidi="ar"/>
              </w:rPr>
              <w:t>发包价（即中标价）＝可竞争费用×（1-K）+不可竞争费用；</w:t>
            </w:r>
          </w:p>
          <w:p>
            <w:pPr>
              <w:pStyle w:val="9"/>
              <w:keepNext w:val="0"/>
              <w:keepLines w:val="0"/>
              <w:pageBreakBefore w:val="0"/>
              <w:widowControl w:val="0"/>
              <w:kinsoku/>
              <w:wordWrap/>
              <w:overflowPunct/>
              <w:topLinePunct w:val="0"/>
              <w:bidi w:val="0"/>
              <w:snapToGrid w:val="0"/>
              <w:spacing w:line="360" w:lineRule="exact"/>
              <w:ind w:firstLine="0"/>
              <w:jc w:val="both"/>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u w:val="single"/>
                <w:lang w:val="en-US" w:eastAsia="zh-CN" w:bidi="ar"/>
              </w:rPr>
              <w:t>本工程的发包价（即中标价）四舍五入精确到元。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740" w:type="dxa"/>
            <w:tcBorders>
              <w:top w:val="single" w:color="auto" w:sz="8" w:space="0"/>
              <w:left w:val="single" w:color="auto" w:sz="8" w:space="0"/>
              <w:bottom w:val="single" w:color="auto" w:sz="4" w:space="0"/>
              <w:right w:val="single" w:color="auto" w:sz="4" w:space="0"/>
            </w:tcBorders>
            <w:noWrap w:val="0"/>
            <w:vAlign w:val="center"/>
          </w:tcPr>
          <w:p>
            <w:pPr>
              <w:pStyle w:val="9"/>
              <w:keepNext w:val="0"/>
              <w:keepLines w:val="0"/>
              <w:pageBreakBefore w:val="0"/>
              <w:widowControl w:val="0"/>
              <w:tabs>
                <w:tab w:val="left" w:pos="180"/>
              </w:tabs>
              <w:kinsoku/>
              <w:wordWrap/>
              <w:overflowPunct/>
              <w:topLinePunct w:val="0"/>
              <w:bidi w:val="0"/>
              <w:snapToGrid w:val="0"/>
              <w:spacing w:line="360" w:lineRule="exact"/>
              <w:ind w:firstLine="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870" w:type="dxa"/>
            <w:tcBorders>
              <w:top w:val="single" w:color="auto" w:sz="8" w:space="0"/>
              <w:left w:val="single" w:color="auto" w:sz="4" w:space="0"/>
              <w:bottom w:val="single" w:color="auto" w:sz="4" w:space="0"/>
              <w:right w:val="single" w:color="auto" w:sz="4" w:space="0"/>
            </w:tcBorders>
            <w:noWrap w:val="0"/>
            <w:vAlign w:val="center"/>
          </w:tcPr>
          <w:p>
            <w:pPr>
              <w:pStyle w:val="9"/>
              <w:snapToGrid w:val="0"/>
              <w:spacing w:line="240" w:lineRule="auto"/>
              <w:ind w:firstLine="0" w:firstLineChars="0"/>
              <w:jc w:val="center"/>
              <w:rPr>
                <w:rFonts w:hint="eastAsia" w:ascii="宋体" w:hAnsi="宋体" w:cs="宋体" w:eastAsiaTheme="minorEastAsia"/>
                <w:color w:val="auto"/>
                <w:spacing w:val="0"/>
                <w:kern w:val="0"/>
                <w:position w:val="0"/>
                <w:sz w:val="21"/>
                <w:szCs w:val="21"/>
                <w:highlight w:val="none"/>
                <w:lang w:val="en-US" w:eastAsia="zh-CN" w:bidi="ar-SA"/>
              </w:rPr>
            </w:pPr>
            <w:r>
              <w:rPr>
                <w:rFonts w:hint="eastAsia" w:ascii="宋体" w:hAnsi="宋体" w:cs="宋体"/>
                <w:color w:val="auto"/>
                <w:spacing w:val="0"/>
                <w:kern w:val="0"/>
                <w:position w:val="0"/>
                <w:szCs w:val="21"/>
                <w:highlight w:val="none"/>
                <w:lang w:val="en-US" w:eastAsia="zh-CN"/>
              </w:rPr>
              <w:t>3.1</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pStyle w:val="9"/>
              <w:snapToGrid w:val="0"/>
              <w:spacing w:line="380" w:lineRule="exact"/>
              <w:ind w:firstLine="0" w:firstLineChars="0"/>
              <w:jc w:val="center"/>
              <w:rPr>
                <w:rFonts w:hint="eastAsia" w:ascii="宋体" w:hAnsi="宋体" w:cs="宋体" w:eastAsiaTheme="minorEastAsia"/>
                <w:color w:val="auto"/>
                <w:spacing w:val="0"/>
                <w:kern w:val="0"/>
                <w:position w:val="0"/>
                <w:sz w:val="21"/>
                <w:szCs w:val="21"/>
                <w:highlight w:val="none"/>
                <w:lang w:val="en-US" w:eastAsia="zh-CN" w:bidi="ar-SA"/>
              </w:rPr>
            </w:pPr>
            <w:r>
              <w:rPr>
                <w:rFonts w:hint="eastAsia" w:ascii="宋体" w:hAnsi="宋体" w:cs="宋体"/>
                <w:color w:val="auto"/>
                <w:spacing w:val="0"/>
                <w:kern w:val="0"/>
                <w:position w:val="0"/>
                <w:szCs w:val="21"/>
                <w:highlight w:val="none"/>
                <w:lang w:val="en-US" w:eastAsia="zh-CN"/>
              </w:rPr>
              <w:t>随机抽取方式和程序</w:t>
            </w:r>
          </w:p>
        </w:tc>
        <w:tc>
          <w:tcPr>
            <w:tcW w:w="6700" w:type="dxa"/>
            <w:tcBorders>
              <w:top w:val="single" w:color="auto" w:sz="4" w:space="0"/>
              <w:left w:val="single" w:color="auto" w:sz="4" w:space="0"/>
              <w:bottom w:val="single" w:color="auto" w:sz="4" w:space="0"/>
              <w:right w:val="single" w:color="auto" w:sz="8" w:space="0"/>
            </w:tcBorders>
            <w:noWrap w:val="0"/>
            <w:vAlign w:val="center"/>
          </w:tcPr>
          <w:p>
            <w:pPr>
              <w:pStyle w:val="9"/>
              <w:snapToGrid w:val="0"/>
              <w:spacing w:line="240" w:lineRule="auto"/>
              <w:ind w:firstLine="0"/>
              <w:jc w:val="left"/>
              <w:rPr>
                <w:rFonts w:hint="eastAsia" w:ascii="宋体" w:hAnsi="宋体" w:cs="宋体"/>
                <w:color w:val="auto"/>
                <w:spacing w:val="0"/>
                <w:kern w:val="0"/>
                <w:position w:val="0"/>
                <w:szCs w:val="21"/>
                <w:highlight w:val="none"/>
                <w:lang w:val="en-US" w:eastAsia="zh-CN"/>
              </w:rPr>
            </w:pPr>
            <w:r>
              <w:rPr>
                <w:rFonts w:hint="eastAsia" w:ascii="宋体" w:hAnsi="宋体" w:cs="宋体"/>
                <w:color w:val="auto"/>
                <w:spacing w:val="0"/>
                <w:kern w:val="0"/>
                <w:position w:val="0"/>
                <w:szCs w:val="21"/>
                <w:highlight w:val="none"/>
                <w:lang w:val="en-US" w:eastAsia="zh-CN"/>
              </w:rPr>
              <w:t>随机抽取方式：</w:t>
            </w:r>
            <w:r>
              <w:rPr>
                <w:rFonts w:hint="eastAsia" w:ascii="宋体" w:hAnsi="宋体" w:cs="宋体"/>
                <w:color w:val="auto"/>
                <w:spacing w:val="0"/>
                <w:kern w:val="0"/>
                <w:position w:val="0"/>
                <w:szCs w:val="21"/>
                <w:highlight w:val="none"/>
                <w:u w:val="single"/>
                <w:lang w:val="en-US" w:eastAsia="zh-CN"/>
              </w:rPr>
              <w:t>a</w:t>
            </w:r>
          </w:p>
          <w:p>
            <w:pPr>
              <w:pStyle w:val="9"/>
              <w:snapToGrid w:val="0"/>
              <w:spacing w:line="240" w:lineRule="auto"/>
              <w:ind w:firstLine="0"/>
              <w:jc w:val="left"/>
              <w:rPr>
                <w:rFonts w:hint="eastAsia" w:ascii="宋体" w:hAnsi="宋体" w:cs="宋体"/>
                <w:color w:val="auto"/>
                <w:spacing w:val="0"/>
                <w:kern w:val="0"/>
                <w:position w:val="0"/>
                <w:szCs w:val="21"/>
                <w:highlight w:val="none"/>
                <w:lang w:val="en-US" w:eastAsia="zh-CN"/>
              </w:rPr>
            </w:pPr>
            <w:r>
              <w:rPr>
                <w:rFonts w:hint="eastAsia" w:ascii="宋体" w:hAnsi="宋体" w:cs="宋体"/>
                <w:color w:val="auto"/>
                <w:spacing w:val="0"/>
                <w:kern w:val="0"/>
                <w:position w:val="0"/>
                <w:szCs w:val="21"/>
                <w:highlight w:val="none"/>
                <w:lang w:val="en-US" w:eastAsia="zh-CN"/>
              </w:rPr>
              <w:t>a、由电子交易平台随机抽取；</w:t>
            </w:r>
          </w:p>
          <w:p>
            <w:pPr>
              <w:pStyle w:val="9"/>
              <w:snapToGrid w:val="0"/>
              <w:spacing w:line="240" w:lineRule="auto"/>
              <w:ind w:firstLine="0"/>
              <w:jc w:val="left"/>
              <w:rPr>
                <w:rFonts w:hint="eastAsia" w:ascii="宋体" w:hAnsi="宋体" w:cs="宋体"/>
                <w:color w:val="auto"/>
                <w:spacing w:val="0"/>
                <w:kern w:val="0"/>
                <w:position w:val="0"/>
                <w:szCs w:val="21"/>
                <w:highlight w:val="none"/>
                <w:lang w:val="en-US" w:eastAsia="zh-CN"/>
              </w:rPr>
            </w:pPr>
            <w:r>
              <w:rPr>
                <w:rFonts w:hint="eastAsia" w:ascii="宋体" w:hAnsi="宋体" w:cs="宋体"/>
                <w:color w:val="auto"/>
                <w:spacing w:val="0"/>
                <w:kern w:val="0"/>
                <w:position w:val="0"/>
                <w:szCs w:val="21"/>
                <w:highlight w:val="none"/>
                <w:lang w:val="en-US" w:eastAsia="zh-CN"/>
              </w:rPr>
              <w:t>b、开标现场随机抽球方式，具体程序：</w:t>
            </w:r>
            <w:r>
              <w:rPr>
                <w:rFonts w:hint="eastAsia" w:ascii="宋体" w:hAnsi="宋体" w:cs="宋体"/>
                <w:color w:val="auto"/>
                <w:spacing w:val="0"/>
                <w:kern w:val="0"/>
                <w:position w:val="0"/>
                <w:szCs w:val="21"/>
                <w:highlight w:val="none"/>
                <w:u w:val="single"/>
                <w:lang w:val="en-US" w:eastAsia="zh-CN"/>
              </w:rPr>
              <w:t>由招标采用随机抽球的方式，随机抽取20家入围单位进入评审</w:t>
            </w:r>
            <w:r>
              <w:rPr>
                <w:rFonts w:hint="eastAsia" w:ascii="宋体" w:hAnsi="宋体" w:cs="宋体"/>
                <w:color w:val="auto"/>
                <w:spacing w:val="0"/>
                <w:kern w:val="0"/>
                <w:position w:val="0"/>
                <w:szCs w:val="21"/>
                <w:highlight w:val="none"/>
                <w:lang w:val="en-US" w:eastAsia="zh-CN"/>
              </w:rPr>
              <w:t>；</w:t>
            </w:r>
          </w:p>
          <w:p>
            <w:pPr>
              <w:pStyle w:val="9"/>
              <w:snapToGrid w:val="0"/>
              <w:spacing w:line="240" w:lineRule="auto"/>
              <w:ind w:firstLine="0" w:firstLineChars="0"/>
              <w:jc w:val="left"/>
              <w:rPr>
                <w:rFonts w:hint="eastAsia" w:ascii="宋体" w:hAnsi="宋体" w:cs="宋体" w:eastAsiaTheme="minorEastAsia"/>
                <w:color w:val="auto"/>
                <w:spacing w:val="0"/>
                <w:kern w:val="0"/>
                <w:position w:val="0"/>
                <w:sz w:val="21"/>
                <w:szCs w:val="24"/>
                <w:highlight w:val="none"/>
                <w:lang w:val="en-US" w:eastAsia="zh-CN" w:bidi="ar-SA"/>
              </w:rPr>
            </w:pPr>
            <w:r>
              <w:rPr>
                <w:rFonts w:hint="eastAsia" w:ascii="宋体" w:hAnsi="宋体" w:cs="宋体"/>
                <w:color w:val="auto"/>
                <w:spacing w:val="0"/>
                <w:kern w:val="0"/>
                <w:position w:val="0"/>
                <w:szCs w:val="21"/>
                <w:highlight w:val="none"/>
                <w:lang w:val="en-US" w:eastAsia="zh-CN"/>
              </w:rPr>
              <w:t>c、由电子交易平台随机抽取和开标现场随机抽球相结合方式，具体程序：</w:t>
            </w:r>
            <w:r>
              <w:rPr>
                <w:rFonts w:hint="eastAsia" w:ascii="宋体" w:hAnsi="宋体" w:cs="宋体"/>
                <w:color w:val="auto"/>
                <w:spacing w:val="0"/>
                <w:kern w:val="0"/>
                <w:position w:val="0"/>
                <w:szCs w:val="21"/>
                <w:highlight w:val="none"/>
                <w:u w:val="single"/>
                <w:lang w:val="en-US" w:eastAsia="zh-CN"/>
              </w:rPr>
              <w:t>（应考虑参与抽球的投标人数量超出摇球机的可摇数量范围的具体处理方法）</w:t>
            </w:r>
            <w:r>
              <w:rPr>
                <w:rFonts w:hint="eastAsia" w:ascii="宋体" w:hAnsi="宋体" w:cs="宋体"/>
                <w:color w:val="auto"/>
                <w:spacing w:val="0"/>
                <w:kern w:val="0"/>
                <w:positio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Borders>
              <w:top w:val="single" w:color="auto" w:sz="8" w:space="0"/>
              <w:left w:val="single" w:color="auto" w:sz="8" w:space="0"/>
              <w:bottom w:val="single" w:color="auto" w:sz="8" w:space="0"/>
              <w:right w:val="single" w:color="auto" w:sz="4" w:space="0"/>
            </w:tcBorders>
            <w:noWrap w:val="0"/>
            <w:vAlign w:val="center"/>
          </w:tcPr>
          <w:p>
            <w:pPr>
              <w:pStyle w:val="9"/>
              <w:keepNext w:val="0"/>
              <w:keepLines w:val="0"/>
              <w:pageBreakBefore w:val="0"/>
              <w:widowControl w:val="0"/>
              <w:tabs>
                <w:tab w:val="left" w:pos="180"/>
              </w:tabs>
              <w:kinsoku/>
              <w:wordWrap/>
              <w:overflowPunct/>
              <w:topLinePunct w:val="0"/>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870" w:type="dxa"/>
            <w:tcBorders>
              <w:top w:val="single" w:color="auto" w:sz="8" w:space="0"/>
              <w:left w:val="single" w:color="auto" w:sz="4" w:space="0"/>
              <w:bottom w:val="single" w:color="auto" w:sz="8" w:space="0"/>
              <w:right w:val="single" w:color="auto" w:sz="4" w:space="0"/>
            </w:tcBorders>
            <w:noWrap w:val="0"/>
            <w:vAlign w:val="center"/>
          </w:tcPr>
          <w:p>
            <w:pPr>
              <w:pStyle w:val="9"/>
              <w:keepNext w:val="0"/>
              <w:keepLines w:val="0"/>
              <w:pageBreakBefore w:val="0"/>
              <w:widowControl w:val="0"/>
              <w:kinsoku/>
              <w:wordWrap/>
              <w:overflowPunct/>
              <w:topLinePunct w:val="0"/>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4.1.9</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拟派出的施工现场管理人员最低资格和人数要求</w:t>
            </w:r>
          </w:p>
        </w:tc>
        <w:tc>
          <w:tcPr>
            <w:tcW w:w="6700" w:type="dxa"/>
            <w:tcBorders>
              <w:top w:val="single" w:color="auto" w:sz="4" w:space="0"/>
              <w:left w:val="single" w:color="auto" w:sz="4" w:space="0"/>
              <w:bottom w:val="single" w:color="auto" w:sz="4" w:space="0"/>
              <w:right w:val="single" w:color="auto" w:sz="8" w:space="0"/>
            </w:tcBorders>
            <w:noWrap w:val="0"/>
            <w:vAlign w:val="top"/>
          </w:tcPr>
          <w:p>
            <w:pPr>
              <w:spacing w:line="380" w:lineRule="exact"/>
              <w:ind w:firstLine="420" w:firstLineChars="200"/>
              <w:rPr>
                <w:rFonts w:hint="eastAsia" w:ascii="宋体" w:hAnsi="宋体" w:eastAsia="宋体" w:cs="宋体"/>
                <w:b/>
                <w:bCs/>
                <w:iCs/>
                <w:color w:val="auto"/>
                <w:sz w:val="21"/>
                <w:szCs w:val="21"/>
              </w:rPr>
            </w:pPr>
            <w:r>
              <w:rPr>
                <w:rFonts w:hint="eastAsia" w:ascii="宋体" w:hAnsi="宋体" w:eastAsia="宋体" w:cs="宋体"/>
                <w:b/>
                <w:bCs/>
                <w:iCs/>
                <w:color w:val="auto"/>
                <w:sz w:val="21"/>
                <w:szCs w:val="21"/>
              </w:rPr>
              <w:t>1、项目负责人</w:t>
            </w:r>
            <w:r>
              <w:rPr>
                <w:rFonts w:hint="eastAsia" w:ascii="宋体" w:hAnsi="宋体" w:eastAsia="宋体" w:cs="宋体"/>
                <w:b/>
                <w:bCs/>
                <w:iCs/>
                <w:color w:val="auto"/>
                <w:sz w:val="21"/>
                <w:szCs w:val="21"/>
                <w:u w:val="single"/>
              </w:rPr>
              <w:t xml:space="preserve"> 1 </w:t>
            </w:r>
            <w:r>
              <w:rPr>
                <w:rFonts w:hint="eastAsia" w:ascii="宋体" w:hAnsi="宋体" w:eastAsia="宋体" w:cs="宋体"/>
                <w:b/>
                <w:bCs/>
                <w:iCs/>
                <w:color w:val="auto"/>
                <w:sz w:val="21"/>
                <w:szCs w:val="21"/>
              </w:rPr>
              <w:t>人，注册建造师专业及等级：</w:t>
            </w:r>
            <w:r>
              <w:rPr>
                <w:rFonts w:hint="eastAsia" w:ascii="宋体" w:hAnsi="宋体" w:eastAsia="宋体" w:cs="宋体"/>
                <w:b/>
                <w:bCs/>
                <w:iCs/>
                <w:color w:val="auto"/>
                <w:sz w:val="21"/>
                <w:szCs w:val="21"/>
                <w:u w:val="single"/>
              </w:rPr>
              <w:t>不低于贰级</w:t>
            </w:r>
            <w:r>
              <w:rPr>
                <w:rFonts w:hint="eastAsia" w:ascii="宋体" w:hAnsi="宋体" w:eastAsia="宋体" w:cs="宋体"/>
                <w:b/>
                <w:bCs/>
                <w:color w:val="auto"/>
                <w:spacing w:val="0"/>
                <w:position w:val="0"/>
                <w:sz w:val="21"/>
                <w:szCs w:val="21"/>
                <w:highlight w:val="none"/>
                <w:u w:val="single"/>
                <w:lang w:val="en-US" w:eastAsia="zh-CN"/>
              </w:rPr>
              <w:t>建筑工程</w:t>
            </w:r>
            <w:r>
              <w:rPr>
                <w:rFonts w:hint="eastAsia" w:ascii="宋体" w:hAnsi="宋体" w:eastAsia="宋体" w:cs="宋体"/>
                <w:b/>
                <w:bCs/>
                <w:iCs/>
                <w:color w:val="auto"/>
                <w:sz w:val="21"/>
                <w:szCs w:val="21"/>
                <w:u w:val="single"/>
              </w:rPr>
              <w:t>专业注册建造师执业资格</w:t>
            </w:r>
            <w:r>
              <w:rPr>
                <w:rFonts w:hint="eastAsia" w:ascii="宋体" w:hAnsi="宋体" w:eastAsia="宋体" w:cs="宋体"/>
                <w:b/>
                <w:bCs/>
                <w:iCs/>
                <w:color w:val="auto"/>
                <w:sz w:val="21"/>
                <w:szCs w:val="21"/>
              </w:rPr>
              <w:t xml:space="preserve">，并持有合格有效的安全生产考核合格证书 B 证。拟派出项目负责人须附上其注册建造师证书、身份证和安全生产考核合格证书 B 证的扫描件并加盖投标人单位公章。拟派出项目负责人必须为独立投标人或联合体牵头人的本企业在岗人员，以注册建造师证书上的注册单位为准。 </w:t>
            </w:r>
          </w:p>
          <w:p>
            <w:pPr>
              <w:spacing w:line="380" w:lineRule="exact"/>
              <w:ind w:firstLine="420" w:firstLineChars="200"/>
              <w:rPr>
                <w:rFonts w:hint="eastAsia" w:ascii="宋体" w:hAnsi="宋体" w:eastAsia="宋体" w:cs="宋体"/>
                <w:b/>
                <w:bCs/>
                <w:iCs/>
                <w:color w:val="auto"/>
                <w:sz w:val="21"/>
                <w:szCs w:val="21"/>
              </w:rPr>
            </w:pPr>
            <w:r>
              <w:rPr>
                <w:rFonts w:hint="eastAsia" w:ascii="宋体" w:hAnsi="宋体" w:eastAsia="宋体" w:cs="宋体"/>
                <w:b/>
                <w:bCs/>
                <w:iCs/>
                <w:color w:val="auto"/>
                <w:sz w:val="21"/>
                <w:szCs w:val="21"/>
              </w:rPr>
              <w:t>2、项目技术负责人</w:t>
            </w:r>
            <w:r>
              <w:rPr>
                <w:rFonts w:hint="eastAsia" w:ascii="宋体" w:hAnsi="宋体" w:eastAsia="宋体" w:cs="宋体"/>
                <w:b/>
                <w:bCs/>
                <w:iCs/>
                <w:color w:val="auto"/>
                <w:sz w:val="21"/>
                <w:szCs w:val="21"/>
                <w:u w:val="single"/>
                <w:lang w:val="en-US" w:eastAsia="zh-CN"/>
              </w:rPr>
              <w:t xml:space="preserve"> </w:t>
            </w:r>
            <w:r>
              <w:rPr>
                <w:rFonts w:hint="eastAsia" w:ascii="宋体" w:hAnsi="宋体" w:eastAsia="宋体" w:cs="宋体"/>
                <w:b/>
                <w:bCs/>
                <w:iCs/>
                <w:color w:val="auto"/>
                <w:sz w:val="21"/>
                <w:szCs w:val="21"/>
                <w:u w:val="single"/>
              </w:rPr>
              <w:t>1</w:t>
            </w:r>
            <w:r>
              <w:rPr>
                <w:rFonts w:hint="eastAsia" w:ascii="宋体" w:hAnsi="宋体" w:eastAsia="宋体" w:cs="宋体"/>
                <w:b/>
                <w:bCs/>
                <w:iCs/>
                <w:color w:val="auto"/>
                <w:sz w:val="21"/>
                <w:szCs w:val="21"/>
                <w:u w:val="single"/>
                <w:lang w:val="en-US" w:eastAsia="zh-CN"/>
              </w:rPr>
              <w:t xml:space="preserve"> </w:t>
            </w:r>
            <w:r>
              <w:rPr>
                <w:rFonts w:hint="eastAsia" w:ascii="宋体" w:hAnsi="宋体" w:eastAsia="宋体" w:cs="宋体"/>
                <w:b/>
                <w:bCs/>
                <w:iCs/>
                <w:color w:val="auto"/>
                <w:sz w:val="21"/>
                <w:szCs w:val="21"/>
              </w:rPr>
              <w:t>人，职称：</w:t>
            </w:r>
            <w:r>
              <w:rPr>
                <w:rFonts w:hint="eastAsia" w:ascii="宋体" w:hAnsi="宋体" w:eastAsia="宋体" w:cs="宋体"/>
                <w:b/>
                <w:bCs/>
                <w:iCs/>
                <w:color w:val="auto"/>
                <w:sz w:val="21"/>
                <w:szCs w:val="21"/>
                <w:u w:val="single"/>
              </w:rPr>
              <w:t>中级及以上技术职称</w:t>
            </w:r>
            <w:r>
              <w:rPr>
                <w:rFonts w:hint="eastAsia" w:ascii="宋体" w:hAnsi="宋体" w:eastAsia="宋体" w:cs="宋体"/>
                <w:b/>
                <w:bCs/>
                <w:iCs/>
                <w:color w:val="auto"/>
                <w:sz w:val="21"/>
                <w:szCs w:val="21"/>
              </w:rPr>
              <w:t>，专业：</w:t>
            </w:r>
            <w:r>
              <w:rPr>
                <w:rFonts w:hint="eastAsia" w:ascii="宋体" w:hAnsi="宋体" w:eastAsia="宋体" w:cs="宋体"/>
                <w:b/>
                <w:bCs/>
                <w:iCs/>
                <w:color w:val="auto"/>
                <w:sz w:val="21"/>
                <w:szCs w:val="21"/>
                <w:u w:val="single"/>
              </w:rPr>
              <w:t xml:space="preserve"> </w:t>
            </w:r>
            <w:r>
              <w:rPr>
                <w:rFonts w:hint="eastAsia" w:ascii="宋体" w:hAnsi="宋体" w:eastAsia="宋体" w:cs="宋体"/>
                <w:b/>
                <w:bCs/>
                <w:iCs/>
                <w:color w:val="auto"/>
                <w:sz w:val="21"/>
                <w:szCs w:val="21"/>
                <w:u w:val="single"/>
                <w:lang w:val="en-US" w:eastAsia="zh-CN"/>
              </w:rPr>
              <w:t>建筑</w:t>
            </w:r>
            <w:r>
              <w:rPr>
                <w:rFonts w:hint="eastAsia" w:ascii="宋体" w:hAnsi="宋体" w:eastAsia="宋体" w:cs="宋体"/>
                <w:b/>
                <w:bCs/>
                <w:iCs/>
                <w:color w:val="auto"/>
                <w:sz w:val="21"/>
                <w:szCs w:val="21"/>
                <w:u w:val="single"/>
              </w:rPr>
              <w:t xml:space="preserve">工程相关专业 </w:t>
            </w:r>
            <w:r>
              <w:rPr>
                <w:rFonts w:hint="eastAsia" w:ascii="宋体" w:hAnsi="宋体" w:eastAsia="宋体" w:cs="宋体"/>
                <w:b/>
                <w:bCs/>
                <w:iCs/>
                <w:color w:val="auto"/>
                <w:sz w:val="21"/>
                <w:szCs w:val="21"/>
              </w:rPr>
              <w:t>。拟派出项目技术负责人须附上其</w:t>
            </w:r>
            <w:r>
              <w:rPr>
                <w:rFonts w:hint="eastAsia" w:ascii="宋体" w:hAnsi="宋体" w:eastAsia="宋体" w:cs="宋体"/>
                <w:b/>
                <w:bCs/>
                <w:iCs/>
                <w:color w:val="auto"/>
                <w:sz w:val="21"/>
                <w:szCs w:val="21"/>
                <w:u w:val="single"/>
              </w:rPr>
              <w:t>（职称证书、毕业证书（如需））</w:t>
            </w:r>
            <w:r>
              <w:rPr>
                <w:rFonts w:hint="eastAsia" w:ascii="宋体" w:hAnsi="宋体" w:eastAsia="宋体" w:cs="宋体"/>
                <w:b/>
                <w:bCs/>
                <w:iCs/>
                <w:color w:val="auto"/>
                <w:sz w:val="21"/>
                <w:szCs w:val="21"/>
              </w:rPr>
              <w:t>等能够证明其资格符合招标文件要求的相关证明材料扫描件并加盖投标人单位公章。专业以有权部门颁发的职称证书上标注的为准，若职称证书上无专业的，以毕业证书上的专业为准。拟派出项目技术负责人必须为独立投标人或联合体牵头人的本企业在岗人员，以建设主管部门颁发的注册执业证书扫描件或社保管理部门出具的自本招标项目投标截止之日的上一个月为始点并往前追溯连续缴费累计六个月及以上扫描件所署单位为准。社保由上级单位统筹缴纳的，还应提供上级单位出具的统筹缴纳证明。</w:t>
            </w:r>
          </w:p>
          <w:p>
            <w:pPr>
              <w:pStyle w:val="34"/>
              <w:spacing w:before="26" w:line="278" w:lineRule="auto"/>
              <w:ind w:left="112" w:right="86" w:firstLine="420" w:firstLineChars="200"/>
              <w:rPr>
                <w:rFonts w:hint="eastAsia" w:ascii="宋体" w:hAnsi="宋体" w:eastAsia="宋体" w:cs="宋体"/>
                <w:iCs/>
                <w:color w:val="auto"/>
                <w:sz w:val="21"/>
                <w:szCs w:val="21"/>
                <w:lang w:val="en-US" w:bidi="ar-SA"/>
              </w:rPr>
            </w:pPr>
            <w:r>
              <w:rPr>
                <w:rFonts w:hint="eastAsia" w:ascii="宋体" w:hAnsi="宋体" w:eastAsia="宋体" w:cs="宋体"/>
                <w:iCs/>
                <w:color w:val="auto"/>
                <w:sz w:val="21"/>
                <w:szCs w:val="21"/>
                <w:lang w:val="en-US" w:bidi="ar-SA"/>
              </w:rPr>
              <w:t>3、其他施工现场管理人员应当在工程开工前，由中标人按照施工现场管理需要配备相应管理人员，且相应管理人员的人数不得低于我省关于项目施工管理人员配备的要求。</w:t>
            </w:r>
          </w:p>
          <w:p>
            <w:pPr>
              <w:pStyle w:val="34"/>
              <w:spacing w:before="26" w:line="278" w:lineRule="auto"/>
              <w:ind w:left="112" w:right="86" w:firstLine="420" w:firstLineChars="200"/>
              <w:rPr>
                <w:rFonts w:hint="eastAsia" w:ascii="宋体" w:hAnsi="宋体" w:eastAsia="宋体" w:cs="宋体"/>
                <w:iCs/>
                <w:color w:val="auto"/>
                <w:sz w:val="21"/>
                <w:szCs w:val="21"/>
                <w:lang w:val="en-US" w:bidi="ar-SA"/>
              </w:rPr>
            </w:pPr>
            <w:r>
              <w:rPr>
                <w:rFonts w:hint="eastAsia" w:ascii="宋体" w:hAnsi="宋体" w:eastAsia="宋体" w:cs="宋体"/>
                <w:iCs/>
                <w:color w:val="auto"/>
                <w:sz w:val="21"/>
                <w:szCs w:val="21"/>
                <w:lang w:val="en-US" w:bidi="ar-SA"/>
              </w:rPr>
              <w:t>4、投标人若不能按投标文件承诺的项目部施工管理人员到位的，应当无条件地接受招标人作出的以下处理：</w:t>
            </w:r>
          </w:p>
          <w:p>
            <w:pPr>
              <w:pStyle w:val="34"/>
              <w:spacing w:before="26" w:line="278" w:lineRule="auto"/>
              <w:ind w:left="112" w:right="86" w:firstLine="420" w:firstLineChars="200"/>
              <w:rPr>
                <w:rFonts w:hint="eastAsia" w:ascii="宋体" w:hAnsi="宋体" w:eastAsia="宋体" w:cs="宋体"/>
                <w:iCs/>
                <w:color w:val="auto"/>
                <w:sz w:val="21"/>
                <w:szCs w:val="21"/>
                <w:lang w:val="en-US" w:bidi="ar-SA"/>
              </w:rPr>
            </w:pPr>
            <w:r>
              <w:rPr>
                <w:rFonts w:hint="eastAsia" w:ascii="宋体" w:hAnsi="宋体" w:eastAsia="宋体" w:cs="宋体"/>
                <w:iCs/>
                <w:color w:val="auto"/>
                <w:sz w:val="21"/>
                <w:szCs w:val="21"/>
                <w:lang w:val="en-US" w:bidi="ar-SA"/>
              </w:rPr>
              <w:t>a、工程开工前，拟派出的施工现场管理人员不能全部通过福建省工程项目建设监管系统备案的，招标人有权解除合同并按违约追究投标人责任；</w:t>
            </w:r>
          </w:p>
          <w:p>
            <w:pPr>
              <w:keepNext w:val="0"/>
              <w:keepLines w:val="0"/>
              <w:pageBreakBefore w:val="0"/>
              <w:widowControl w:val="0"/>
              <w:tabs>
                <w:tab w:val="left" w:pos="100"/>
                <w:tab w:val="left" w:pos="700"/>
              </w:tabs>
              <w:kinsoku/>
              <w:wordWrap/>
              <w:overflowPunct/>
              <w:topLinePunct w:val="0"/>
              <w:bidi w:val="0"/>
              <w:adjustRightInd/>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iCs/>
                <w:color w:val="auto"/>
                <w:sz w:val="21"/>
                <w:szCs w:val="21"/>
                <w:lang w:val="en-US" w:bidi="ar-SA"/>
              </w:rPr>
              <w:t>b、工程开工后，除不可抗力外,投标人变更项目部施工管理人员中的项目负责人或项目技术负责人，每人每次向招标人交纳</w:t>
            </w:r>
            <w:r>
              <w:rPr>
                <w:rFonts w:hint="eastAsia" w:ascii="宋体" w:hAnsi="宋体" w:eastAsia="宋体" w:cs="宋体"/>
                <w:iCs/>
                <w:color w:val="auto"/>
                <w:sz w:val="21"/>
                <w:szCs w:val="21"/>
                <w:u w:val="single"/>
                <w:lang w:val="en-US" w:bidi="ar-SA"/>
              </w:rPr>
              <w:t xml:space="preserve"> </w:t>
            </w:r>
            <w:r>
              <w:rPr>
                <w:rFonts w:hint="eastAsia" w:ascii="宋体" w:hAnsi="宋体" w:eastAsia="宋体" w:cs="宋体"/>
                <w:iCs/>
                <w:color w:val="auto"/>
                <w:sz w:val="21"/>
                <w:szCs w:val="21"/>
                <w:u w:val="single"/>
                <w:lang w:val="en-US" w:eastAsia="zh-CN" w:bidi="ar-SA"/>
              </w:rPr>
              <w:t>10</w:t>
            </w:r>
            <w:r>
              <w:rPr>
                <w:rFonts w:hint="eastAsia" w:ascii="宋体" w:hAnsi="宋体" w:eastAsia="宋体" w:cs="宋体"/>
                <w:iCs/>
                <w:color w:val="auto"/>
                <w:sz w:val="21"/>
                <w:szCs w:val="21"/>
                <w:u w:val="single"/>
                <w:lang w:val="en-US" w:bidi="ar-SA"/>
              </w:rPr>
              <w:t xml:space="preserve"> </w:t>
            </w:r>
            <w:r>
              <w:rPr>
                <w:rFonts w:hint="eastAsia" w:ascii="宋体" w:hAnsi="宋体" w:eastAsia="宋体" w:cs="宋体"/>
                <w:iCs/>
                <w:color w:val="auto"/>
                <w:sz w:val="21"/>
                <w:szCs w:val="21"/>
                <w:lang w:val="en-US" w:bidi="ar-SA"/>
              </w:rPr>
              <w:t>万元违约金；其他人员每人每次向招标人交纳</w:t>
            </w:r>
            <w:r>
              <w:rPr>
                <w:rFonts w:hint="eastAsia" w:ascii="宋体" w:hAnsi="宋体" w:eastAsia="宋体" w:cs="宋体"/>
                <w:iCs/>
                <w:color w:val="auto"/>
                <w:sz w:val="21"/>
                <w:szCs w:val="21"/>
                <w:u w:val="single"/>
                <w:lang w:val="en-US" w:bidi="ar-SA"/>
              </w:rPr>
              <w:t xml:space="preserve"> </w:t>
            </w:r>
            <w:r>
              <w:rPr>
                <w:rFonts w:hint="eastAsia" w:ascii="宋体" w:hAnsi="宋体" w:eastAsia="宋体" w:cs="宋体"/>
                <w:iCs/>
                <w:color w:val="auto"/>
                <w:sz w:val="21"/>
                <w:szCs w:val="21"/>
                <w:u w:val="single"/>
                <w:lang w:val="en-US" w:eastAsia="zh-CN" w:bidi="ar-SA"/>
              </w:rPr>
              <w:t>3</w:t>
            </w:r>
            <w:r>
              <w:rPr>
                <w:rFonts w:hint="eastAsia" w:ascii="宋体" w:hAnsi="宋体" w:eastAsia="宋体" w:cs="宋体"/>
                <w:iCs/>
                <w:color w:val="auto"/>
                <w:sz w:val="21"/>
                <w:szCs w:val="21"/>
                <w:u w:val="single"/>
                <w:lang w:val="en-US" w:bidi="ar-SA"/>
              </w:rPr>
              <w:t xml:space="preserve"> </w:t>
            </w:r>
            <w:r>
              <w:rPr>
                <w:rFonts w:hint="eastAsia" w:ascii="宋体" w:hAnsi="宋体" w:eastAsia="宋体" w:cs="宋体"/>
                <w:iCs/>
                <w:color w:val="auto"/>
                <w:sz w:val="21"/>
                <w:szCs w:val="21"/>
                <w:lang w:val="en-US" w:bidi="ar-SA"/>
              </w:rPr>
              <w:t>万元违约金。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Borders>
              <w:top w:val="single" w:color="auto" w:sz="8" w:space="0"/>
              <w:left w:val="single" w:color="auto" w:sz="8" w:space="0"/>
              <w:bottom w:val="single" w:color="auto" w:sz="8" w:space="0"/>
              <w:right w:val="single" w:color="auto" w:sz="4" w:space="0"/>
            </w:tcBorders>
            <w:noWrap w:val="0"/>
            <w:vAlign w:val="center"/>
          </w:tcPr>
          <w:p>
            <w:pPr>
              <w:pStyle w:val="9"/>
              <w:tabs>
                <w:tab w:val="left" w:pos="180"/>
              </w:tabs>
              <w:snapToGrid w:val="0"/>
              <w:spacing w:line="240" w:lineRule="auto"/>
              <w:ind w:firstLine="0" w:firstLineChars="0"/>
              <w:jc w:val="center"/>
              <w:rPr>
                <w:rFonts w:hint="eastAsia" w:ascii="宋体" w:hAnsi="宋体" w:eastAsia="宋体" w:cs="宋体"/>
                <w:color w:val="auto"/>
                <w:szCs w:val="21"/>
                <w:highlight w:val="none"/>
                <w:lang w:val="en-US" w:eastAsia="zh-CN"/>
              </w:rPr>
            </w:pPr>
            <w:r>
              <w:rPr>
                <w:rFonts w:hint="eastAsia" w:ascii="宋体" w:hAnsi="宋体" w:cs="宋体"/>
                <w:color w:val="auto"/>
                <w:spacing w:val="0"/>
                <w:kern w:val="0"/>
                <w:position w:val="0"/>
                <w:szCs w:val="21"/>
                <w:highlight w:val="none"/>
                <w:lang w:val="en-US" w:eastAsia="zh-CN"/>
              </w:rPr>
              <w:t>6</w:t>
            </w:r>
          </w:p>
        </w:tc>
        <w:tc>
          <w:tcPr>
            <w:tcW w:w="870" w:type="dxa"/>
            <w:tcBorders>
              <w:top w:val="single" w:color="auto" w:sz="8" w:space="0"/>
              <w:left w:val="single" w:color="auto" w:sz="4" w:space="0"/>
              <w:bottom w:val="single" w:color="auto" w:sz="8" w:space="0"/>
              <w:right w:val="single" w:color="auto" w:sz="4" w:space="0"/>
            </w:tcBorders>
            <w:noWrap w:val="0"/>
            <w:vAlign w:val="center"/>
          </w:tcPr>
          <w:p>
            <w:pPr>
              <w:pStyle w:val="9"/>
              <w:snapToGrid w:val="0"/>
              <w:spacing w:line="240" w:lineRule="auto"/>
              <w:ind w:firstLine="0" w:firstLineChars="0"/>
              <w:jc w:val="center"/>
              <w:rPr>
                <w:rFonts w:hint="eastAsia" w:ascii="宋体" w:hAnsi="宋体" w:eastAsia="宋体" w:cs="宋体"/>
                <w:color w:val="auto"/>
                <w:szCs w:val="21"/>
                <w:highlight w:val="none"/>
                <w:lang w:val="en-US" w:eastAsia="zh-CN"/>
              </w:rPr>
            </w:pPr>
            <w:r>
              <w:rPr>
                <w:rFonts w:hint="eastAsia" w:ascii="宋体" w:hAnsi="宋体" w:cs="宋体"/>
                <w:color w:val="auto"/>
                <w:spacing w:val="0"/>
                <w:kern w:val="0"/>
                <w:position w:val="0"/>
                <w:szCs w:val="21"/>
                <w:highlight w:val="none"/>
                <w:lang w:val="en-US" w:eastAsia="zh-CN"/>
              </w:rPr>
              <w:t>7.2</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pStyle w:val="9"/>
              <w:snapToGrid w:val="0"/>
              <w:spacing w:line="240" w:lineRule="auto"/>
              <w:ind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cs="宋体"/>
                <w:color w:val="auto"/>
                <w:spacing w:val="0"/>
                <w:kern w:val="0"/>
                <w:position w:val="0"/>
                <w:szCs w:val="21"/>
                <w:highlight w:val="none"/>
                <w:lang w:val="en-US" w:eastAsia="zh-CN"/>
              </w:rPr>
              <w:t>抽取中标候选人方法</w:t>
            </w:r>
          </w:p>
        </w:tc>
        <w:tc>
          <w:tcPr>
            <w:tcW w:w="6700" w:type="dxa"/>
            <w:tcBorders>
              <w:top w:val="single" w:color="auto" w:sz="4" w:space="0"/>
              <w:left w:val="single" w:color="auto" w:sz="4" w:space="0"/>
              <w:bottom w:val="single" w:color="auto" w:sz="4" w:space="0"/>
              <w:right w:val="single" w:color="auto" w:sz="8" w:space="0"/>
            </w:tcBorders>
            <w:noWrap w:val="0"/>
            <w:vAlign w:val="top"/>
          </w:tcPr>
          <w:p>
            <w:pPr>
              <w:tabs>
                <w:tab w:val="left" w:pos="100"/>
                <w:tab w:val="left" w:pos="700"/>
              </w:tabs>
              <w:adjustRightInd/>
              <w:spacing w:line="240" w:lineRule="auto"/>
              <w:ind w:firstLine="315" w:firstLineChars="150"/>
              <w:textAlignment w:val="auto"/>
              <w:rPr>
                <w:rFonts w:hint="eastAsia" w:ascii="宋体" w:hAnsi="宋体" w:cs="宋体"/>
                <w:b/>
                <w:bCs/>
                <w:color w:val="auto"/>
                <w:spacing w:val="0"/>
                <w:position w:val="0"/>
                <w:sz w:val="21"/>
                <w:szCs w:val="21"/>
                <w:highlight w:val="none"/>
              </w:rPr>
            </w:pPr>
            <w:r>
              <w:rPr>
                <w:rFonts w:hint="eastAsia" w:ascii="宋体" w:hAnsi="宋体" w:cs="宋体"/>
                <w:b/>
                <w:bCs/>
                <w:color w:val="auto"/>
                <w:spacing w:val="0"/>
                <w:position w:val="0"/>
                <w:sz w:val="21"/>
                <w:szCs w:val="21"/>
                <w:highlight w:val="none"/>
              </w:rPr>
              <w:t>评标委员会按照招标文件的规定对参与评审的投标文件进行评审，评定进入公开随机抽取中标候选人的有效投标人名单，并由招标人当场公布有效投标人名单，</w:t>
            </w:r>
            <w:r>
              <w:rPr>
                <w:rFonts w:hint="eastAsia" w:ascii="宋体" w:hAnsi="宋体" w:cs="宋体"/>
                <w:b/>
                <w:bCs/>
                <w:color w:val="auto"/>
                <w:spacing w:val="0"/>
                <w:kern w:val="2"/>
                <w:position w:val="0"/>
                <w:sz w:val="21"/>
                <w:szCs w:val="21"/>
                <w:highlight w:val="none"/>
              </w:rPr>
              <w:t>投标人的代码球号是根据投标人的解密时间先后顺序自动生成</w:t>
            </w:r>
            <w:r>
              <w:rPr>
                <w:rFonts w:hint="eastAsia" w:ascii="宋体" w:hAnsi="宋体" w:cs="宋体"/>
                <w:b/>
                <w:bCs/>
                <w:color w:val="auto"/>
                <w:spacing w:val="0"/>
                <w:position w:val="0"/>
                <w:sz w:val="21"/>
                <w:szCs w:val="21"/>
                <w:highlight w:val="none"/>
                <w:lang w:bidi="zh-CN"/>
              </w:rPr>
              <w:t xml:space="preserve">。 </w:t>
            </w:r>
          </w:p>
          <w:p>
            <w:pPr>
              <w:pStyle w:val="9"/>
              <w:tabs>
                <w:tab w:val="left" w:pos="100"/>
                <w:tab w:val="left" w:pos="700"/>
                <w:tab w:val="left" w:pos="1350"/>
              </w:tabs>
              <w:snapToGrid w:val="0"/>
              <w:spacing w:line="240" w:lineRule="auto"/>
              <w:ind w:firstLine="315" w:firstLineChars="150"/>
              <w:rPr>
                <w:rFonts w:hint="eastAsia" w:ascii="宋体" w:hAnsi="宋体" w:eastAsia="宋体" w:cs="宋体"/>
                <w:color w:val="auto"/>
                <w:sz w:val="21"/>
                <w:szCs w:val="21"/>
                <w:highlight w:val="none"/>
              </w:rPr>
            </w:pPr>
            <w:r>
              <w:rPr>
                <w:rFonts w:hint="eastAsia" w:ascii="宋体" w:hAnsi="宋体" w:cs="宋体"/>
                <w:b/>
                <w:bCs/>
                <w:color w:val="auto"/>
                <w:spacing w:val="0"/>
                <w:kern w:val="0"/>
                <w:position w:val="0"/>
                <w:szCs w:val="21"/>
                <w:highlight w:val="none"/>
                <w:lang w:val="en-US" w:eastAsia="zh-CN"/>
              </w:rPr>
              <w:t>招标人公开随机抽取其中三个号码，第一号码对应的投标人为第三中标候选人，第二号码对应的投标人为第二中标候选人，第三号码对应的投标人为第一中标候选人。</w:t>
            </w:r>
          </w:p>
        </w:tc>
      </w:tr>
      <w:bookmarkEnd w:id="249"/>
      <w:bookmarkEnd w:id="250"/>
      <w:bookmarkEnd w:id="251"/>
      <w:bookmarkEnd w:id="252"/>
      <w:bookmarkEnd w:id="253"/>
      <w:bookmarkEnd w:id="254"/>
      <w:bookmarkEnd w:id="255"/>
      <w:bookmarkEnd w:id="256"/>
      <w:bookmarkEnd w:id="257"/>
    </w:tbl>
    <w:p>
      <w:pPr>
        <w:rPr>
          <w:rFonts w:hint="eastAsia" w:ascii="宋体" w:hAnsi="宋体" w:eastAsia="宋体" w:cs="宋体"/>
          <w:color w:val="auto"/>
          <w:highlight w:val="none"/>
        </w:rPr>
      </w:pPr>
      <w:bookmarkStart w:id="258" w:name="_Toc300038973"/>
      <w:bookmarkStart w:id="259" w:name="_Toc525120831"/>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5"/>
        <w:numPr>
          <w:ilvl w:val="1"/>
          <w:numId w:val="15"/>
        </w:numPr>
        <w:ind w:firstLine="0"/>
        <w:jc w:val="center"/>
        <w:rPr>
          <w:rFonts w:hint="eastAsia" w:ascii="宋体" w:hAnsi="宋体" w:eastAsia="宋体" w:cs="宋体"/>
          <w:color w:val="auto"/>
          <w:highlight w:val="none"/>
        </w:rPr>
      </w:pPr>
      <w:bookmarkStart w:id="260" w:name="_Toc27860"/>
      <w:r>
        <w:rPr>
          <w:rFonts w:hint="eastAsia" w:ascii="宋体" w:hAnsi="宋体" w:eastAsia="宋体" w:cs="宋体"/>
          <w:b w:val="0"/>
          <w:bCs w:val="0"/>
          <w:color w:val="auto"/>
          <w:highlight w:val="none"/>
        </w:rPr>
        <w:t>评</w:t>
      </w:r>
      <w:bookmarkStart w:id="261" w:name="_Toc13309375"/>
      <w:r>
        <w:rPr>
          <w:rFonts w:hint="eastAsia" w:ascii="宋体" w:hAnsi="宋体" w:eastAsia="宋体" w:cs="宋体"/>
          <w:b w:val="0"/>
          <w:bCs w:val="0"/>
          <w:color w:val="auto"/>
          <w:highlight w:val="none"/>
        </w:rPr>
        <w:t>标办法和</w:t>
      </w:r>
      <w:bookmarkEnd w:id="258"/>
      <w:r>
        <w:rPr>
          <w:rFonts w:hint="eastAsia" w:ascii="宋体" w:hAnsi="宋体" w:eastAsia="宋体" w:cs="宋体"/>
          <w:b w:val="0"/>
          <w:bCs w:val="0"/>
          <w:color w:val="auto"/>
          <w:highlight w:val="none"/>
        </w:rPr>
        <w:t>标准</w:t>
      </w:r>
      <w:bookmarkEnd w:id="259"/>
      <w:bookmarkEnd w:id="260"/>
    </w:p>
    <w:bookmarkEnd w:id="261"/>
    <w:p>
      <w:pPr>
        <w:pStyle w:val="6"/>
        <w:jc w:val="center"/>
        <w:rPr>
          <w:rFonts w:hint="eastAsia" w:ascii="宋体" w:hAnsi="宋体" w:eastAsia="宋体" w:cs="宋体"/>
          <w:color w:val="auto"/>
          <w:sz w:val="30"/>
          <w:szCs w:val="30"/>
          <w:highlight w:val="none"/>
        </w:rPr>
      </w:pPr>
      <w:bookmarkStart w:id="262" w:name="_Toc11653"/>
      <w:bookmarkStart w:id="263" w:name="_Toc28167"/>
      <w:bookmarkStart w:id="264" w:name="_Toc4510"/>
      <w:bookmarkStart w:id="265" w:name="_Toc21429"/>
      <w:bookmarkStart w:id="266" w:name="_Toc883"/>
      <w:bookmarkStart w:id="267" w:name="_Toc95912249"/>
      <w:bookmarkStart w:id="268" w:name="_Toc2181"/>
      <w:bookmarkStart w:id="269" w:name="_Toc525120830"/>
      <w:r>
        <w:rPr>
          <w:rFonts w:hint="eastAsia" w:ascii="宋体" w:hAnsi="宋体" w:eastAsia="宋体" w:cs="宋体"/>
          <w:color w:val="auto"/>
          <w:sz w:val="30"/>
          <w:szCs w:val="30"/>
          <w:highlight w:val="none"/>
        </w:rPr>
        <w:t>简易评标法</w:t>
      </w:r>
      <w:bookmarkEnd w:id="262"/>
      <w:bookmarkEnd w:id="263"/>
      <w:bookmarkEnd w:id="264"/>
      <w:bookmarkEnd w:id="265"/>
      <w:bookmarkEnd w:id="266"/>
      <w:bookmarkEnd w:id="267"/>
      <w:bookmarkEnd w:id="268"/>
    </w:p>
    <w:p>
      <w:pPr>
        <w:numPr>
          <w:ilvl w:val="1"/>
          <w:numId w:val="16"/>
        </w:numPr>
        <w:adjustRightInd/>
        <w:spacing w:line="400" w:lineRule="atLeast"/>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评标程序</w:t>
      </w:r>
    </w:p>
    <w:p>
      <w:pPr>
        <w:numPr>
          <w:ilvl w:val="2"/>
          <w:numId w:val="16"/>
        </w:numPr>
        <w:adjustRightInd/>
        <w:spacing w:line="400" w:lineRule="atLeast"/>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本招标项目评标将按以下程序进行：</w:t>
      </w:r>
    </w:p>
    <w:p>
      <w:pPr>
        <w:numPr>
          <w:ilvl w:val="4"/>
          <w:numId w:val="16"/>
        </w:numPr>
        <w:tabs>
          <w:tab w:val="left" w:pos="1050"/>
        </w:tabs>
        <w:adjustRightInd/>
        <w:spacing w:line="40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评标前准备工作；</w:t>
      </w:r>
    </w:p>
    <w:p>
      <w:pPr>
        <w:numPr>
          <w:ilvl w:val="4"/>
          <w:numId w:val="16"/>
        </w:numPr>
        <w:tabs>
          <w:tab w:val="left" w:pos="1050"/>
        </w:tabs>
        <w:adjustRightInd/>
        <w:spacing w:line="40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对资格文件进行评审；</w:t>
      </w:r>
    </w:p>
    <w:p>
      <w:pPr>
        <w:numPr>
          <w:ilvl w:val="4"/>
          <w:numId w:val="16"/>
        </w:numPr>
        <w:tabs>
          <w:tab w:val="left" w:pos="1050"/>
        </w:tabs>
        <w:adjustRightInd/>
        <w:spacing w:line="40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对商务文件进行评审；</w:t>
      </w:r>
    </w:p>
    <w:p>
      <w:pPr>
        <w:numPr>
          <w:ilvl w:val="4"/>
          <w:numId w:val="16"/>
        </w:numPr>
        <w:tabs>
          <w:tab w:val="left" w:pos="1050"/>
        </w:tabs>
        <w:adjustRightInd/>
        <w:spacing w:line="40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抽取和推荐中标候选人；</w:t>
      </w:r>
    </w:p>
    <w:p>
      <w:pPr>
        <w:numPr>
          <w:ilvl w:val="4"/>
          <w:numId w:val="16"/>
        </w:numPr>
        <w:tabs>
          <w:tab w:val="left" w:pos="1050"/>
        </w:tabs>
        <w:adjustRightInd/>
        <w:spacing w:line="40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提交评标报告。</w:t>
      </w:r>
    </w:p>
    <w:p>
      <w:pPr>
        <w:adjustRightInd/>
        <w:spacing w:line="400" w:lineRule="atLeast"/>
        <w:ind w:left="51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1.2评标委员会对进入评审的每个投标人的投标文件按照先资格文件、后商务文件的顺序进行评审，资格文件评审合格的，方可进入商务文件的评审。</w:t>
      </w:r>
    </w:p>
    <w:p>
      <w:pPr>
        <w:numPr>
          <w:ilvl w:val="1"/>
          <w:numId w:val="16"/>
        </w:numPr>
        <w:adjustRightInd/>
        <w:spacing w:line="400" w:lineRule="atLeast"/>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招标控制价及其组成、发包价及其组成和计算方法</w:t>
      </w:r>
    </w:p>
    <w:p>
      <w:pPr>
        <w:numPr>
          <w:ilvl w:val="2"/>
          <w:numId w:val="16"/>
        </w:numPr>
        <w:tabs>
          <w:tab w:val="left" w:pos="1050"/>
        </w:tabs>
        <w:adjustRightInd/>
        <w:spacing w:line="400" w:lineRule="atLeast"/>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招标控制价及其组成和计算方法见评标办法和标准数据表第1项。</w:t>
      </w:r>
    </w:p>
    <w:p>
      <w:pPr>
        <w:numPr>
          <w:ilvl w:val="2"/>
          <w:numId w:val="16"/>
        </w:numPr>
        <w:tabs>
          <w:tab w:val="left" w:pos="1050"/>
        </w:tabs>
        <w:adjustRightInd/>
        <w:spacing w:line="400" w:lineRule="atLeast"/>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K值取定见评标办法和标准数据表第2项。</w:t>
      </w:r>
    </w:p>
    <w:p>
      <w:pPr>
        <w:numPr>
          <w:ilvl w:val="2"/>
          <w:numId w:val="16"/>
        </w:numPr>
        <w:tabs>
          <w:tab w:val="left" w:pos="1050"/>
        </w:tabs>
        <w:adjustRightInd/>
        <w:spacing w:line="400" w:lineRule="atLeast"/>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发包价及其组成和计算方法见评标办法和标准数据表第3项。</w:t>
      </w:r>
    </w:p>
    <w:p>
      <w:pPr>
        <w:numPr>
          <w:ilvl w:val="1"/>
          <w:numId w:val="16"/>
        </w:numPr>
        <w:adjustRightInd/>
        <w:spacing w:line="400" w:lineRule="atLeast"/>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评标前的准备工作</w:t>
      </w:r>
    </w:p>
    <w:p>
      <w:pPr>
        <w:numPr>
          <w:ilvl w:val="2"/>
          <w:numId w:val="16"/>
        </w:numPr>
        <w:tabs>
          <w:tab w:val="left" w:pos="1050"/>
        </w:tabs>
        <w:adjustRightInd/>
        <w:spacing w:line="360" w:lineRule="auto"/>
        <w:textAlignment w:val="auto"/>
        <w:rPr>
          <w:rFonts w:hint="eastAsia"/>
          <w:color w:val="auto"/>
        </w:rPr>
      </w:pPr>
      <w:r>
        <w:rPr>
          <w:rFonts w:hint="eastAsia" w:ascii="宋体" w:hAnsi="宋体" w:cs="宋体"/>
          <w:color w:val="auto"/>
          <w:spacing w:val="0"/>
          <w:position w:val="0"/>
          <w:sz w:val="24"/>
          <w:highlight w:val="none"/>
        </w:rPr>
        <w:t xml:space="preserve">根据电子交易平台自动生成的投标人代表号，按照下列办法确定进入评审的投标人名单： </w:t>
      </w:r>
    </w:p>
    <w:p>
      <w:pPr>
        <w:numPr>
          <w:ilvl w:val="0"/>
          <w:numId w:val="17"/>
        </w:numPr>
        <w:tabs>
          <w:tab w:val="left" w:pos="1050"/>
        </w:tabs>
        <w:adjustRightInd/>
        <w:spacing w:line="360" w:lineRule="auto"/>
        <w:ind w:firstLine="480" w:firstLineChars="200"/>
        <w:textAlignment w:val="auto"/>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投标人数量少于</w:t>
      </w:r>
      <w:r>
        <w:rPr>
          <w:rFonts w:hint="eastAsia" w:ascii="宋体" w:hAnsi="宋体" w:cs="宋体"/>
          <w:color w:val="auto"/>
          <w:spacing w:val="0"/>
          <w:position w:val="0"/>
          <w:sz w:val="24"/>
          <w:highlight w:val="none"/>
          <w:lang w:val="en-US" w:eastAsia="zh-CN"/>
        </w:rPr>
        <w:t>20</w:t>
      </w:r>
      <w:r>
        <w:rPr>
          <w:rFonts w:hint="eastAsia" w:ascii="宋体" w:hAnsi="宋体" w:cs="宋体"/>
          <w:color w:val="auto"/>
          <w:spacing w:val="0"/>
          <w:position w:val="0"/>
          <w:sz w:val="24"/>
          <w:highlight w:val="none"/>
        </w:rPr>
        <w:t>家时，全部入围评审。</w:t>
      </w:r>
    </w:p>
    <w:p>
      <w:pPr>
        <w:numPr>
          <w:ilvl w:val="0"/>
          <w:numId w:val="0"/>
        </w:numPr>
        <w:tabs>
          <w:tab w:val="left" w:pos="1050"/>
        </w:tabs>
        <w:adjustRightInd/>
        <w:spacing w:line="360" w:lineRule="auto"/>
        <w:ind w:firstLine="480" w:firstLineChars="200"/>
        <w:textAlignment w:val="auto"/>
        <w:rPr>
          <w:rFonts w:hint="eastAsia"/>
          <w:color w:val="auto"/>
        </w:rPr>
      </w:pPr>
      <w:r>
        <w:rPr>
          <w:rFonts w:hint="eastAsia" w:ascii="宋体" w:hAnsi="宋体" w:cs="宋体"/>
          <w:color w:val="auto"/>
          <w:spacing w:val="0"/>
          <w:position w:val="0"/>
          <w:sz w:val="24"/>
          <w:highlight w:val="none"/>
        </w:rPr>
        <w:t>（2）投标人数量多于20家时，从投标人中随机抽取20家入围评审。经评审的合格投标人少于10家时，再从剩余投标人中随机抽取10家入围评审，直至合格投标人不少于 10家（合格投标人少于10家时且剩余投标人不足10家的，剩余投标人全部入围评审，直至合格投标人不少于</w:t>
      </w:r>
      <w:r>
        <w:rPr>
          <w:rFonts w:hint="eastAsia" w:ascii="宋体" w:hAnsi="宋体" w:cs="宋体"/>
          <w:color w:val="auto"/>
          <w:spacing w:val="0"/>
          <w:position w:val="0"/>
          <w:sz w:val="24"/>
          <w:highlight w:val="none"/>
          <w:lang w:val="en-US" w:eastAsia="zh-CN"/>
        </w:rPr>
        <w:t>3</w:t>
      </w:r>
      <w:r>
        <w:rPr>
          <w:rFonts w:hint="eastAsia" w:ascii="宋体" w:hAnsi="宋体" w:cs="宋体"/>
          <w:color w:val="auto"/>
          <w:spacing w:val="0"/>
          <w:position w:val="0"/>
          <w:sz w:val="24"/>
          <w:highlight w:val="none"/>
        </w:rPr>
        <w:t>家）。</w:t>
      </w:r>
    </w:p>
    <w:p>
      <w:pPr>
        <w:numPr>
          <w:ilvl w:val="2"/>
          <w:numId w:val="16"/>
        </w:numPr>
        <w:tabs>
          <w:tab w:val="left" w:pos="1050"/>
        </w:tabs>
        <w:adjustRightInd/>
        <w:spacing w:line="40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或者其委托的招标代理机构应当向评标委员会提供评标所需的信息和数据。评标委员会成员在评标前应当认真研究招标文件，至少应了解和熟悉本工程招标的目标、范围、性质、主要技术要求、标准、商务条款以及评标定标程序、标准、方法和在评标过程中考虑的相关因素。</w:t>
      </w:r>
    </w:p>
    <w:p>
      <w:pPr>
        <w:tabs>
          <w:tab w:val="left" w:pos="1050"/>
        </w:tabs>
        <w:adjustRightInd/>
        <w:spacing w:line="40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r>
        <w:rPr>
          <w:rFonts w:hint="eastAsia" w:ascii="宋体" w:hAnsi="宋体" w:eastAsia="宋体" w:cs="宋体"/>
          <w:color w:val="auto"/>
          <w:sz w:val="24"/>
          <w:szCs w:val="24"/>
          <w:highlight w:val="none"/>
        </w:rPr>
        <w:t>评标委员会应当对电子招标投标交易平台提供的各项数据、分析结果进行审查、确认，核对交易平台按照招标文件设置的评标参数是否与招标文件（含招标文件的澄清、修改）规定的评标办法和标准一致。如有不一致，应要求招标人修正评标参数，经评标委员会核实无误后方可评标。</w:t>
      </w:r>
    </w:p>
    <w:p>
      <w:pPr>
        <w:numPr>
          <w:ilvl w:val="1"/>
          <w:numId w:val="16"/>
        </w:numPr>
        <w:adjustRightInd/>
        <w:spacing w:line="400" w:lineRule="atLeast"/>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资格文件评审办法和标准</w:t>
      </w:r>
    </w:p>
    <w:p>
      <w:pPr>
        <w:numPr>
          <w:ilvl w:val="2"/>
          <w:numId w:val="16"/>
        </w:numPr>
        <w:tabs>
          <w:tab w:val="left" w:pos="1050"/>
        </w:tabs>
        <w:adjustRightInd/>
        <w:spacing w:line="400" w:lineRule="atLeast"/>
        <w:textAlignment w:val="auto"/>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u w:val="double"/>
        </w:rPr>
        <w:t>资格文件有下列情形之一的，视为未能对招标文件做出实质性响应，应否决其投标，不得进入下一步评审</w:t>
      </w:r>
      <w:r>
        <w:rPr>
          <w:rFonts w:hint="eastAsia" w:ascii="宋体" w:hAnsi="宋体" w:eastAsia="宋体" w:cs="宋体"/>
          <w:color w:val="auto"/>
          <w:sz w:val="24"/>
          <w:highlight w:val="none"/>
        </w:rPr>
        <w:t>：</w:t>
      </w:r>
    </w:p>
    <w:p>
      <w:pPr>
        <w:pStyle w:val="9"/>
        <w:tabs>
          <w:tab w:val="left" w:pos="900"/>
        </w:tabs>
        <w:spacing w:line="40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4.1.1</w:t>
      </w:r>
      <w:r>
        <w:rPr>
          <w:rFonts w:hint="eastAsia" w:ascii="宋体" w:hAnsi="宋体" w:eastAsia="宋体" w:cs="宋体"/>
          <w:b/>
          <w:color w:val="auto"/>
          <w:kern w:val="0"/>
          <w:sz w:val="24"/>
          <w:highlight w:val="none"/>
          <w:u w:val="double"/>
        </w:rPr>
        <w:t>未完整提供招标文件第8章 “资格文件格式”所规定的全部资格文件以及未按规定盖章</w:t>
      </w:r>
      <w:r>
        <w:rPr>
          <w:rFonts w:hint="eastAsia" w:ascii="宋体" w:hAnsi="宋体" w:eastAsia="宋体" w:cs="宋体"/>
          <w:color w:val="auto"/>
          <w:kern w:val="0"/>
          <w:sz w:val="24"/>
          <w:highlight w:val="none"/>
        </w:rPr>
        <w:t>；</w:t>
      </w:r>
    </w:p>
    <w:p>
      <w:pPr>
        <w:pStyle w:val="9"/>
        <w:tabs>
          <w:tab w:val="left" w:pos="900"/>
        </w:tabs>
        <w:spacing w:line="400" w:lineRule="atLeast"/>
        <w:ind w:left="510" w:firstLine="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4.1.2</w:t>
      </w:r>
      <w:r>
        <w:rPr>
          <w:rFonts w:hint="eastAsia" w:ascii="宋体" w:hAnsi="宋体" w:eastAsia="宋体" w:cs="宋体"/>
          <w:b/>
          <w:color w:val="auto"/>
          <w:kern w:val="0"/>
          <w:sz w:val="24"/>
          <w:highlight w:val="none"/>
          <w:u w:val="double"/>
        </w:rPr>
        <w:t>关键内容字迹模糊、无法辨认的；</w:t>
      </w:r>
    </w:p>
    <w:p>
      <w:pPr>
        <w:pStyle w:val="9"/>
        <w:tabs>
          <w:tab w:val="left" w:pos="900"/>
        </w:tabs>
        <w:spacing w:line="400" w:lineRule="atLeast"/>
        <w:ind w:left="510" w:firstLine="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4.1.3</w:t>
      </w:r>
      <w:r>
        <w:rPr>
          <w:rFonts w:hint="eastAsia" w:ascii="宋体" w:hAnsi="宋体" w:eastAsia="宋体" w:cs="宋体"/>
          <w:b/>
          <w:color w:val="auto"/>
          <w:kern w:val="0"/>
          <w:sz w:val="24"/>
          <w:highlight w:val="none"/>
          <w:u w:val="double"/>
        </w:rPr>
        <w:t>未按招标文件规定提交了投标保证金</w:t>
      </w:r>
      <w:r>
        <w:rPr>
          <w:rFonts w:hint="eastAsia" w:ascii="宋体" w:hAnsi="宋体" w:eastAsia="宋体" w:cs="宋体"/>
          <w:color w:val="auto"/>
          <w:kern w:val="0"/>
          <w:sz w:val="24"/>
          <w:highlight w:val="none"/>
        </w:rPr>
        <w:t>；</w:t>
      </w:r>
    </w:p>
    <w:p>
      <w:pPr>
        <w:pStyle w:val="9"/>
        <w:tabs>
          <w:tab w:val="left" w:pos="900"/>
        </w:tabs>
        <w:spacing w:line="400" w:lineRule="atLeast"/>
        <w:ind w:left="510" w:firstLine="0"/>
        <w:rPr>
          <w:rFonts w:hint="eastAsia" w:ascii="宋体" w:hAnsi="宋体" w:eastAsia="宋体" w:cs="宋体"/>
          <w:b/>
          <w:color w:val="auto"/>
          <w:kern w:val="0"/>
          <w:sz w:val="24"/>
          <w:highlight w:val="none"/>
          <w:u w:val="double"/>
        </w:rPr>
      </w:pPr>
      <w:r>
        <w:rPr>
          <w:rFonts w:hint="eastAsia" w:ascii="宋体" w:hAnsi="宋体" w:eastAsia="宋体" w:cs="宋体"/>
          <w:b/>
          <w:color w:val="auto"/>
          <w:kern w:val="0"/>
          <w:sz w:val="24"/>
          <w:highlight w:val="none"/>
        </w:rPr>
        <w:t>4.1.4</w:t>
      </w:r>
      <w:r>
        <w:rPr>
          <w:rFonts w:hint="eastAsia" w:ascii="宋体" w:hAnsi="宋体" w:eastAsia="宋体" w:cs="宋体"/>
          <w:b/>
          <w:color w:val="auto"/>
          <w:kern w:val="0"/>
          <w:sz w:val="24"/>
          <w:highlight w:val="none"/>
          <w:u w:val="double"/>
        </w:rPr>
        <w:t>不具备合格有效的企业法人营业执照</w:t>
      </w:r>
      <w:r>
        <w:rPr>
          <w:rFonts w:hint="eastAsia" w:ascii="宋体" w:hAnsi="宋体" w:eastAsia="宋体" w:cs="宋体"/>
          <w:color w:val="auto"/>
          <w:kern w:val="0"/>
          <w:sz w:val="24"/>
          <w:highlight w:val="none"/>
        </w:rPr>
        <w:t>；</w:t>
      </w:r>
    </w:p>
    <w:p>
      <w:pPr>
        <w:pStyle w:val="9"/>
        <w:tabs>
          <w:tab w:val="left" w:pos="900"/>
        </w:tabs>
        <w:spacing w:line="400" w:lineRule="atLeast"/>
        <w:ind w:firstLine="480" w:firstLineChars="200"/>
        <w:rPr>
          <w:rFonts w:hint="eastAsia" w:ascii="宋体" w:hAnsi="宋体" w:eastAsia="宋体" w:cs="宋体"/>
          <w:b/>
          <w:color w:val="auto"/>
          <w:kern w:val="0"/>
          <w:sz w:val="24"/>
          <w:highlight w:val="none"/>
          <w:u w:val="double"/>
        </w:rPr>
      </w:pPr>
      <w:r>
        <w:rPr>
          <w:rFonts w:hint="eastAsia" w:ascii="宋体" w:hAnsi="宋体" w:eastAsia="宋体" w:cs="宋体"/>
          <w:b/>
          <w:color w:val="auto"/>
          <w:kern w:val="0"/>
          <w:sz w:val="24"/>
          <w:highlight w:val="none"/>
        </w:rPr>
        <w:t>4.1.5</w:t>
      </w:r>
      <w:r>
        <w:rPr>
          <w:rFonts w:hint="eastAsia" w:ascii="宋体" w:hAnsi="宋体" w:eastAsia="宋体" w:cs="宋体"/>
          <w:b/>
          <w:color w:val="auto"/>
          <w:kern w:val="0"/>
          <w:sz w:val="24"/>
          <w:highlight w:val="none"/>
          <w:u w:val="double"/>
        </w:rPr>
        <w:t>不具备有效的建设行政主管部门核发的投标须知前附表规定的建筑业企业资质和《施工企业安全生产许可证》</w:t>
      </w:r>
      <w:r>
        <w:rPr>
          <w:rFonts w:hint="eastAsia" w:ascii="宋体" w:hAnsi="宋体" w:eastAsia="宋体" w:cs="宋体"/>
          <w:color w:val="auto"/>
          <w:kern w:val="0"/>
          <w:sz w:val="24"/>
          <w:highlight w:val="none"/>
        </w:rPr>
        <w:t>；</w:t>
      </w:r>
    </w:p>
    <w:p>
      <w:pPr>
        <w:pStyle w:val="9"/>
        <w:tabs>
          <w:tab w:val="left" w:pos="900"/>
        </w:tabs>
        <w:spacing w:line="400" w:lineRule="atLeast"/>
        <w:ind w:left="510" w:firstLine="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4.1.6</w:t>
      </w:r>
      <w:r>
        <w:rPr>
          <w:rFonts w:hint="eastAsia" w:ascii="宋体" w:hAnsi="宋体" w:eastAsia="宋体" w:cs="宋体"/>
          <w:b/>
          <w:color w:val="auto"/>
          <w:kern w:val="0"/>
          <w:sz w:val="24"/>
          <w:highlight w:val="none"/>
          <w:u w:val="double"/>
        </w:rPr>
        <w:t>不具有独立法人资格</w:t>
      </w:r>
      <w:r>
        <w:rPr>
          <w:rFonts w:hint="eastAsia" w:ascii="宋体" w:hAnsi="宋体" w:eastAsia="宋体" w:cs="宋体"/>
          <w:color w:val="auto"/>
          <w:kern w:val="0"/>
          <w:sz w:val="24"/>
          <w:highlight w:val="none"/>
        </w:rPr>
        <w:t>；</w:t>
      </w:r>
    </w:p>
    <w:p>
      <w:pPr>
        <w:pStyle w:val="9"/>
        <w:tabs>
          <w:tab w:val="left" w:pos="900"/>
        </w:tabs>
        <w:spacing w:line="400" w:lineRule="atLeast"/>
        <w:ind w:left="510" w:firstLine="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4.1.7</w:t>
      </w:r>
      <w:r>
        <w:rPr>
          <w:rFonts w:hint="eastAsia" w:ascii="宋体" w:hAnsi="宋体" w:eastAsia="宋体" w:cs="宋体"/>
          <w:b/>
          <w:color w:val="auto"/>
          <w:kern w:val="0"/>
          <w:sz w:val="24"/>
          <w:highlight w:val="none"/>
          <w:u w:val="double"/>
        </w:rPr>
        <w:t>联合体组成不符合招标文件规定或未附上联合体协议书</w:t>
      </w:r>
      <w:r>
        <w:rPr>
          <w:rFonts w:hint="eastAsia" w:ascii="宋体" w:hAnsi="宋体" w:eastAsia="宋体" w:cs="宋体"/>
          <w:color w:val="auto"/>
          <w:kern w:val="0"/>
          <w:sz w:val="24"/>
          <w:highlight w:val="none"/>
        </w:rPr>
        <w:t>；</w:t>
      </w:r>
    </w:p>
    <w:p>
      <w:pPr>
        <w:pStyle w:val="9"/>
        <w:tabs>
          <w:tab w:val="left" w:pos="900"/>
        </w:tabs>
        <w:spacing w:line="400" w:lineRule="atLeast"/>
        <w:ind w:left="510" w:firstLine="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4.1.8</w:t>
      </w:r>
      <w:r>
        <w:rPr>
          <w:rFonts w:hint="eastAsia" w:ascii="宋体" w:hAnsi="宋体" w:eastAsia="宋体" w:cs="宋体"/>
          <w:b/>
          <w:color w:val="auto"/>
          <w:kern w:val="0"/>
          <w:sz w:val="24"/>
          <w:highlight w:val="none"/>
          <w:u w:val="double"/>
        </w:rPr>
        <w:t>工程分包的，不符合《中华人民共和国建筑法》和相关法律法规的规定</w:t>
      </w:r>
      <w:r>
        <w:rPr>
          <w:rFonts w:hint="eastAsia" w:ascii="宋体" w:hAnsi="宋体" w:eastAsia="宋体" w:cs="宋体"/>
          <w:color w:val="auto"/>
          <w:kern w:val="0"/>
          <w:sz w:val="24"/>
          <w:highlight w:val="none"/>
        </w:rPr>
        <w:t>；</w:t>
      </w:r>
    </w:p>
    <w:p>
      <w:pPr>
        <w:pStyle w:val="9"/>
        <w:tabs>
          <w:tab w:val="left" w:pos="900"/>
        </w:tabs>
        <w:spacing w:line="40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4.1.9</w:t>
      </w:r>
      <w:r>
        <w:rPr>
          <w:rFonts w:hint="eastAsia" w:ascii="宋体" w:hAnsi="宋体" w:eastAsia="宋体" w:cs="宋体"/>
          <w:b/>
          <w:color w:val="auto"/>
          <w:kern w:val="0"/>
          <w:sz w:val="24"/>
          <w:highlight w:val="none"/>
          <w:u w:val="double"/>
        </w:rPr>
        <w:t>拟派出的项目负责人或项目技术负责人不满足评标办法和标准数据表第</w:t>
      </w:r>
      <w:r>
        <w:rPr>
          <w:rFonts w:hint="eastAsia" w:ascii="宋体" w:hAnsi="宋体" w:eastAsia="宋体" w:cs="宋体"/>
          <w:b/>
          <w:color w:val="auto"/>
          <w:kern w:val="0"/>
          <w:sz w:val="24"/>
          <w:highlight w:val="none"/>
          <w:u w:val="double"/>
          <w:lang w:val="en-US" w:eastAsia="zh-CN"/>
        </w:rPr>
        <w:t>5</w:t>
      </w:r>
      <w:r>
        <w:rPr>
          <w:rFonts w:hint="eastAsia" w:ascii="宋体" w:hAnsi="宋体" w:eastAsia="宋体" w:cs="宋体"/>
          <w:b/>
          <w:color w:val="auto"/>
          <w:kern w:val="0"/>
          <w:sz w:val="24"/>
          <w:highlight w:val="none"/>
          <w:u w:val="double"/>
        </w:rPr>
        <w:t>项规定的要求</w:t>
      </w:r>
      <w:r>
        <w:rPr>
          <w:rFonts w:hint="eastAsia" w:ascii="宋体" w:hAnsi="宋体" w:eastAsia="宋体" w:cs="宋体"/>
          <w:color w:val="auto"/>
          <w:kern w:val="0"/>
          <w:sz w:val="24"/>
          <w:highlight w:val="none"/>
        </w:rPr>
        <w:t>；</w:t>
      </w:r>
    </w:p>
    <w:p>
      <w:pPr>
        <w:pStyle w:val="9"/>
        <w:tabs>
          <w:tab w:val="left" w:pos="900"/>
        </w:tabs>
        <w:spacing w:line="40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4.1.10</w:t>
      </w:r>
      <w:r>
        <w:rPr>
          <w:rFonts w:hint="eastAsia" w:ascii="宋体" w:hAnsi="宋体" w:eastAsia="宋体" w:cs="宋体"/>
          <w:b/>
          <w:color w:val="auto"/>
          <w:kern w:val="0"/>
          <w:sz w:val="24"/>
          <w:highlight w:val="none"/>
          <w:u w:val="double"/>
        </w:rPr>
        <w:t>企业营业执照、资质证书、安全生产许可证上的单位名称和投标人名称不一致</w:t>
      </w:r>
      <w:r>
        <w:rPr>
          <w:rFonts w:hint="eastAsia" w:ascii="宋体" w:hAnsi="宋体" w:eastAsia="宋体" w:cs="宋体"/>
          <w:color w:val="auto"/>
          <w:kern w:val="0"/>
          <w:sz w:val="24"/>
          <w:highlight w:val="none"/>
        </w:rPr>
        <w:t>；</w:t>
      </w:r>
    </w:p>
    <w:p>
      <w:pPr>
        <w:pStyle w:val="9"/>
        <w:tabs>
          <w:tab w:val="left" w:pos="900"/>
        </w:tabs>
        <w:spacing w:line="400" w:lineRule="atLeast"/>
        <w:ind w:left="510" w:firstLine="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4.1.11</w:t>
      </w:r>
      <w:r>
        <w:rPr>
          <w:rFonts w:hint="eastAsia" w:ascii="宋体" w:hAnsi="宋体" w:eastAsia="宋体" w:cs="宋体"/>
          <w:b/>
          <w:color w:val="auto"/>
          <w:kern w:val="0"/>
          <w:sz w:val="24"/>
          <w:highlight w:val="none"/>
          <w:u w:val="double"/>
        </w:rPr>
        <w:t>存在投标须知第4.3款规定的情形之一</w:t>
      </w:r>
      <w:r>
        <w:rPr>
          <w:rFonts w:hint="eastAsia" w:ascii="宋体" w:hAnsi="宋体" w:eastAsia="宋体" w:cs="宋体"/>
          <w:color w:val="auto"/>
          <w:kern w:val="0"/>
          <w:sz w:val="24"/>
          <w:highlight w:val="none"/>
        </w:rPr>
        <w:t>；</w:t>
      </w:r>
    </w:p>
    <w:p>
      <w:pPr>
        <w:pStyle w:val="9"/>
        <w:tabs>
          <w:tab w:val="left" w:pos="900"/>
        </w:tabs>
        <w:spacing w:line="400" w:lineRule="atLeast"/>
        <w:ind w:left="510" w:firstLine="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4.1.1</w:t>
      </w:r>
      <w:r>
        <w:rPr>
          <w:rFonts w:hint="eastAsia" w:ascii="宋体" w:hAnsi="宋体" w:eastAsia="宋体" w:cs="宋体"/>
          <w:b/>
          <w:color w:val="auto"/>
          <w:kern w:val="0"/>
          <w:sz w:val="24"/>
          <w:highlight w:val="none"/>
          <w:lang w:val="en-US" w:eastAsia="zh-CN"/>
        </w:rPr>
        <w:t>2</w:t>
      </w:r>
      <w:r>
        <w:rPr>
          <w:rFonts w:hint="eastAsia" w:ascii="宋体" w:hAnsi="宋体" w:eastAsia="宋体" w:cs="宋体"/>
          <w:b/>
          <w:color w:val="auto"/>
          <w:kern w:val="0"/>
          <w:sz w:val="24"/>
          <w:highlight w:val="none"/>
          <w:u w:val="double"/>
        </w:rPr>
        <w:t>不符合招标文件规定的其他资格条件</w:t>
      </w:r>
      <w:r>
        <w:rPr>
          <w:rFonts w:hint="eastAsia" w:ascii="宋体" w:hAnsi="宋体" w:eastAsia="宋体" w:cs="宋体"/>
          <w:color w:val="auto"/>
          <w:kern w:val="0"/>
          <w:sz w:val="24"/>
          <w:highlight w:val="none"/>
        </w:rPr>
        <w:t>。</w:t>
      </w:r>
    </w:p>
    <w:p>
      <w:pPr>
        <w:numPr>
          <w:ilvl w:val="1"/>
          <w:numId w:val="16"/>
        </w:numPr>
        <w:adjustRightInd/>
        <w:spacing w:line="400" w:lineRule="atLeast"/>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商务文件评审标准</w:t>
      </w:r>
    </w:p>
    <w:p>
      <w:pPr>
        <w:numPr>
          <w:ilvl w:val="2"/>
          <w:numId w:val="16"/>
        </w:numPr>
        <w:tabs>
          <w:tab w:val="left" w:pos="1050"/>
        </w:tabs>
        <w:adjustRightInd/>
        <w:spacing w:line="400" w:lineRule="atLeast"/>
        <w:textAlignment w:val="auto"/>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u w:val="double"/>
        </w:rPr>
        <w:t>商务文件有下列情形之一的，视为未能对招标文件做出实质性响应，应否决其投标</w:t>
      </w:r>
      <w:r>
        <w:rPr>
          <w:rFonts w:hint="eastAsia" w:ascii="宋体" w:hAnsi="宋体" w:eastAsia="宋体" w:cs="宋体"/>
          <w:color w:val="auto"/>
          <w:sz w:val="24"/>
          <w:highlight w:val="none"/>
        </w:rPr>
        <w:t>：</w:t>
      </w:r>
    </w:p>
    <w:p>
      <w:pPr>
        <w:pStyle w:val="9"/>
        <w:tabs>
          <w:tab w:val="left" w:pos="900"/>
        </w:tabs>
        <w:spacing w:line="40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u w:val="double"/>
        </w:rPr>
        <w:t>5.1.1未按照招标文件第8章 “商务文件格式”规定的格式、内容填写、盖章、签署、提交材料</w:t>
      </w:r>
      <w:r>
        <w:rPr>
          <w:rFonts w:hint="eastAsia" w:ascii="宋体" w:hAnsi="宋体" w:eastAsia="宋体" w:cs="宋体"/>
          <w:color w:val="auto"/>
          <w:kern w:val="0"/>
          <w:sz w:val="24"/>
          <w:highlight w:val="none"/>
        </w:rPr>
        <w:t>；</w:t>
      </w:r>
    </w:p>
    <w:p>
      <w:pPr>
        <w:pStyle w:val="9"/>
        <w:tabs>
          <w:tab w:val="left" w:pos="900"/>
        </w:tabs>
        <w:spacing w:line="400" w:lineRule="atLeast"/>
        <w:ind w:left="510" w:firstLine="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u w:val="double"/>
        </w:rPr>
        <w:t>5.1.2相关内容与资格文件填报（包括盖章和签署）不一致</w:t>
      </w:r>
      <w:r>
        <w:rPr>
          <w:rFonts w:hint="eastAsia" w:ascii="宋体" w:hAnsi="宋体" w:eastAsia="宋体" w:cs="宋体"/>
          <w:color w:val="auto"/>
          <w:kern w:val="0"/>
          <w:sz w:val="24"/>
          <w:highlight w:val="none"/>
        </w:rPr>
        <w:t>；</w:t>
      </w:r>
    </w:p>
    <w:p>
      <w:pPr>
        <w:pStyle w:val="9"/>
        <w:tabs>
          <w:tab w:val="left" w:pos="900"/>
        </w:tabs>
        <w:spacing w:line="400" w:lineRule="atLeast"/>
        <w:ind w:left="510" w:firstLine="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u w:val="double"/>
        </w:rPr>
        <w:t>5.1.3投标函中载明的投标报价不符合招标文件要求的</w:t>
      </w:r>
      <w:r>
        <w:rPr>
          <w:rFonts w:hint="eastAsia" w:ascii="宋体" w:hAnsi="宋体" w:eastAsia="宋体" w:cs="宋体"/>
          <w:b/>
          <w:color w:val="auto"/>
          <w:kern w:val="0"/>
          <w:sz w:val="24"/>
          <w:highlight w:val="none"/>
        </w:rPr>
        <w:t>；</w:t>
      </w:r>
    </w:p>
    <w:p>
      <w:pPr>
        <w:pStyle w:val="9"/>
        <w:tabs>
          <w:tab w:val="left" w:pos="900"/>
        </w:tabs>
        <w:spacing w:line="40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u w:val="double"/>
        </w:rPr>
        <w:t>5.1.4投标函中载明的工期（包括各关键点工期）超过招标文件要求的、工程质量低于招标文件要求的</w:t>
      </w:r>
      <w:r>
        <w:rPr>
          <w:rFonts w:hint="eastAsia" w:ascii="宋体" w:hAnsi="宋体" w:eastAsia="宋体" w:cs="宋体"/>
          <w:b/>
          <w:color w:val="auto"/>
          <w:kern w:val="0"/>
          <w:sz w:val="24"/>
          <w:highlight w:val="none"/>
        </w:rPr>
        <w:t>；</w:t>
      </w:r>
    </w:p>
    <w:p>
      <w:pPr>
        <w:pStyle w:val="9"/>
        <w:tabs>
          <w:tab w:val="left" w:pos="900"/>
        </w:tabs>
        <w:spacing w:line="400" w:lineRule="atLeast"/>
        <w:ind w:left="510" w:firstLine="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u w:val="double"/>
        </w:rPr>
        <w:t>5.1.5附有招标文件规定的无法接受的条件</w:t>
      </w:r>
      <w:r>
        <w:rPr>
          <w:rFonts w:hint="eastAsia" w:ascii="宋体" w:hAnsi="宋体" w:eastAsia="宋体" w:cs="宋体"/>
          <w:color w:val="auto"/>
          <w:kern w:val="0"/>
          <w:sz w:val="24"/>
          <w:highlight w:val="none"/>
        </w:rPr>
        <w:t>；</w:t>
      </w:r>
    </w:p>
    <w:p>
      <w:pPr>
        <w:pStyle w:val="9"/>
        <w:tabs>
          <w:tab w:val="left" w:pos="900"/>
        </w:tabs>
        <w:spacing w:line="400" w:lineRule="atLeast"/>
        <w:ind w:left="510" w:firstLine="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u w:val="double"/>
        </w:rPr>
        <w:t>5.1.6不符合招标文件规定的其他实质性要求</w:t>
      </w:r>
      <w:r>
        <w:rPr>
          <w:rFonts w:hint="eastAsia" w:ascii="宋体" w:hAnsi="宋体" w:eastAsia="宋体" w:cs="宋体"/>
          <w:color w:val="auto"/>
          <w:kern w:val="0"/>
          <w:sz w:val="24"/>
          <w:highlight w:val="none"/>
        </w:rPr>
        <w:t>。</w:t>
      </w:r>
    </w:p>
    <w:p>
      <w:pPr>
        <w:numPr>
          <w:ilvl w:val="1"/>
          <w:numId w:val="16"/>
        </w:numPr>
        <w:adjustRightInd/>
        <w:spacing w:line="400" w:lineRule="atLeast"/>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商务文件算术性修正和细微偏差补正</w:t>
      </w:r>
    </w:p>
    <w:p>
      <w:pPr>
        <w:pStyle w:val="9"/>
        <w:tabs>
          <w:tab w:val="left" w:pos="900"/>
        </w:tabs>
        <w:spacing w:line="400" w:lineRule="atLeast"/>
        <w:ind w:left="510" w:firstLine="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6.1用数字表示的数额与用文字表示的数额不一致的，以文字数额为准。</w:t>
      </w:r>
    </w:p>
    <w:p>
      <w:pPr>
        <w:pStyle w:val="9"/>
        <w:tabs>
          <w:tab w:val="left" w:pos="900"/>
        </w:tabs>
        <w:spacing w:line="40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6.2细微偏差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评标委员会应当要求存在细微偏差的投标人在评标结束前予以补正。拒不补正的，在详细评审时可以对细微偏差作出不利于该投标人的评审意见。下列问题属于细微偏差：</w:t>
      </w:r>
    </w:p>
    <w:p>
      <w:pPr>
        <w:pStyle w:val="9"/>
        <w:tabs>
          <w:tab w:val="left" w:pos="900"/>
        </w:tabs>
        <w:spacing w:line="400" w:lineRule="atLeast"/>
        <w:ind w:left="510" w:firstLine="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6.2.1按照本办法第6.1款规定对投标报价进行的算术性修正。</w:t>
      </w:r>
    </w:p>
    <w:p>
      <w:pPr>
        <w:pStyle w:val="9"/>
        <w:tabs>
          <w:tab w:val="left" w:pos="900"/>
        </w:tabs>
        <w:spacing w:line="400" w:lineRule="atLeast"/>
        <w:ind w:left="510" w:firstLine="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6.2.2投标函和投标函附录数据有矛盾的，以投标函的数据为准。</w:t>
      </w:r>
    </w:p>
    <w:p>
      <w:pPr>
        <w:pStyle w:val="9"/>
        <w:tabs>
          <w:tab w:val="left" w:pos="900"/>
        </w:tabs>
        <w:spacing w:line="400" w:lineRule="atLeast"/>
        <w:ind w:left="510" w:firstLine="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6.3按照本办法第6.2款规定进行补正后的投标文件经投标人确认后产生约束力。</w:t>
      </w:r>
    </w:p>
    <w:p>
      <w:pPr>
        <w:numPr>
          <w:ilvl w:val="1"/>
          <w:numId w:val="16"/>
        </w:numPr>
        <w:adjustRightInd/>
        <w:spacing w:line="400" w:lineRule="atLeas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抽取和推荐中标候选人</w:t>
      </w:r>
    </w:p>
    <w:p>
      <w:pPr>
        <w:adjustRightInd/>
        <w:spacing w:line="400" w:lineRule="atLeast"/>
        <w:ind w:firstLine="480"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7.1</w:t>
      </w:r>
      <w:r>
        <w:rPr>
          <w:rFonts w:hint="eastAsia" w:ascii="宋体" w:hAnsi="宋体" w:eastAsia="宋体" w:cs="宋体"/>
          <w:b/>
          <w:bCs/>
          <w:color w:val="auto"/>
          <w:sz w:val="24"/>
          <w:szCs w:val="24"/>
          <w:highlight w:val="none"/>
          <w:u w:val="single"/>
        </w:rPr>
        <w:t>在推荐中标候选人前，评标委员会应当对拟推荐为中标候选人的投标人相关信息进行核对：</w:t>
      </w:r>
    </w:p>
    <w:p>
      <w:pPr>
        <w:adjustRightInd/>
        <w:spacing w:line="400" w:lineRule="atLeast"/>
        <w:ind w:firstLine="480"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1）通过福建省建设行业信息公开平台查询本招标项目投标截止时间当日的拟推荐中标候选人的企业信息和相关人员信息，无法查询到或查询的信息不完整的，应当否决其投标。省外入闽建筑施工企业在福建省建设行业信息公开平台登记的企业信息或相关人员信息（投标截止时间当日），与证书原件不符的，视为弄虚作假行为。</w:t>
      </w:r>
    </w:p>
    <w:p>
      <w:pPr>
        <w:adjustRightInd/>
        <w:spacing w:line="400" w:lineRule="atLeast"/>
        <w:ind w:firstLine="480"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上述所称的企业信息为投标人用于本招标项目的企业资质类别及等级、资质证书编号、安全生产许可证编号、安全生产许可证有效期；相关人员信息为投标人拟派出的项目负责人的姓名、注册建造师等级及专业、注册编号、注册证书编号以及项目技术负责人的姓名、职称编号、职称专业（如有）、职称类型。</w:t>
      </w:r>
    </w:p>
    <w:p>
      <w:pPr>
        <w:adjustRightInd/>
        <w:spacing w:line="400" w:lineRule="atLeast"/>
        <w:ind w:firstLine="456"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pacing w:val="-6"/>
          <w:sz w:val="24"/>
          <w:szCs w:val="24"/>
          <w:highlight w:val="none"/>
          <w:u w:val="single"/>
        </w:rPr>
        <w:t>（</w:t>
      </w:r>
      <w:r>
        <w:rPr>
          <w:rFonts w:hint="eastAsia" w:ascii="宋体" w:hAnsi="宋体" w:eastAsia="宋体" w:cs="宋体"/>
          <w:b/>
          <w:bCs/>
          <w:color w:val="auto"/>
          <w:spacing w:val="-6"/>
          <w:sz w:val="24"/>
          <w:szCs w:val="24"/>
          <w:highlight w:val="none"/>
          <w:u w:val="single"/>
          <w:lang w:val="en-US" w:eastAsia="zh-CN"/>
        </w:rPr>
        <w:t>2</w:t>
      </w:r>
      <w:r>
        <w:rPr>
          <w:rFonts w:hint="eastAsia" w:ascii="宋体" w:hAnsi="宋体" w:eastAsia="宋体" w:cs="宋体"/>
          <w:b/>
          <w:bCs/>
          <w:color w:val="auto"/>
          <w:spacing w:val="-6"/>
          <w:sz w:val="24"/>
          <w:szCs w:val="24"/>
          <w:highlight w:val="none"/>
          <w:u w:val="single"/>
        </w:rPr>
        <w:t>）通过中国执行信息公开网（网址：zxgk.court.gov.cn/shixin）查询本招标项目投标截止时间当日拟推荐为中标候选人的投标人（不包括其分支机构）是否被人民法院列为“失信被执行人”，若被列为“失信被执行人”的，应当否决其投标。</w:t>
      </w:r>
    </w:p>
    <w:p>
      <w:pPr>
        <w:tabs>
          <w:tab w:val="left" w:pos="1050"/>
        </w:tabs>
        <w:adjustRightInd/>
        <w:spacing w:line="400" w:lineRule="atLeast"/>
        <w:ind w:firstLine="480"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通过全国企业信用信息公示系统（网址：www.gsxt.gov.cn）查询本招标项目投标截止时间当日的拟推荐为中标候选人的投标人（不包括其分支机构）是否被工商行政管理机关列为“严重违法失信企业名单”，若被列为“严重违法失信企业名单” 的应当否决其投标。</w:t>
      </w:r>
    </w:p>
    <w:p>
      <w:pPr>
        <w:widowControl/>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r>
        <w:rPr>
          <w:rFonts w:hint="eastAsia" w:ascii="宋体" w:hAnsi="宋体" w:eastAsia="宋体" w:cs="宋体"/>
          <w:bCs/>
          <w:color w:val="auto"/>
          <w:sz w:val="24"/>
          <w:szCs w:val="24"/>
          <w:highlight w:val="none"/>
        </w:rPr>
        <w:t>招标人在经评审合格的的</w:t>
      </w:r>
      <w:r>
        <w:rPr>
          <w:rFonts w:hint="eastAsia" w:ascii="宋体" w:hAnsi="宋体" w:eastAsia="宋体" w:cs="宋体"/>
          <w:color w:val="auto"/>
          <w:sz w:val="24"/>
          <w:szCs w:val="24"/>
          <w:highlight w:val="none"/>
        </w:rPr>
        <w:t>投标</w:t>
      </w:r>
      <w:r>
        <w:rPr>
          <w:rFonts w:hint="eastAsia" w:ascii="宋体" w:hAnsi="宋体" w:eastAsia="宋体" w:cs="宋体"/>
          <w:bCs/>
          <w:color w:val="auto"/>
          <w:sz w:val="24"/>
          <w:szCs w:val="24"/>
          <w:highlight w:val="none"/>
        </w:rPr>
        <w:t>人中，根据招标文件规定的中标人候选人数量和评标办法和标准数据表第6项规定的抽取中标候选人方法，公开随</w:t>
      </w:r>
      <w:r>
        <w:rPr>
          <w:rFonts w:hint="eastAsia" w:ascii="宋体" w:hAnsi="宋体" w:eastAsia="宋体" w:cs="宋体"/>
          <w:color w:val="auto"/>
          <w:sz w:val="24"/>
          <w:szCs w:val="24"/>
          <w:highlight w:val="none"/>
        </w:rPr>
        <w:t>机抽取确定中标候选人</w:t>
      </w:r>
      <w:r>
        <w:rPr>
          <w:rFonts w:hint="eastAsia" w:ascii="宋体" w:hAnsi="宋体" w:cs="宋体"/>
          <w:color w:val="auto"/>
          <w:sz w:val="24"/>
        </w:rPr>
        <w:t>。</w:t>
      </w:r>
    </w:p>
    <w:p>
      <w:pPr>
        <w:numPr>
          <w:ilvl w:val="1"/>
          <w:numId w:val="16"/>
        </w:numPr>
        <w:adjustRightInd/>
        <w:spacing w:line="400" w:lineRule="atLeas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提交评标报告</w:t>
      </w:r>
    </w:p>
    <w:p>
      <w:pPr>
        <w:numPr>
          <w:ilvl w:val="2"/>
          <w:numId w:val="16"/>
        </w:numPr>
        <w:tabs>
          <w:tab w:val="left" w:pos="1050"/>
        </w:tabs>
        <w:adjustRightInd/>
        <w:spacing w:line="40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评标委员会按照规定的程序完成全部评审内容后，应根据评审实际情况和评审结果向招标人提交评标报告。</w:t>
      </w:r>
    </w:p>
    <w:p>
      <w:pPr>
        <w:numPr>
          <w:ilvl w:val="2"/>
          <w:numId w:val="16"/>
        </w:numPr>
        <w:tabs>
          <w:tab w:val="left" w:pos="1050"/>
        </w:tabs>
        <w:adjustRightInd/>
        <w:spacing w:line="40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评标委员会决定否决所有投标的，应当在评标报告中说明具体理由。</w:t>
      </w:r>
    </w:p>
    <w:p>
      <w:pPr>
        <w:numPr>
          <w:ilvl w:val="1"/>
          <w:numId w:val="16"/>
        </w:numPr>
        <w:adjustRightInd/>
        <w:spacing w:line="400" w:lineRule="atLeast"/>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附则</w:t>
      </w:r>
    </w:p>
    <w:p>
      <w:pPr>
        <w:numPr>
          <w:ilvl w:val="2"/>
          <w:numId w:val="16"/>
        </w:numPr>
        <w:tabs>
          <w:tab w:val="left" w:pos="1050"/>
        </w:tabs>
        <w:adjustRightInd/>
        <w:spacing w:line="400" w:lineRule="atLeast"/>
        <w:ind w:firstLine="48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评标委员会未按照招标文件规定的评标办法和标准进行评审的，抽取、推荐的中标候选人和确定的中标人无效，招标人应当重新组建评标委员会进行评审，并按规定重新抽取、推荐中标候选人和确定中标人。</w:t>
      </w:r>
    </w:p>
    <w:p>
      <w:pPr>
        <w:numPr>
          <w:ilvl w:val="2"/>
          <w:numId w:val="16"/>
        </w:numPr>
        <w:tabs>
          <w:tab w:val="left" w:pos="1050"/>
        </w:tabs>
        <w:adjustRightInd/>
        <w:spacing w:line="400" w:lineRule="atLeast"/>
        <w:textAlignment w:val="auto"/>
        <w:rPr>
          <w:rFonts w:hint="eastAsia"/>
          <w:color w:val="auto"/>
        </w:rPr>
      </w:pPr>
      <w:r>
        <w:rPr>
          <w:rFonts w:hint="eastAsia" w:ascii="宋体" w:hAnsi="宋体" w:eastAsia="宋体" w:cs="宋体"/>
          <w:color w:val="auto"/>
          <w:sz w:val="24"/>
          <w:highlight w:val="none"/>
        </w:rPr>
        <w:t>在抽取参与评审的投标人名单和中标候选人过程中，如出现由于招标人的工作失误或设备故障影响抽取结果的，抽取的参与评审的投标人名单和中标候选人无效，招标人应当重新抽取。</w:t>
      </w:r>
    </w:p>
    <w:p>
      <w:pPr>
        <w:numPr>
          <w:ilvl w:val="2"/>
          <w:numId w:val="16"/>
        </w:numPr>
        <w:tabs>
          <w:tab w:val="left" w:pos="1050"/>
        </w:tabs>
        <w:adjustRightInd/>
        <w:spacing w:line="400" w:lineRule="atLeast"/>
        <w:textAlignment w:val="auto"/>
        <w:rPr>
          <w:rFonts w:hint="eastAsia"/>
          <w:color w:val="auto"/>
        </w:rPr>
      </w:pPr>
      <w:r>
        <w:rPr>
          <w:rFonts w:hint="eastAsia"/>
          <w:color w:val="auto"/>
        </w:rPr>
        <w:t>所有抽球过程实行全程录音录像监控。</w:t>
      </w:r>
    </w:p>
    <w:p>
      <w:pPr>
        <w:pStyle w:val="2"/>
        <w:ind w:left="0" w:leftChars="0" w:firstLine="0" w:firstLineChars="0"/>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bookmarkEnd w:id="269"/>
    <w:p>
      <w:pPr>
        <w:pStyle w:val="4"/>
        <w:spacing w:before="1440" w:after="120" w:line="360" w:lineRule="auto"/>
        <w:jc w:val="center"/>
        <w:rPr>
          <w:rFonts w:hint="eastAsia" w:ascii="宋体" w:hAnsi="宋体" w:eastAsia="宋体" w:cs="宋体"/>
          <w:color w:val="auto"/>
          <w:highlight w:val="none"/>
        </w:rPr>
      </w:pPr>
      <w:bookmarkStart w:id="270" w:name="_Toc525120833"/>
      <w:bookmarkStart w:id="271" w:name="_Toc22272"/>
      <w:r>
        <w:rPr>
          <w:rFonts w:hint="eastAsia" w:ascii="宋体" w:hAnsi="宋体" w:eastAsia="宋体" w:cs="宋体"/>
          <w:color w:val="auto"/>
          <w:highlight w:val="none"/>
        </w:rPr>
        <w:t>合</w:t>
      </w:r>
      <w:bookmarkStart w:id="272" w:name="_Toc13309377"/>
      <w:bookmarkStart w:id="273" w:name="_Toc300038977"/>
      <w:r>
        <w:rPr>
          <w:rFonts w:hint="eastAsia" w:ascii="宋体" w:hAnsi="宋体" w:eastAsia="宋体" w:cs="宋体"/>
          <w:color w:val="auto"/>
          <w:highlight w:val="none"/>
        </w:rPr>
        <w:t>同条款及格式</w:t>
      </w:r>
      <w:bookmarkEnd w:id="270"/>
      <w:bookmarkEnd w:id="271"/>
    </w:p>
    <w:bookmarkEnd w:id="272"/>
    <w:bookmarkEnd w:id="273"/>
    <w:p>
      <w:pPr>
        <w:rPr>
          <w:rFonts w:hint="eastAsia" w:ascii="宋体" w:hAnsi="宋体" w:eastAsia="宋体" w:cs="宋体"/>
          <w:color w:val="auto"/>
          <w:kern w:val="2"/>
          <w:sz w:val="21"/>
          <w:szCs w:val="21"/>
          <w:highlight w:val="none"/>
        </w:rPr>
      </w:pPr>
    </w:p>
    <w:p>
      <w:pPr>
        <w:jc w:val="both"/>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说   明</w:t>
      </w:r>
    </w:p>
    <w:p>
      <w:pPr>
        <w:pStyle w:val="29"/>
        <w:rPr>
          <w:rFonts w:hint="eastAsia"/>
          <w:color w:val="auto"/>
        </w:rPr>
      </w:pPr>
    </w:p>
    <w:p>
      <w:pPr>
        <w:spacing w:line="360" w:lineRule="auto"/>
        <w:ind w:firstLine="480" w:firstLineChars="200"/>
        <w:rPr>
          <w:rFonts w:hint="eastAsia" w:ascii="宋体"/>
          <w:color w:val="auto"/>
          <w:sz w:val="24"/>
        </w:rPr>
      </w:pPr>
      <w:r>
        <w:rPr>
          <w:rFonts w:hint="eastAsia" w:ascii="宋体"/>
          <w:color w:val="auto"/>
          <w:sz w:val="24"/>
        </w:rPr>
        <w:t>1. 本章在《建设工程施工合同（示范文本）》（GF-2017-0201）的基础上，结合我省实际情况进行调整。使用前，应仔细阅读</w:t>
      </w:r>
      <w:r>
        <w:rPr>
          <w:rFonts w:hint="eastAsia" w:ascii="宋体"/>
          <w:color w:val="auto"/>
          <w:sz w:val="24"/>
          <w:lang w:eastAsia="zh-CN"/>
        </w:rPr>
        <w:t>《</w:t>
      </w:r>
      <w:r>
        <w:rPr>
          <w:rFonts w:hint="eastAsia" w:ascii="宋体"/>
          <w:color w:val="auto"/>
          <w:sz w:val="24"/>
        </w:rPr>
        <w:t>建设工程施工合同（示范文本）</w:t>
      </w:r>
      <w:r>
        <w:rPr>
          <w:rFonts w:hint="eastAsia" w:ascii="宋体"/>
          <w:color w:val="auto"/>
          <w:sz w:val="24"/>
          <w:lang w:eastAsia="zh-CN"/>
        </w:rPr>
        <w:t>》</w:t>
      </w:r>
      <w:r>
        <w:rPr>
          <w:rFonts w:hint="eastAsia" w:ascii="宋体"/>
          <w:color w:val="auto"/>
          <w:sz w:val="24"/>
        </w:rPr>
        <w:t>（GF-2017-0201）的说明。</w:t>
      </w:r>
    </w:p>
    <w:p>
      <w:pPr>
        <w:pStyle w:val="16"/>
        <w:spacing w:line="360" w:lineRule="auto"/>
        <w:ind w:firstLine="480" w:firstLineChars="200"/>
        <w:rPr>
          <w:rFonts w:hint="eastAsia"/>
          <w:color w:val="auto"/>
          <w:sz w:val="24"/>
        </w:rPr>
      </w:pPr>
      <w:r>
        <w:rPr>
          <w:rFonts w:hint="eastAsia"/>
          <w:color w:val="auto"/>
          <w:sz w:val="24"/>
          <w:szCs w:val="24"/>
        </w:rPr>
        <w:t xml:space="preserve">2. </w:t>
      </w:r>
      <w:r>
        <w:rPr>
          <w:rFonts w:hint="eastAsia"/>
          <w:color w:val="auto"/>
          <w:sz w:val="24"/>
        </w:rPr>
        <w:t>招标人原则上应当引用本章第</w:t>
      </w:r>
      <w:r>
        <w:rPr>
          <w:color w:val="auto"/>
          <w:sz w:val="24"/>
        </w:rPr>
        <w:t>2</w:t>
      </w:r>
      <w:r>
        <w:rPr>
          <w:rFonts w:hint="eastAsia"/>
          <w:color w:val="auto"/>
          <w:sz w:val="24"/>
        </w:rPr>
        <w:t>节“通用合同条款”的全部条款内容，如确因“通用合同条款”中的某些内容与招标项目不符而需要修改的或根据工程实际情况需要补充的，招标人可以对“通用合同条款”进行补正（删除、补充或修改）。有关补正内容填入《专用本》的“通用合同条款补正表”中。</w:t>
      </w:r>
    </w:p>
    <w:p>
      <w:pPr>
        <w:pStyle w:val="9"/>
        <w:tabs>
          <w:tab w:val="left" w:pos="3200"/>
          <w:tab w:val="left" w:pos="3400"/>
          <w:tab w:val="left" w:pos="3900"/>
          <w:tab w:val="left" w:pos="4400"/>
        </w:tabs>
        <w:adjustRightInd w:val="0"/>
        <w:snapToGrid w:val="0"/>
        <w:spacing w:line="360" w:lineRule="auto"/>
        <w:ind w:firstLine="480" w:firstLineChars="200"/>
        <w:rPr>
          <w:rFonts w:hint="eastAsia"/>
          <w:color w:val="auto"/>
          <w:sz w:val="24"/>
        </w:rPr>
      </w:pPr>
      <w:r>
        <w:rPr>
          <w:color w:val="auto"/>
          <w:sz w:val="24"/>
        </w:rPr>
        <w:t xml:space="preserve">3. </w:t>
      </w:r>
      <w:r>
        <w:rPr>
          <w:rFonts w:hint="eastAsia"/>
          <w:color w:val="auto"/>
          <w:sz w:val="24"/>
        </w:rPr>
        <w:t>本章第</w:t>
      </w:r>
      <w:r>
        <w:rPr>
          <w:color w:val="auto"/>
          <w:sz w:val="24"/>
        </w:rPr>
        <w:t>3</w:t>
      </w:r>
      <w:r>
        <w:rPr>
          <w:rFonts w:hint="eastAsia"/>
          <w:color w:val="auto"/>
          <w:sz w:val="24"/>
        </w:rPr>
        <w:t>节“专用合同条款”是招标人结合工程实际情况对“通用合同条款”对应条款内容的具体化或补充，二者若有矛盾，以“专用合同条款”为准。</w:t>
      </w:r>
    </w:p>
    <w:p>
      <w:pPr>
        <w:spacing w:line="360" w:lineRule="auto"/>
        <w:rPr>
          <w:rFonts w:hint="eastAsia" w:ascii="宋体" w:hAnsi="宋体" w:eastAsia="宋体" w:cs="宋体"/>
          <w:color w:val="auto"/>
          <w:kern w:val="2"/>
          <w:sz w:val="21"/>
          <w:szCs w:val="21"/>
          <w:highlight w:val="none"/>
        </w:rPr>
      </w:pPr>
    </w:p>
    <w:p>
      <w:pPr>
        <w:pStyle w:val="2"/>
        <w:rPr>
          <w:rFonts w:hint="eastAsia" w:ascii="宋体" w:hAnsi="宋体" w:eastAsia="宋体" w:cs="宋体"/>
          <w:color w:val="auto"/>
          <w:kern w:val="2"/>
          <w:sz w:val="21"/>
          <w:szCs w:val="21"/>
          <w:highlight w:val="none"/>
        </w:rPr>
      </w:pPr>
    </w:p>
    <w:p>
      <w:pPr>
        <w:pStyle w:val="2"/>
        <w:rPr>
          <w:rFonts w:hint="eastAsia" w:ascii="宋体" w:hAnsi="宋体" w:eastAsia="宋体" w:cs="宋体"/>
          <w:color w:val="auto"/>
          <w:kern w:val="2"/>
          <w:sz w:val="21"/>
          <w:szCs w:val="21"/>
          <w:highlight w:val="none"/>
        </w:rPr>
      </w:pPr>
    </w:p>
    <w:p>
      <w:pPr>
        <w:pStyle w:val="2"/>
        <w:rPr>
          <w:rFonts w:hint="eastAsia" w:ascii="宋体" w:hAnsi="宋体" w:eastAsia="宋体" w:cs="宋体"/>
          <w:color w:val="auto"/>
          <w:kern w:val="2"/>
          <w:sz w:val="21"/>
          <w:szCs w:val="21"/>
          <w:highlight w:val="none"/>
        </w:rPr>
      </w:pPr>
    </w:p>
    <w:p>
      <w:pPr>
        <w:pStyle w:val="2"/>
        <w:rPr>
          <w:rFonts w:hint="eastAsia" w:ascii="宋体" w:hAnsi="宋体" w:eastAsia="宋体" w:cs="宋体"/>
          <w:color w:val="auto"/>
          <w:kern w:val="2"/>
          <w:sz w:val="21"/>
          <w:szCs w:val="21"/>
          <w:highlight w:val="none"/>
        </w:rPr>
      </w:pPr>
    </w:p>
    <w:p>
      <w:pPr>
        <w:pStyle w:val="2"/>
        <w:rPr>
          <w:rFonts w:hint="eastAsia" w:ascii="宋体" w:hAnsi="宋体" w:eastAsia="宋体" w:cs="宋体"/>
          <w:color w:val="auto"/>
          <w:kern w:val="2"/>
          <w:sz w:val="21"/>
          <w:szCs w:val="21"/>
          <w:highlight w:val="none"/>
        </w:rPr>
      </w:pPr>
    </w:p>
    <w:p>
      <w:pPr>
        <w:pStyle w:val="2"/>
        <w:rPr>
          <w:rFonts w:hint="eastAsia" w:ascii="宋体" w:hAnsi="宋体" w:eastAsia="宋体" w:cs="宋体"/>
          <w:color w:val="auto"/>
          <w:kern w:val="2"/>
          <w:sz w:val="21"/>
          <w:szCs w:val="21"/>
          <w:highlight w:val="none"/>
        </w:rPr>
      </w:pPr>
    </w:p>
    <w:p>
      <w:pPr>
        <w:pStyle w:val="2"/>
        <w:rPr>
          <w:rFonts w:hint="eastAsia" w:ascii="宋体" w:hAnsi="宋体" w:eastAsia="宋体" w:cs="宋体"/>
          <w:color w:val="auto"/>
          <w:kern w:val="2"/>
          <w:sz w:val="21"/>
          <w:szCs w:val="21"/>
          <w:highlight w:val="none"/>
        </w:rPr>
      </w:pPr>
    </w:p>
    <w:p>
      <w:pPr>
        <w:pStyle w:val="2"/>
        <w:rPr>
          <w:rFonts w:hint="eastAsia" w:ascii="宋体" w:hAnsi="宋体" w:eastAsia="宋体" w:cs="宋体"/>
          <w:color w:val="auto"/>
          <w:kern w:val="2"/>
          <w:sz w:val="21"/>
          <w:szCs w:val="21"/>
          <w:highlight w:val="none"/>
        </w:rPr>
      </w:pPr>
    </w:p>
    <w:p>
      <w:pPr>
        <w:pStyle w:val="2"/>
        <w:rPr>
          <w:rFonts w:hint="eastAsia" w:ascii="宋体" w:hAnsi="宋体" w:eastAsia="宋体" w:cs="宋体"/>
          <w:color w:val="auto"/>
          <w:kern w:val="2"/>
          <w:sz w:val="21"/>
          <w:szCs w:val="21"/>
          <w:highlight w:val="none"/>
        </w:rPr>
      </w:pPr>
    </w:p>
    <w:p>
      <w:pPr>
        <w:pStyle w:val="2"/>
        <w:rPr>
          <w:rFonts w:hint="eastAsia" w:ascii="宋体" w:hAnsi="宋体" w:eastAsia="宋体" w:cs="宋体"/>
          <w:color w:val="auto"/>
          <w:kern w:val="2"/>
          <w:sz w:val="21"/>
          <w:szCs w:val="21"/>
          <w:highlight w:val="none"/>
        </w:rPr>
      </w:pPr>
    </w:p>
    <w:p>
      <w:pPr>
        <w:pStyle w:val="2"/>
        <w:ind w:left="0" w:leftChars="0" w:firstLine="0" w:firstLineChars="0"/>
        <w:rPr>
          <w:rFonts w:hint="eastAsia" w:ascii="宋体" w:hAnsi="宋体" w:eastAsia="宋体" w:cs="宋体"/>
          <w:color w:val="auto"/>
          <w:kern w:val="2"/>
          <w:sz w:val="21"/>
          <w:szCs w:val="21"/>
          <w:highlight w:val="none"/>
        </w:rPr>
      </w:pPr>
    </w:p>
    <w:p>
      <w:pPr>
        <w:pStyle w:val="2"/>
        <w:rPr>
          <w:rFonts w:hint="eastAsia" w:ascii="宋体" w:hAnsi="宋体" w:eastAsia="宋体" w:cs="宋体"/>
          <w:color w:val="auto"/>
          <w:kern w:val="2"/>
          <w:sz w:val="21"/>
          <w:szCs w:val="21"/>
          <w:highlight w:val="none"/>
        </w:rPr>
      </w:pPr>
    </w:p>
    <w:p>
      <w:pPr>
        <w:spacing w:line="360" w:lineRule="auto"/>
        <w:rPr>
          <w:rFonts w:hint="eastAsia" w:ascii="宋体" w:hAnsi="宋体" w:cs="宋体"/>
          <w:color w:val="auto"/>
          <w:kern w:val="2"/>
          <w:sz w:val="21"/>
          <w:szCs w:val="21"/>
        </w:rPr>
      </w:pPr>
      <w:bookmarkStart w:id="274" w:name="_Toc525120838"/>
    </w:p>
    <w:p>
      <w:pPr>
        <w:pStyle w:val="9"/>
        <w:tabs>
          <w:tab w:val="left" w:pos="3200"/>
          <w:tab w:val="left" w:pos="3400"/>
          <w:tab w:val="left" w:pos="3900"/>
          <w:tab w:val="left" w:pos="4400"/>
        </w:tabs>
        <w:adjustRightInd w:val="0"/>
        <w:snapToGrid w:val="0"/>
        <w:spacing w:line="360" w:lineRule="auto"/>
        <w:ind w:firstLine="640" w:firstLineChars="2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第1节 合同协议书</w:t>
      </w:r>
    </w:p>
    <w:p>
      <w:pPr>
        <w:spacing w:line="360" w:lineRule="auto"/>
        <w:jc w:val="center"/>
        <w:rPr>
          <w:rFonts w:hint="eastAsia"/>
          <w:b/>
          <w:bCs/>
          <w:color w:val="auto"/>
          <w:sz w:val="28"/>
          <w:szCs w:val="28"/>
        </w:rPr>
      </w:pPr>
      <w:bookmarkStart w:id="275" w:name="_Toc3833"/>
      <w:bookmarkStart w:id="276" w:name="_Toc63471429"/>
      <w:bookmarkStart w:id="277" w:name="_Toc95912252"/>
      <w:bookmarkStart w:id="278" w:name="_Toc7410"/>
      <w:bookmarkStart w:id="279" w:name="_Toc9244"/>
      <w:bookmarkStart w:id="280" w:name="_Toc84419868"/>
    </w:p>
    <w:p>
      <w:pPr>
        <w:spacing w:line="360" w:lineRule="auto"/>
        <w:jc w:val="center"/>
        <w:rPr>
          <w:rFonts w:hint="eastAsia"/>
          <w:b/>
          <w:bCs/>
          <w:color w:val="auto"/>
          <w:sz w:val="28"/>
          <w:szCs w:val="28"/>
        </w:rPr>
      </w:pPr>
    </w:p>
    <w:p>
      <w:pPr>
        <w:spacing w:line="360" w:lineRule="auto"/>
        <w:jc w:val="center"/>
        <w:rPr>
          <w:rFonts w:hint="eastAsia"/>
          <w:b/>
          <w:bCs/>
          <w:color w:val="auto"/>
          <w:sz w:val="28"/>
          <w:szCs w:val="28"/>
        </w:rPr>
      </w:pPr>
    </w:p>
    <w:p>
      <w:pPr>
        <w:spacing w:line="360" w:lineRule="auto"/>
        <w:jc w:val="center"/>
        <w:rPr>
          <w:rFonts w:hint="eastAsia"/>
          <w:b/>
          <w:bCs/>
          <w:color w:val="auto"/>
          <w:sz w:val="28"/>
          <w:szCs w:val="28"/>
        </w:rPr>
      </w:pPr>
    </w:p>
    <w:p>
      <w:pPr>
        <w:spacing w:line="360" w:lineRule="auto"/>
        <w:jc w:val="center"/>
        <w:rPr>
          <w:rFonts w:hint="eastAsia"/>
          <w:b/>
          <w:bCs/>
          <w:color w:val="auto"/>
          <w:sz w:val="28"/>
          <w:szCs w:val="28"/>
        </w:rPr>
      </w:pPr>
    </w:p>
    <w:p>
      <w:pPr>
        <w:spacing w:line="360" w:lineRule="auto"/>
        <w:jc w:val="center"/>
        <w:rPr>
          <w:rFonts w:hint="eastAsia"/>
          <w:b/>
          <w:bCs/>
          <w:color w:val="auto"/>
          <w:sz w:val="28"/>
          <w:szCs w:val="28"/>
        </w:rPr>
      </w:pPr>
    </w:p>
    <w:p>
      <w:pPr>
        <w:spacing w:line="360" w:lineRule="auto"/>
        <w:jc w:val="center"/>
        <w:rPr>
          <w:rFonts w:hint="eastAsia"/>
          <w:b/>
          <w:bCs/>
          <w:color w:val="auto"/>
          <w:sz w:val="28"/>
          <w:szCs w:val="28"/>
        </w:rPr>
      </w:pPr>
    </w:p>
    <w:p>
      <w:pPr>
        <w:spacing w:line="360" w:lineRule="auto"/>
        <w:jc w:val="center"/>
        <w:rPr>
          <w:rFonts w:hint="eastAsia"/>
          <w:b/>
          <w:bCs/>
          <w:color w:val="auto"/>
          <w:sz w:val="28"/>
          <w:szCs w:val="28"/>
        </w:rPr>
      </w:pPr>
    </w:p>
    <w:p>
      <w:pPr>
        <w:spacing w:line="360" w:lineRule="auto"/>
        <w:jc w:val="center"/>
        <w:rPr>
          <w:rFonts w:hint="eastAsia"/>
          <w:b/>
          <w:bCs/>
          <w:color w:val="auto"/>
          <w:sz w:val="28"/>
          <w:szCs w:val="28"/>
        </w:rPr>
      </w:pPr>
    </w:p>
    <w:p>
      <w:pPr>
        <w:spacing w:line="360" w:lineRule="auto"/>
        <w:jc w:val="center"/>
        <w:rPr>
          <w:rFonts w:hint="eastAsia"/>
          <w:b/>
          <w:bCs/>
          <w:color w:val="auto"/>
          <w:sz w:val="28"/>
          <w:szCs w:val="28"/>
        </w:rPr>
      </w:pPr>
    </w:p>
    <w:p>
      <w:pPr>
        <w:spacing w:line="360" w:lineRule="auto"/>
        <w:jc w:val="center"/>
        <w:rPr>
          <w:rFonts w:hint="eastAsia"/>
          <w:b/>
          <w:bCs/>
          <w:color w:val="auto"/>
          <w:sz w:val="28"/>
          <w:szCs w:val="28"/>
        </w:rPr>
      </w:pPr>
    </w:p>
    <w:p>
      <w:pPr>
        <w:spacing w:line="360" w:lineRule="auto"/>
        <w:jc w:val="center"/>
        <w:rPr>
          <w:rFonts w:hint="eastAsia"/>
          <w:b/>
          <w:bCs/>
          <w:color w:val="auto"/>
          <w:sz w:val="28"/>
          <w:szCs w:val="28"/>
        </w:rPr>
      </w:pPr>
    </w:p>
    <w:p>
      <w:pPr>
        <w:spacing w:line="360" w:lineRule="auto"/>
        <w:jc w:val="center"/>
        <w:rPr>
          <w:rFonts w:hint="eastAsia"/>
          <w:b/>
          <w:bCs/>
          <w:color w:val="auto"/>
          <w:sz w:val="28"/>
          <w:szCs w:val="28"/>
        </w:rPr>
      </w:pPr>
    </w:p>
    <w:p>
      <w:pPr>
        <w:spacing w:line="360" w:lineRule="auto"/>
        <w:jc w:val="center"/>
        <w:rPr>
          <w:rFonts w:hint="eastAsia"/>
          <w:b/>
          <w:bCs/>
          <w:color w:val="auto"/>
          <w:sz w:val="28"/>
          <w:szCs w:val="28"/>
        </w:rPr>
      </w:pPr>
    </w:p>
    <w:p>
      <w:pPr>
        <w:spacing w:line="360" w:lineRule="auto"/>
        <w:jc w:val="center"/>
        <w:rPr>
          <w:rFonts w:hint="eastAsia"/>
          <w:b/>
          <w:bCs/>
          <w:color w:val="auto"/>
          <w:sz w:val="28"/>
          <w:szCs w:val="28"/>
        </w:rPr>
      </w:pPr>
    </w:p>
    <w:p>
      <w:pPr>
        <w:spacing w:line="360" w:lineRule="auto"/>
        <w:jc w:val="center"/>
        <w:rPr>
          <w:rFonts w:hint="eastAsia"/>
          <w:b/>
          <w:bCs/>
          <w:color w:val="auto"/>
          <w:sz w:val="28"/>
          <w:szCs w:val="28"/>
        </w:rPr>
      </w:pPr>
    </w:p>
    <w:p>
      <w:pPr>
        <w:pStyle w:val="30"/>
        <w:rPr>
          <w:rFonts w:hint="eastAsia"/>
          <w:b/>
          <w:bCs/>
          <w:color w:val="auto"/>
          <w:sz w:val="28"/>
          <w:szCs w:val="28"/>
        </w:rPr>
      </w:pPr>
    </w:p>
    <w:p>
      <w:pPr>
        <w:pStyle w:val="30"/>
        <w:rPr>
          <w:rFonts w:hint="eastAsia"/>
          <w:b/>
          <w:bCs/>
          <w:color w:val="auto"/>
          <w:sz w:val="28"/>
          <w:szCs w:val="28"/>
        </w:rPr>
      </w:pPr>
    </w:p>
    <w:p>
      <w:pPr>
        <w:spacing w:line="360" w:lineRule="auto"/>
        <w:jc w:val="center"/>
        <w:rPr>
          <w:rFonts w:hint="eastAsia"/>
          <w:b/>
          <w:bCs/>
          <w:color w:val="auto"/>
          <w:sz w:val="28"/>
          <w:szCs w:val="28"/>
        </w:rPr>
      </w:pPr>
    </w:p>
    <w:p>
      <w:pPr>
        <w:spacing w:line="360" w:lineRule="auto"/>
        <w:jc w:val="center"/>
        <w:rPr>
          <w:rFonts w:hint="eastAsia"/>
          <w:b/>
          <w:bCs/>
          <w:color w:val="auto"/>
          <w:sz w:val="28"/>
          <w:szCs w:val="28"/>
        </w:rPr>
      </w:pPr>
    </w:p>
    <w:p>
      <w:pPr>
        <w:spacing w:line="360" w:lineRule="auto"/>
        <w:jc w:val="center"/>
        <w:rPr>
          <w:rFonts w:hint="eastAsia"/>
          <w:b/>
          <w:bCs/>
          <w:color w:val="auto"/>
          <w:sz w:val="28"/>
          <w:szCs w:val="28"/>
        </w:rPr>
      </w:pPr>
      <w:r>
        <w:rPr>
          <w:rFonts w:hint="eastAsia"/>
          <w:b/>
          <w:bCs/>
          <w:color w:val="auto"/>
          <w:sz w:val="28"/>
          <w:szCs w:val="28"/>
        </w:rPr>
        <w:t>合同协议书</w:t>
      </w:r>
      <w:bookmarkEnd w:id="275"/>
      <w:bookmarkEnd w:id="276"/>
      <w:bookmarkEnd w:id="277"/>
      <w:bookmarkEnd w:id="278"/>
      <w:bookmarkEnd w:id="279"/>
      <w:bookmarkEnd w:id="280"/>
    </w:p>
    <w:p>
      <w:pPr>
        <w:spacing w:line="240" w:lineRule="auto"/>
        <w:jc w:val="center"/>
        <w:rPr>
          <w:rFonts w:hint="eastAsia"/>
          <w:b/>
          <w:bCs/>
          <w:color w:val="auto"/>
          <w:sz w:val="22"/>
          <w:szCs w:val="22"/>
        </w:rPr>
      </w:pPr>
    </w:p>
    <w:p>
      <w:pPr>
        <w:spacing w:line="300" w:lineRule="auto"/>
        <w:rPr>
          <w:rFonts w:hint="eastAsia" w:ascii="宋体"/>
          <w:b/>
          <w:color w:val="auto"/>
          <w:sz w:val="24"/>
          <w:szCs w:val="24"/>
          <w:u w:val="single"/>
        </w:rPr>
      </w:pPr>
      <w:r>
        <w:rPr>
          <w:rFonts w:hint="eastAsia" w:ascii="宋体"/>
          <w:b/>
          <w:color w:val="auto"/>
          <w:sz w:val="24"/>
          <w:szCs w:val="24"/>
        </w:rPr>
        <w:t>发包人（全称）：</w:t>
      </w:r>
      <w:r>
        <w:rPr>
          <w:rFonts w:hint="eastAsia" w:ascii="宋体"/>
          <w:b/>
          <w:color w:val="auto"/>
          <w:sz w:val="24"/>
          <w:szCs w:val="24"/>
          <w:u w:val="single"/>
        </w:rPr>
        <w:t xml:space="preserve">                      </w:t>
      </w:r>
      <w:r>
        <w:rPr>
          <w:rFonts w:hint="eastAsia" w:ascii="宋体"/>
          <w:b/>
          <w:color w:val="auto"/>
          <w:sz w:val="24"/>
          <w:szCs w:val="24"/>
          <w:u w:val="single"/>
          <w:lang w:val="en-US" w:eastAsia="zh-CN"/>
        </w:rPr>
        <w:t xml:space="preserve"> </w:t>
      </w:r>
      <w:r>
        <w:rPr>
          <w:rFonts w:hint="eastAsia" w:ascii="宋体"/>
          <w:b/>
          <w:color w:val="auto"/>
          <w:sz w:val="24"/>
          <w:szCs w:val="24"/>
          <w:u w:val="single"/>
        </w:rPr>
        <w:t xml:space="preserve"> </w:t>
      </w:r>
    </w:p>
    <w:p>
      <w:pPr>
        <w:spacing w:line="300" w:lineRule="auto"/>
        <w:rPr>
          <w:rFonts w:hint="eastAsia" w:ascii="宋体"/>
          <w:b/>
          <w:color w:val="auto"/>
          <w:sz w:val="24"/>
          <w:szCs w:val="24"/>
          <w:u w:val="single"/>
        </w:rPr>
      </w:pPr>
      <w:r>
        <w:rPr>
          <w:rFonts w:hint="eastAsia" w:ascii="宋体"/>
          <w:b/>
          <w:color w:val="auto"/>
          <w:sz w:val="24"/>
          <w:szCs w:val="24"/>
        </w:rPr>
        <w:t>承包人（全称）：</w:t>
      </w:r>
      <w:r>
        <w:rPr>
          <w:rFonts w:hint="eastAsia" w:ascii="宋体"/>
          <w:b/>
          <w:color w:val="auto"/>
          <w:sz w:val="24"/>
          <w:szCs w:val="24"/>
          <w:u w:val="single"/>
        </w:rPr>
        <w:t>                      </w:t>
      </w:r>
    </w:p>
    <w:p>
      <w:pPr>
        <w:spacing w:line="300" w:lineRule="auto"/>
        <w:ind w:firstLine="480" w:firstLineChars="200"/>
        <w:rPr>
          <w:rFonts w:hint="eastAsia" w:ascii="宋体"/>
          <w:color w:val="auto"/>
          <w:sz w:val="24"/>
          <w:szCs w:val="24"/>
        </w:rPr>
      </w:pPr>
      <w:r>
        <w:rPr>
          <w:rFonts w:hint="eastAsia" w:ascii="宋体"/>
          <w:color w:val="auto"/>
          <w:sz w:val="24"/>
          <w:szCs w:val="24"/>
        </w:rPr>
        <w:t>根据《中华人民共和国</w:t>
      </w:r>
      <w:r>
        <w:rPr>
          <w:rFonts w:hint="eastAsia" w:ascii="宋体"/>
          <w:color w:val="auto"/>
          <w:sz w:val="24"/>
          <w:szCs w:val="24"/>
          <w:lang w:eastAsia="zh-CN"/>
        </w:rPr>
        <w:t>民法典</w:t>
      </w:r>
      <w:r>
        <w:rPr>
          <w:rFonts w:hint="eastAsia" w:ascii="宋体"/>
          <w:color w:val="auto"/>
          <w:sz w:val="24"/>
          <w:szCs w:val="24"/>
        </w:rPr>
        <w:t>》、《中华人民共和国建筑法》及有关法律规定，遵循平等、自愿、公平和诚实信用的原则，双方就</w:t>
      </w:r>
      <w:r>
        <w:rPr>
          <w:rFonts w:hint="eastAsia" w:ascii="宋体"/>
          <w:color w:val="auto"/>
          <w:sz w:val="24"/>
          <w:szCs w:val="24"/>
          <w:u w:val="single"/>
        </w:rPr>
        <w:t xml:space="preserve">                       </w:t>
      </w:r>
      <w:r>
        <w:rPr>
          <w:rFonts w:hint="eastAsia" w:ascii="宋体"/>
          <w:color w:val="auto"/>
          <w:sz w:val="24"/>
          <w:szCs w:val="24"/>
        </w:rPr>
        <w:t>工程施工及有关事项协商一致，共同达成如下协议：</w:t>
      </w:r>
    </w:p>
    <w:p>
      <w:pPr>
        <w:pStyle w:val="7"/>
        <w:spacing w:before="240" w:after="120" w:line="300" w:lineRule="auto"/>
        <w:rPr>
          <w:rFonts w:hint="eastAsia" w:ascii="宋体" w:eastAsia="宋体"/>
          <w:bCs w:val="0"/>
          <w:color w:val="auto"/>
          <w:sz w:val="24"/>
          <w:szCs w:val="24"/>
        </w:rPr>
      </w:pPr>
      <w:bookmarkStart w:id="281" w:name="_Toc63471430"/>
      <w:r>
        <w:rPr>
          <w:rFonts w:hint="eastAsia" w:ascii="宋体" w:eastAsia="宋体"/>
          <w:bCs w:val="0"/>
          <w:color w:val="auto"/>
          <w:sz w:val="24"/>
          <w:szCs w:val="24"/>
        </w:rPr>
        <w:t xml:space="preserve">   </w:t>
      </w:r>
      <w:r>
        <w:rPr>
          <w:rFonts w:hint="eastAsia" w:ascii="宋体" w:eastAsia="宋体"/>
          <w:b w:val="0"/>
          <w:color w:val="auto"/>
          <w:sz w:val="24"/>
          <w:szCs w:val="24"/>
        </w:rPr>
        <w:t xml:space="preserve"> </w:t>
      </w:r>
      <w:r>
        <w:rPr>
          <w:rFonts w:hint="eastAsia" w:ascii="宋体" w:eastAsia="宋体"/>
          <w:color w:val="auto"/>
          <w:sz w:val="24"/>
          <w:szCs w:val="24"/>
        </w:rPr>
        <w:t>一、工程概况</w:t>
      </w:r>
      <w:bookmarkEnd w:id="281"/>
    </w:p>
    <w:p>
      <w:pPr>
        <w:spacing w:line="300" w:lineRule="auto"/>
        <w:ind w:firstLine="470" w:firstLineChars="196"/>
        <w:rPr>
          <w:rFonts w:hint="eastAsia" w:ascii="宋体"/>
          <w:color w:val="auto"/>
          <w:sz w:val="24"/>
          <w:szCs w:val="24"/>
          <w:u w:val="single"/>
        </w:rPr>
      </w:pPr>
      <w:r>
        <w:rPr>
          <w:rFonts w:hint="eastAsia" w:ascii="宋体"/>
          <w:bCs/>
          <w:color w:val="auto"/>
          <w:sz w:val="24"/>
          <w:szCs w:val="24"/>
        </w:rPr>
        <w:t>1.工程名称</w:t>
      </w:r>
      <w:r>
        <w:rPr>
          <w:rFonts w:hint="eastAsia" w:ascii="宋体"/>
          <w:color w:val="auto"/>
          <w:sz w:val="24"/>
          <w:szCs w:val="24"/>
        </w:rPr>
        <w:t>：</w:t>
      </w:r>
      <w:r>
        <w:rPr>
          <w:rFonts w:hint="eastAsia" w:ascii="宋体"/>
          <w:color w:val="auto"/>
          <w:sz w:val="24"/>
          <w:szCs w:val="24"/>
          <w:u w:val="single"/>
        </w:rPr>
        <w:t xml:space="preserve">                      </w:t>
      </w:r>
      <w:r>
        <w:rPr>
          <w:rFonts w:hint="eastAsia" w:ascii="宋体"/>
          <w:color w:val="auto"/>
          <w:sz w:val="24"/>
          <w:szCs w:val="24"/>
        </w:rPr>
        <w:t>。</w:t>
      </w:r>
    </w:p>
    <w:p>
      <w:pPr>
        <w:spacing w:line="300" w:lineRule="auto"/>
        <w:ind w:firstLine="470" w:firstLineChars="196"/>
        <w:rPr>
          <w:rFonts w:hint="eastAsia" w:ascii="宋体"/>
          <w:bCs/>
          <w:color w:val="auto"/>
          <w:sz w:val="24"/>
          <w:szCs w:val="24"/>
        </w:rPr>
      </w:pPr>
      <w:r>
        <w:rPr>
          <w:rFonts w:hint="eastAsia" w:ascii="宋体"/>
          <w:bCs/>
          <w:color w:val="auto"/>
          <w:sz w:val="24"/>
          <w:szCs w:val="24"/>
        </w:rPr>
        <w:t>2.工程地点：</w:t>
      </w:r>
      <w:r>
        <w:rPr>
          <w:rFonts w:hint="eastAsia" w:ascii="宋体"/>
          <w:color w:val="auto"/>
          <w:sz w:val="24"/>
          <w:szCs w:val="24"/>
          <w:u w:val="single"/>
        </w:rPr>
        <w:t xml:space="preserve">                      </w:t>
      </w:r>
      <w:r>
        <w:rPr>
          <w:rFonts w:hint="eastAsia" w:ascii="宋体"/>
          <w:color w:val="auto"/>
          <w:sz w:val="24"/>
          <w:szCs w:val="24"/>
        </w:rPr>
        <w:t>。</w:t>
      </w:r>
    </w:p>
    <w:p>
      <w:pPr>
        <w:spacing w:line="300" w:lineRule="auto"/>
        <w:ind w:firstLine="470" w:firstLineChars="196"/>
        <w:rPr>
          <w:rFonts w:hint="eastAsia" w:ascii="宋体"/>
          <w:bCs/>
          <w:color w:val="auto"/>
          <w:sz w:val="24"/>
          <w:szCs w:val="24"/>
        </w:rPr>
      </w:pPr>
      <w:r>
        <w:rPr>
          <w:rFonts w:hint="eastAsia" w:ascii="宋体"/>
          <w:bCs/>
          <w:color w:val="auto"/>
          <w:sz w:val="24"/>
          <w:szCs w:val="24"/>
        </w:rPr>
        <w:t>3.工程立项批准文号：</w:t>
      </w:r>
      <w:r>
        <w:rPr>
          <w:rFonts w:hint="eastAsia" w:ascii="宋体"/>
          <w:color w:val="auto"/>
          <w:sz w:val="24"/>
          <w:szCs w:val="24"/>
          <w:u w:val="single"/>
        </w:rPr>
        <w:t xml:space="preserve">                      </w:t>
      </w:r>
      <w:r>
        <w:rPr>
          <w:rFonts w:hint="eastAsia" w:ascii="宋体"/>
          <w:bCs/>
          <w:color w:val="auto"/>
          <w:sz w:val="24"/>
          <w:szCs w:val="24"/>
        </w:rPr>
        <w:t>。</w:t>
      </w:r>
    </w:p>
    <w:p>
      <w:pPr>
        <w:spacing w:line="300" w:lineRule="auto"/>
        <w:ind w:firstLine="470" w:firstLineChars="196"/>
        <w:rPr>
          <w:rFonts w:hint="eastAsia" w:ascii="宋体"/>
          <w:bCs/>
          <w:color w:val="auto"/>
          <w:sz w:val="24"/>
          <w:szCs w:val="24"/>
        </w:rPr>
      </w:pPr>
      <w:r>
        <w:rPr>
          <w:rFonts w:hint="eastAsia" w:ascii="宋体"/>
          <w:bCs/>
          <w:color w:val="auto"/>
          <w:sz w:val="24"/>
          <w:szCs w:val="24"/>
        </w:rPr>
        <w:t>4.资金来源：</w:t>
      </w:r>
      <w:r>
        <w:rPr>
          <w:rFonts w:hint="eastAsia" w:ascii="宋体"/>
          <w:color w:val="auto"/>
          <w:sz w:val="24"/>
          <w:szCs w:val="24"/>
          <w:u w:val="single"/>
        </w:rPr>
        <w:t xml:space="preserve">                        </w:t>
      </w:r>
      <w:r>
        <w:rPr>
          <w:rFonts w:hint="eastAsia" w:ascii="宋体"/>
          <w:bCs/>
          <w:color w:val="auto"/>
          <w:sz w:val="24"/>
          <w:szCs w:val="24"/>
        </w:rPr>
        <w:t>。</w:t>
      </w:r>
    </w:p>
    <w:p>
      <w:pPr>
        <w:spacing w:line="300" w:lineRule="auto"/>
        <w:ind w:firstLine="470" w:firstLineChars="196"/>
        <w:rPr>
          <w:rFonts w:hint="eastAsia" w:ascii="宋体"/>
          <w:bCs/>
          <w:color w:val="auto"/>
          <w:sz w:val="24"/>
          <w:szCs w:val="24"/>
        </w:rPr>
      </w:pPr>
      <w:r>
        <w:rPr>
          <w:rFonts w:hint="eastAsia" w:ascii="宋体"/>
          <w:bCs/>
          <w:color w:val="auto"/>
          <w:sz w:val="24"/>
          <w:szCs w:val="24"/>
        </w:rPr>
        <w:t>5.工程内容：</w:t>
      </w:r>
      <w:r>
        <w:rPr>
          <w:rFonts w:hint="eastAsia" w:ascii="宋体"/>
          <w:color w:val="auto"/>
          <w:sz w:val="24"/>
          <w:szCs w:val="24"/>
          <w:u w:val="single"/>
        </w:rPr>
        <w:t xml:space="preserve">                          </w:t>
      </w:r>
      <w:r>
        <w:rPr>
          <w:rFonts w:hint="eastAsia" w:ascii="宋体"/>
          <w:bCs/>
          <w:color w:val="auto"/>
          <w:sz w:val="24"/>
          <w:szCs w:val="24"/>
        </w:rPr>
        <w:t>。</w:t>
      </w:r>
    </w:p>
    <w:p>
      <w:pPr>
        <w:spacing w:line="300" w:lineRule="auto"/>
        <w:ind w:firstLine="470" w:firstLineChars="196"/>
        <w:rPr>
          <w:rFonts w:hint="eastAsia" w:ascii="宋体"/>
          <w:bCs/>
          <w:color w:val="auto"/>
          <w:sz w:val="24"/>
          <w:szCs w:val="24"/>
        </w:rPr>
      </w:pPr>
      <w:r>
        <w:rPr>
          <w:rFonts w:hint="eastAsia" w:ascii="宋体"/>
          <w:color w:val="auto"/>
          <w:sz w:val="24"/>
          <w:szCs w:val="24"/>
        </w:rPr>
        <w:t>群体工程应附《承包人承揽工程项目一览表》（附件1）。</w:t>
      </w:r>
    </w:p>
    <w:p>
      <w:pPr>
        <w:spacing w:line="300" w:lineRule="auto"/>
        <w:ind w:firstLine="470" w:firstLineChars="196"/>
        <w:rPr>
          <w:rFonts w:hint="eastAsia" w:ascii="宋体"/>
          <w:bCs/>
          <w:color w:val="auto"/>
          <w:sz w:val="24"/>
          <w:szCs w:val="24"/>
        </w:rPr>
      </w:pPr>
      <w:r>
        <w:rPr>
          <w:rFonts w:hint="eastAsia" w:ascii="宋体"/>
          <w:bCs/>
          <w:color w:val="auto"/>
          <w:sz w:val="24"/>
          <w:szCs w:val="24"/>
        </w:rPr>
        <w:t>6.工程承包范围：</w:t>
      </w:r>
    </w:p>
    <w:p>
      <w:pPr>
        <w:spacing w:line="300" w:lineRule="auto"/>
        <w:ind w:firstLine="463" w:firstLineChars="193"/>
        <w:rPr>
          <w:rFonts w:hint="eastAsia" w:ascii="宋体"/>
          <w:color w:val="auto"/>
          <w:sz w:val="24"/>
          <w:szCs w:val="24"/>
        </w:rPr>
      </w:pPr>
      <w:r>
        <w:rPr>
          <w:rFonts w:hint="eastAsia" w:ascii="宋体"/>
          <w:color w:val="auto"/>
          <w:sz w:val="24"/>
          <w:szCs w:val="24"/>
          <w:u w:val="single"/>
        </w:rPr>
        <w:t>                 </w:t>
      </w:r>
    </w:p>
    <w:p>
      <w:pPr>
        <w:spacing w:line="300" w:lineRule="auto"/>
        <w:ind w:firstLine="480" w:firstLineChars="200"/>
        <w:rPr>
          <w:rFonts w:hint="eastAsia" w:ascii="宋体"/>
          <w:color w:val="auto"/>
          <w:sz w:val="24"/>
          <w:szCs w:val="24"/>
        </w:rPr>
      </w:pPr>
      <w:r>
        <w:rPr>
          <w:rFonts w:hint="eastAsia" w:ascii="宋体"/>
          <w:color w:val="auto"/>
          <w:sz w:val="24"/>
          <w:szCs w:val="24"/>
          <w:u w:val="single"/>
        </w:rPr>
        <w:t>                </w:t>
      </w:r>
      <w:r>
        <w:rPr>
          <w:rFonts w:hint="eastAsia" w:ascii="宋体"/>
          <w:color w:val="auto"/>
          <w:sz w:val="24"/>
          <w:szCs w:val="24"/>
        </w:rPr>
        <w:t>。</w:t>
      </w:r>
    </w:p>
    <w:p>
      <w:pPr>
        <w:pStyle w:val="7"/>
        <w:spacing w:before="240" w:after="120" w:line="300" w:lineRule="auto"/>
        <w:rPr>
          <w:rFonts w:hint="eastAsia" w:ascii="宋体" w:eastAsia="宋体"/>
          <w:bCs w:val="0"/>
          <w:color w:val="auto"/>
          <w:sz w:val="24"/>
          <w:szCs w:val="24"/>
        </w:rPr>
      </w:pPr>
      <w:bookmarkStart w:id="282" w:name="_Toc63471431"/>
      <w:r>
        <w:rPr>
          <w:rFonts w:hint="eastAsia" w:ascii="宋体" w:eastAsia="宋体"/>
          <w:bCs w:val="0"/>
          <w:color w:val="auto"/>
          <w:sz w:val="24"/>
          <w:szCs w:val="24"/>
        </w:rPr>
        <w:t xml:space="preserve">    二、合同工期</w:t>
      </w:r>
      <w:bookmarkEnd w:id="282"/>
    </w:p>
    <w:p>
      <w:pPr>
        <w:spacing w:line="300" w:lineRule="auto"/>
        <w:ind w:firstLine="459"/>
        <w:rPr>
          <w:rFonts w:hint="eastAsia" w:ascii="宋体"/>
          <w:color w:val="auto"/>
          <w:sz w:val="24"/>
          <w:szCs w:val="24"/>
        </w:rPr>
      </w:pPr>
      <w:r>
        <w:rPr>
          <w:rFonts w:hint="eastAsia" w:ascii="宋体"/>
          <w:color w:val="auto"/>
          <w:sz w:val="24"/>
          <w:szCs w:val="24"/>
        </w:rPr>
        <w:t>计划开工日期：</w:t>
      </w:r>
      <w:r>
        <w:rPr>
          <w:rFonts w:hint="eastAsia" w:ascii="宋体"/>
          <w:color w:val="auto"/>
          <w:sz w:val="24"/>
          <w:szCs w:val="24"/>
          <w:u w:val="single"/>
        </w:rPr>
        <w:t></w:t>
      </w:r>
      <w:r>
        <w:rPr>
          <w:rFonts w:hint="eastAsia" w:ascii="宋体"/>
          <w:color w:val="auto"/>
          <w:sz w:val="24"/>
          <w:szCs w:val="24"/>
        </w:rPr>
        <w:t>年</w:t>
      </w:r>
      <w:r>
        <w:rPr>
          <w:rFonts w:hint="eastAsia" w:ascii="宋体"/>
          <w:color w:val="auto"/>
          <w:sz w:val="24"/>
          <w:szCs w:val="24"/>
          <w:u w:val="single"/>
        </w:rPr>
        <w:t></w:t>
      </w:r>
      <w:r>
        <w:rPr>
          <w:rFonts w:hint="eastAsia" w:ascii="宋体"/>
          <w:color w:val="auto"/>
          <w:sz w:val="24"/>
          <w:szCs w:val="24"/>
        </w:rPr>
        <w:t>月</w:t>
      </w:r>
      <w:r>
        <w:rPr>
          <w:rFonts w:hint="eastAsia" w:ascii="宋体"/>
          <w:color w:val="auto"/>
          <w:sz w:val="24"/>
          <w:szCs w:val="24"/>
          <w:u w:val="single"/>
        </w:rPr>
        <w:t></w:t>
      </w:r>
      <w:r>
        <w:rPr>
          <w:rFonts w:hint="eastAsia" w:ascii="宋体"/>
          <w:color w:val="auto"/>
          <w:sz w:val="24"/>
          <w:szCs w:val="24"/>
        </w:rPr>
        <w:t>日。</w:t>
      </w:r>
    </w:p>
    <w:p>
      <w:pPr>
        <w:spacing w:line="300" w:lineRule="auto"/>
        <w:ind w:firstLine="459"/>
        <w:rPr>
          <w:rFonts w:hint="eastAsia" w:ascii="宋体"/>
          <w:color w:val="auto"/>
          <w:sz w:val="24"/>
          <w:szCs w:val="24"/>
        </w:rPr>
      </w:pPr>
      <w:r>
        <w:rPr>
          <w:rFonts w:hint="eastAsia" w:ascii="宋体"/>
          <w:color w:val="auto"/>
          <w:sz w:val="24"/>
          <w:szCs w:val="24"/>
        </w:rPr>
        <w:t>计划竣工日期：</w:t>
      </w:r>
      <w:r>
        <w:rPr>
          <w:rFonts w:hint="eastAsia" w:ascii="宋体"/>
          <w:color w:val="auto"/>
          <w:sz w:val="24"/>
          <w:szCs w:val="24"/>
          <w:u w:val="single"/>
        </w:rPr>
        <w:t></w:t>
      </w:r>
      <w:r>
        <w:rPr>
          <w:rFonts w:hint="eastAsia" w:ascii="宋体"/>
          <w:color w:val="auto"/>
          <w:sz w:val="24"/>
          <w:szCs w:val="24"/>
        </w:rPr>
        <w:t>年</w:t>
      </w:r>
      <w:r>
        <w:rPr>
          <w:rFonts w:hint="eastAsia" w:ascii="宋体"/>
          <w:color w:val="auto"/>
          <w:sz w:val="24"/>
          <w:szCs w:val="24"/>
          <w:u w:val="single"/>
        </w:rPr>
        <w:t></w:t>
      </w:r>
      <w:r>
        <w:rPr>
          <w:rFonts w:hint="eastAsia" w:ascii="宋体"/>
          <w:color w:val="auto"/>
          <w:sz w:val="24"/>
          <w:szCs w:val="24"/>
        </w:rPr>
        <w:t>月</w:t>
      </w:r>
      <w:r>
        <w:rPr>
          <w:rFonts w:hint="eastAsia" w:ascii="宋体"/>
          <w:color w:val="auto"/>
          <w:sz w:val="24"/>
          <w:szCs w:val="24"/>
          <w:u w:val="single"/>
        </w:rPr>
        <w:t></w:t>
      </w:r>
      <w:r>
        <w:rPr>
          <w:rFonts w:hint="eastAsia" w:ascii="宋体"/>
          <w:color w:val="auto"/>
          <w:sz w:val="24"/>
          <w:szCs w:val="24"/>
        </w:rPr>
        <w:t>日。</w:t>
      </w:r>
    </w:p>
    <w:p>
      <w:pPr>
        <w:spacing w:line="300" w:lineRule="auto"/>
        <w:ind w:firstLine="459"/>
        <w:rPr>
          <w:rFonts w:hint="eastAsia" w:ascii="宋体"/>
          <w:color w:val="auto"/>
          <w:sz w:val="24"/>
          <w:szCs w:val="24"/>
        </w:rPr>
      </w:pPr>
      <w:r>
        <w:rPr>
          <w:rFonts w:hint="eastAsia" w:ascii="宋体"/>
          <w:color w:val="auto"/>
          <w:sz w:val="24"/>
          <w:szCs w:val="24"/>
        </w:rPr>
        <w:t>工期总日历天数：</w:t>
      </w:r>
      <w:r>
        <w:rPr>
          <w:rFonts w:hint="eastAsia" w:ascii="宋体"/>
          <w:color w:val="auto"/>
          <w:sz w:val="24"/>
          <w:szCs w:val="24"/>
          <w:u w:val="single"/>
        </w:rPr>
        <w:t></w:t>
      </w:r>
      <w:r>
        <w:rPr>
          <w:rFonts w:hint="eastAsia" w:ascii="宋体"/>
          <w:color w:val="auto"/>
          <w:sz w:val="24"/>
          <w:szCs w:val="24"/>
        </w:rPr>
        <w:t>天。工期总日历天数与根据前述计划开竣工日期计算的工期天数不一致的，以工期总日历天数为准。</w:t>
      </w:r>
    </w:p>
    <w:p>
      <w:pPr>
        <w:pStyle w:val="7"/>
        <w:spacing w:before="240" w:after="120" w:line="300" w:lineRule="auto"/>
        <w:rPr>
          <w:rFonts w:hint="eastAsia" w:ascii="宋体" w:eastAsia="宋体"/>
          <w:color w:val="auto"/>
          <w:sz w:val="24"/>
          <w:szCs w:val="24"/>
        </w:rPr>
      </w:pPr>
      <w:bookmarkStart w:id="283" w:name="_Toc63471432"/>
      <w:r>
        <w:rPr>
          <w:rFonts w:hint="eastAsia" w:ascii="宋体" w:eastAsia="宋体"/>
          <w:bCs w:val="0"/>
          <w:color w:val="auto"/>
          <w:sz w:val="24"/>
          <w:szCs w:val="24"/>
        </w:rPr>
        <w:t xml:space="preserve">   </w:t>
      </w:r>
      <w:r>
        <w:rPr>
          <w:rFonts w:hint="eastAsia" w:ascii="宋体" w:eastAsia="宋体"/>
          <w:color w:val="auto"/>
          <w:sz w:val="24"/>
          <w:szCs w:val="24"/>
        </w:rPr>
        <w:t xml:space="preserve"> 三、质量标准</w:t>
      </w:r>
      <w:bookmarkEnd w:id="283"/>
    </w:p>
    <w:p>
      <w:pPr>
        <w:spacing w:line="300" w:lineRule="auto"/>
        <w:ind w:firstLine="459"/>
        <w:rPr>
          <w:rFonts w:hint="eastAsia" w:ascii="宋体"/>
          <w:color w:val="auto"/>
          <w:sz w:val="24"/>
          <w:szCs w:val="24"/>
        </w:rPr>
      </w:pPr>
      <w:r>
        <w:rPr>
          <w:rFonts w:hint="eastAsia" w:ascii="宋体"/>
          <w:color w:val="auto"/>
          <w:sz w:val="24"/>
          <w:szCs w:val="24"/>
        </w:rPr>
        <w:t>工程质量符合</w:t>
      </w:r>
      <w:r>
        <w:rPr>
          <w:rFonts w:hint="eastAsia" w:ascii="宋体"/>
          <w:color w:val="auto"/>
          <w:sz w:val="24"/>
          <w:szCs w:val="24"/>
          <w:u w:val="single"/>
        </w:rPr>
        <w:t></w:t>
      </w:r>
      <w:r>
        <w:rPr>
          <w:rFonts w:hint="eastAsia" w:ascii="宋体"/>
          <w:color w:val="auto"/>
          <w:sz w:val="24"/>
          <w:szCs w:val="24"/>
        </w:rPr>
        <w:t>标准。</w:t>
      </w:r>
    </w:p>
    <w:p>
      <w:pPr>
        <w:pStyle w:val="7"/>
        <w:spacing w:before="240" w:after="120" w:line="300" w:lineRule="auto"/>
        <w:rPr>
          <w:rFonts w:hint="eastAsia" w:ascii="宋体" w:eastAsia="宋体"/>
          <w:color w:val="auto"/>
          <w:sz w:val="24"/>
          <w:szCs w:val="24"/>
        </w:rPr>
      </w:pPr>
      <w:bookmarkStart w:id="284" w:name="_Toc63471433"/>
      <w:r>
        <w:rPr>
          <w:rFonts w:hint="eastAsia" w:ascii="宋体" w:eastAsia="宋体"/>
          <w:bCs w:val="0"/>
          <w:color w:val="auto"/>
          <w:sz w:val="24"/>
          <w:szCs w:val="24"/>
        </w:rPr>
        <w:t xml:space="preserve">   </w:t>
      </w:r>
      <w:r>
        <w:rPr>
          <w:rFonts w:hint="eastAsia" w:ascii="宋体" w:eastAsia="宋体"/>
          <w:b w:val="0"/>
          <w:color w:val="auto"/>
          <w:sz w:val="24"/>
          <w:szCs w:val="24"/>
        </w:rPr>
        <w:t xml:space="preserve"> </w:t>
      </w:r>
      <w:r>
        <w:rPr>
          <w:rFonts w:hint="eastAsia" w:ascii="宋体" w:eastAsia="宋体"/>
          <w:color w:val="auto"/>
          <w:sz w:val="24"/>
          <w:szCs w:val="24"/>
        </w:rPr>
        <w:t>四、签约合同价与合同价格形式</w:t>
      </w:r>
      <w:r>
        <w:rPr>
          <w:rFonts w:hint="eastAsia" w:ascii="宋体" w:eastAsia="宋体"/>
          <w:color w:val="auto"/>
          <w:sz w:val="24"/>
          <w:szCs w:val="24"/>
        </w:rPr>
        <w:tab/>
      </w:r>
      <w:bookmarkEnd w:id="284"/>
    </w:p>
    <w:p>
      <w:pPr>
        <w:spacing w:line="300" w:lineRule="auto"/>
        <w:ind w:firstLine="480" w:firstLineChars="200"/>
        <w:rPr>
          <w:rFonts w:hint="eastAsia" w:ascii="宋体"/>
          <w:color w:val="auto"/>
          <w:sz w:val="24"/>
          <w:szCs w:val="24"/>
        </w:rPr>
      </w:pPr>
      <w:r>
        <w:rPr>
          <w:rFonts w:hint="eastAsia" w:ascii="宋体"/>
          <w:color w:val="auto"/>
          <w:sz w:val="24"/>
          <w:szCs w:val="24"/>
        </w:rPr>
        <w:t>1.签约合同价为：</w:t>
      </w:r>
    </w:p>
    <w:p>
      <w:pPr>
        <w:spacing w:line="300" w:lineRule="auto"/>
        <w:ind w:firstLine="600" w:firstLineChars="250"/>
        <w:rPr>
          <w:rFonts w:hint="eastAsia" w:ascii="宋体"/>
          <w:color w:val="auto"/>
          <w:sz w:val="24"/>
          <w:szCs w:val="24"/>
        </w:rPr>
      </w:pPr>
      <w:r>
        <w:rPr>
          <w:rFonts w:hint="eastAsia" w:ascii="宋体"/>
          <w:color w:val="auto"/>
          <w:sz w:val="24"/>
          <w:szCs w:val="24"/>
        </w:rPr>
        <w:t>人民币（大写）</w:t>
      </w:r>
      <w:r>
        <w:rPr>
          <w:rFonts w:hint="eastAsia" w:ascii="宋体"/>
          <w:color w:val="auto"/>
          <w:sz w:val="24"/>
          <w:szCs w:val="24"/>
          <w:u w:val="single"/>
        </w:rPr>
        <w:t xml:space="preserve">                 </w:t>
      </w:r>
      <w:r>
        <w:rPr>
          <w:rFonts w:hint="eastAsia" w:ascii="宋体"/>
          <w:color w:val="auto"/>
          <w:sz w:val="24"/>
          <w:szCs w:val="24"/>
        </w:rPr>
        <w:t>(¥</w:t>
      </w:r>
      <w:r>
        <w:rPr>
          <w:rFonts w:hint="eastAsia" w:ascii="宋体"/>
          <w:color w:val="auto"/>
          <w:sz w:val="24"/>
          <w:szCs w:val="24"/>
          <w:u w:val="single"/>
        </w:rPr>
        <w:t xml:space="preserve">            </w:t>
      </w:r>
      <w:r>
        <w:rPr>
          <w:rFonts w:hint="eastAsia" w:ascii="宋体"/>
          <w:color w:val="auto"/>
          <w:sz w:val="24"/>
          <w:szCs w:val="24"/>
        </w:rPr>
        <w:t>元)；</w:t>
      </w:r>
    </w:p>
    <w:p>
      <w:pPr>
        <w:spacing w:line="300" w:lineRule="auto"/>
        <w:ind w:firstLine="480" w:firstLineChars="200"/>
        <w:rPr>
          <w:rFonts w:hint="eastAsia" w:ascii="宋体"/>
          <w:color w:val="auto"/>
          <w:sz w:val="24"/>
          <w:szCs w:val="24"/>
        </w:rPr>
      </w:pPr>
      <w:r>
        <w:rPr>
          <w:rFonts w:hint="eastAsia" w:ascii="宋体"/>
          <w:color w:val="auto"/>
          <w:sz w:val="24"/>
          <w:szCs w:val="24"/>
        </w:rPr>
        <w:t>其中：</w:t>
      </w:r>
    </w:p>
    <w:p>
      <w:pPr>
        <w:spacing w:line="300" w:lineRule="auto"/>
        <w:ind w:firstLine="480" w:firstLineChars="200"/>
        <w:rPr>
          <w:rFonts w:hint="eastAsia" w:ascii="宋体"/>
          <w:color w:val="auto"/>
          <w:sz w:val="24"/>
          <w:szCs w:val="24"/>
        </w:rPr>
      </w:pPr>
      <w:r>
        <w:rPr>
          <w:rFonts w:hint="eastAsia" w:ascii="宋体"/>
          <w:color w:val="auto"/>
          <w:sz w:val="24"/>
          <w:szCs w:val="24"/>
        </w:rPr>
        <w:t>（1）安全文明施工费：</w:t>
      </w:r>
    </w:p>
    <w:p>
      <w:pPr>
        <w:spacing w:line="300" w:lineRule="auto"/>
        <w:ind w:firstLine="1080" w:firstLineChars="450"/>
        <w:rPr>
          <w:rFonts w:hint="eastAsia" w:ascii="宋体"/>
          <w:color w:val="auto"/>
          <w:sz w:val="24"/>
          <w:szCs w:val="24"/>
        </w:rPr>
      </w:pPr>
      <w:r>
        <w:rPr>
          <w:rFonts w:hint="eastAsia" w:ascii="宋体"/>
          <w:color w:val="auto"/>
          <w:sz w:val="24"/>
          <w:szCs w:val="24"/>
        </w:rPr>
        <w:t>人民币（大写）</w:t>
      </w:r>
      <w:r>
        <w:rPr>
          <w:rFonts w:hint="eastAsia" w:ascii="宋体"/>
          <w:color w:val="auto"/>
          <w:sz w:val="24"/>
          <w:szCs w:val="24"/>
          <w:u w:val="single"/>
        </w:rPr>
        <w:t xml:space="preserve">              </w:t>
      </w:r>
      <w:r>
        <w:rPr>
          <w:rFonts w:hint="eastAsia" w:ascii="宋体"/>
          <w:color w:val="auto"/>
          <w:sz w:val="24"/>
          <w:szCs w:val="24"/>
        </w:rPr>
        <w:t xml:space="preserve"> (¥</w:t>
      </w:r>
      <w:r>
        <w:rPr>
          <w:rFonts w:hint="eastAsia" w:ascii="宋体"/>
          <w:color w:val="auto"/>
          <w:sz w:val="24"/>
          <w:szCs w:val="24"/>
          <w:u w:val="single"/>
        </w:rPr>
        <w:t xml:space="preserve">          </w:t>
      </w:r>
      <w:r>
        <w:rPr>
          <w:rFonts w:hint="eastAsia" w:ascii="宋体"/>
          <w:color w:val="auto"/>
          <w:sz w:val="24"/>
          <w:szCs w:val="24"/>
        </w:rPr>
        <w:t>元)；</w:t>
      </w:r>
    </w:p>
    <w:p>
      <w:pPr>
        <w:spacing w:line="300" w:lineRule="auto"/>
        <w:ind w:firstLine="480" w:firstLineChars="200"/>
        <w:rPr>
          <w:rFonts w:hint="eastAsia" w:ascii="宋体"/>
          <w:color w:val="auto"/>
          <w:sz w:val="24"/>
          <w:szCs w:val="24"/>
        </w:rPr>
      </w:pPr>
      <w:r>
        <w:rPr>
          <w:rFonts w:hint="eastAsia" w:ascii="宋体"/>
          <w:color w:val="auto"/>
          <w:sz w:val="24"/>
          <w:szCs w:val="24"/>
        </w:rPr>
        <w:t>（2）甲供材料费金额：</w:t>
      </w:r>
    </w:p>
    <w:p>
      <w:pPr>
        <w:spacing w:line="300" w:lineRule="auto"/>
        <w:ind w:firstLine="1080" w:firstLineChars="450"/>
        <w:rPr>
          <w:rFonts w:hint="eastAsia" w:ascii="宋体"/>
          <w:color w:val="auto"/>
          <w:sz w:val="24"/>
          <w:szCs w:val="24"/>
        </w:rPr>
      </w:pPr>
      <w:r>
        <w:rPr>
          <w:rFonts w:hint="eastAsia" w:ascii="宋体"/>
          <w:color w:val="auto"/>
          <w:sz w:val="24"/>
          <w:szCs w:val="24"/>
        </w:rPr>
        <w:t>人民币（大写）</w:t>
      </w:r>
      <w:r>
        <w:rPr>
          <w:rFonts w:hint="eastAsia" w:ascii="宋体"/>
          <w:color w:val="auto"/>
          <w:sz w:val="24"/>
          <w:szCs w:val="24"/>
          <w:u w:val="single"/>
        </w:rPr>
        <w:t xml:space="preserve">              </w:t>
      </w:r>
      <w:r>
        <w:rPr>
          <w:rFonts w:hint="eastAsia" w:ascii="宋体"/>
          <w:color w:val="auto"/>
          <w:sz w:val="24"/>
          <w:szCs w:val="24"/>
        </w:rPr>
        <w:t xml:space="preserve"> (¥</w:t>
      </w:r>
      <w:r>
        <w:rPr>
          <w:rFonts w:hint="eastAsia" w:ascii="宋体"/>
          <w:color w:val="auto"/>
          <w:sz w:val="24"/>
          <w:szCs w:val="24"/>
          <w:u w:val="single"/>
        </w:rPr>
        <w:t xml:space="preserve">          </w:t>
      </w:r>
      <w:r>
        <w:rPr>
          <w:rFonts w:hint="eastAsia" w:ascii="宋体"/>
          <w:color w:val="auto"/>
          <w:sz w:val="24"/>
          <w:szCs w:val="24"/>
        </w:rPr>
        <w:t>元)；</w:t>
      </w:r>
    </w:p>
    <w:p>
      <w:pPr>
        <w:spacing w:line="300" w:lineRule="auto"/>
        <w:ind w:firstLine="480" w:firstLineChars="200"/>
        <w:rPr>
          <w:rFonts w:hint="eastAsia" w:ascii="宋体"/>
          <w:color w:val="auto"/>
          <w:sz w:val="24"/>
          <w:szCs w:val="24"/>
        </w:rPr>
      </w:pPr>
      <w:r>
        <w:rPr>
          <w:rFonts w:hint="eastAsia" w:ascii="宋体"/>
          <w:color w:val="auto"/>
          <w:sz w:val="24"/>
          <w:szCs w:val="24"/>
        </w:rPr>
        <w:t>（3）专业工程暂估价金额：</w:t>
      </w:r>
    </w:p>
    <w:p>
      <w:pPr>
        <w:spacing w:line="300" w:lineRule="auto"/>
        <w:ind w:firstLine="1080" w:firstLineChars="450"/>
        <w:rPr>
          <w:rFonts w:hint="eastAsia" w:ascii="宋体"/>
          <w:color w:val="auto"/>
          <w:sz w:val="24"/>
          <w:szCs w:val="24"/>
        </w:rPr>
      </w:pPr>
      <w:r>
        <w:rPr>
          <w:rFonts w:hint="eastAsia" w:ascii="宋体"/>
          <w:color w:val="auto"/>
          <w:sz w:val="24"/>
          <w:szCs w:val="24"/>
        </w:rPr>
        <w:t>人民币（大写）</w:t>
      </w:r>
      <w:r>
        <w:rPr>
          <w:rFonts w:hint="eastAsia" w:ascii="宋体"/>
          <w:color w:val="auto"/>
          <w:sz w:val="24"/>
          <w:szCs w:val="24"/>
          <w:u w:val="single"/>
        </w:rPr>
        <w:t xml:space="preserve">              </w:t>
      </w:r>
      <w:r>
        <w:rPr>
          <w:rFonts w:hint="eastAsia" w:ascii="宋体"/>
          <w:color w:val="auto"/>
          <w:sz w:val="24"/>
          <w:szCs w:val="24"/>
        </w:rPr>
        <w:t xml:space="preserve"> (¥</w:t>
      </w:r>
      <w:r>
        <w:rPr>
          <w:rFonts w:hint="eastAsia" w:ascii="宋体"/>
          <w:color w:val="auto"/>
          <w:sz w:val="24"/>
          <w:szCs w:val="24"/>
          <w:u w:val="single"/>
        </w:rPr>
        <w:t xml:space="preserve">          </w:t>
      </w:r>
      <w:r>
        <w:rPr>
          <w:rFonts w:hint="eastAsia" w:ascii="宋体"/>
          <w:color w:val="auto"/>
          <w:sz w:val="24"/>
          <w:szCs w:val="24"/>
        </w:rPr>
        <w:t>元)；</w:t>
      </w:r>
    </w:p>
    <w:p>
      <w:pPr>
        <w:spacing w:line="300" w:lineRule="auto"/>
        <w:ind w:firstLine="480" w:firstLineChars="200"/>
        <w:rPr>
          <w:rFonts w:hint="eastAsia" w:ascii="宋体"/>
          <w:color w:val="auto"/>
          <w:sz w:val="24"/>
          <w:szCs w:val="24"/>
        </w:rPr>
      </w:pPr>
      <w:r>
        <w:rPr>
          <w:rFonts w:hint="eastAsia" w:ascii="宋体"/>
          <w:color w:val="auto"/>
          <w:sz w:val="24"/>
          <w:szCs w:val="24"/>
        </w:rPr>
        <w:t>（4）暂列金额：</w:t>
      </w:r>
    </w:p>
    <w:p>
      <w:pPr>
        <w:spacing w:line="300" w:lineRule="auto"/>
        <w:ind w:firstLine="1080" w:firstLineChars="450"/>
        <w:rPr>
          <w:rFonts w:hint="eastAsia" w:ascii="宋体"/>
          <w:color w:val="auto"/>
          <w:sz w:val="24"/>
          <w:szCs w:val="24"/>
        </w:rPr>
      </w:pPr>
      <w:r>
        <w:rPr>
          <w:rFonts w:hint="eastAsia" w:ascii="宋体"/>
          <w:color w:val="auto"/>
          <w:sz w:val="24"/>
          <w:szCs w:val="24"/>
        </w:rPr>
        <w:t>人民币（大写）</w:t>
      </w:r>
      <w:r>
        <w:rPr>
          <w:rFonts w:hint="eastAsia" w:ascii="宋体"/>
          <w:color w:val="auto"/>
          <w:sz w:val="24"/>
          <w:szCs w:val="24"/>
          <w:u w:val="single"/>
        </w:rPr>
        <w:t xml:space="preserve">              </w:t>
      </w:r>
      <w:r>
        <w:rPr>
          <w:rFonts w:hint="eastAsia" w:ascii="宋体"/>
          <w:color w:val="auto"/>
          <w:sz w:val="24"/>
          <w:szCs w:val="24"/>
        </w:rPr>
        <w:t xml:space="preserve"> (¥</w:t>
      </w:r>
      <w:r>
        <w:rPr>
          <w:rFonts w:hint="eastAsia" w:ascii="宋体"/>
          <w:color w:val="auto"/>
          <w:sz w:val="24"/>
          <w:szCs w:val="24"/>
          <w:u w:val="single"/>
        </w:rPr>
        <w:t xml:space="preserve">          </w:t>
      </w:r>
      <w:r>
        <w:rPr>
          <w:rFonts w:hint="eastAsia" w:ascii="宋体"/>
          <w:color w:val="auto"/>
          <w:sz w:val="24"/>
          <w:szCs w:val="24"/>
        </w:rPr>
        <w:t>元)。</w:t>
      </w:r>
    </w:p>
    <w:p>
      <w:pPr>
        <w:spacing w:line="300" w:lineRule="auto"/>
        <w:ind w:firstLine="480" w:firstLineChars="200"/>
        <w:rPr>
          <w:rFonts w:hint="eastAsia" w:ascii="宋体"/>
          <w:color w:val="auto"/>
          <w:sz w:val="24"/>
          <w:szCs w:val="24"/>
        </w:rPr>
      </w:pPr>
      <w:r>
        <w:rPr>
          <w:rFonts w:hint="eastAsia" w:ascii="宋体"/>
          <w:color w:val="auto"/>
          <w:sz w:val="24"/>
          <w:szCs w:val="24"/>
        </w:rPr>
        <w:t>2.合同价格形式：</w:t>
      </w:r>
      <w:r>
        <w:rPr>
          <w:rFonts w:hint="eastAsia" w:ascii="宋体"/>
          <w:color w:val="auto"/>
          <w:sz w:val="24"/>
          <w:szCs w:val="24"/>
          <w:u w:val="single"/>
        </w:rPr>
        <w:t>                                     </w:t>
      </w:r>
      <w:r>
        <w:rPr>
          <w:rFonts w:hint="eastAsia" w:ascii="宋体"/>
          <w:color w:val="auto"/>
          <w:sz w:val="24"/>
          <w:szCs w:val="24"/>
        </w:rPr>
        <w:t>。</w:t>
      </w:r>
    </w:p>
    <w:p>
      <w:pPr>
        <w:pStyle w:val="7"/>
        <w:spacing w:before="240" w:after="120" w:line="300" w:lineRule="auto"/>
        <w:rPr>
          <w:rFonts w:hint="eastAsia" w:ascii="宋体" w:eastAsia="宋体"/>
          <w:color w:val="auto"/>
          <w:sz w:val="24"/>
          <w:szCs w:val="24"/>
        </w:rPr>
      </w:pPr>
      <w:bookmarkStart w:id="285" w:name="_Toc63471434"/>
      <w:r>
        <w:rPr>
          <w:rFonts w:hint="eastAsia" w:ascii="宋体" w:eastAsia="宋体"/>
          <w:bCs w:val="0"/>
          <w:color w:val="auto"/>
          <w:sz w:val="24"/>
          <w:szCs w:val="24"/>
        </w:rPr>
        <w:t xml:space="preserve">   </w:t>
      </w:r>
      <w:r>
        <w:rPr>
          <w:rFonts w:hint="eastAsia" w:ascii="宋体" w:eastAsia="宋体"/>
          <w:color w:val="auto"/>
          <w:sz w:val="24"/>
          <w:szCs w:val="24"/>
        </w:rPr>
        <w:t xml:space="preserve"> 五、项目负责人</w:t>
      </w:r>
      <w:bookmarkEnd w:id="285"/>
    </w:p>
    <w:p>
      <w:pPr>
        <w:spacing w:line="300" w:lineRule="auto"/>
        <w:ind w:firstLine="480" w:firstLineChars="200"/>
        <w:rPr>
          <w:rFonts w:hint="eastAsia" w:ascii="宋体"/>
          <w:color w:val="auto"/>
          <w:sz w:val="24"/>
          <w:szCs w:val="24"/>
        </w:rPr>
      </w:pPr>
      <w:r>
        <w:rPr>
          <w:rFonts w:hint="eastAsia" w:ascii="宋体"/>
          <w:color w:val="auto"/>
          <w:sz w:val="24"/>
          <w:szCs w:val="24"/>
        </w:rPr>
        <w:t>承包人项目负责人：</w:t>
      </w:r>
      <w:r>
        <w:rPr>
          <w:rFonts w:hint="eastAsia" w:ascii="宋体"/>
          <w:color w:val="auto"/>
          <w:sz w:val="24"/>
          <w:szCs w:val="24"/>
          <w:u w:val="single"/>
        </w:rPr>
        <w:t>                                     </w:t>
      </w:r>
      <w:r>
        <w:rPr>
          <w:rFonts w:hint="eastAsia" w:ascii="宋体"/>
          <w:color w:val="auto"/>
          <w:sz w:val="24"/>
          <w:szCs w:val="24"/>
        </w:rPr>
        <w:t>。</w:t>
      </w:r>
    </w:p>
    <w:p>
      <w:pPr>
        <w:pStyle w:val="7"/>
        <w:spacing w:before="240" w:after="120" w:line="300" w:lineRule="auto"/>
        <w:rPr>
          <w:rFonts w:hint="eastAsia" w:ascii="宋体" w:eastAsia="宋体"/>
          <w:color w:val="auto"/>
          <w:sz w:val="24"/>
          <w:szCs w:val="24"/>
        </w:rPr>
      </w:pPr>
      <w:bookmarkStart w:id="286" w:name="_Toc63471435"/>
      <w:r>
        <w:rPr>
          <w:rFonts w:hint="eastAsia" w:ascii="宋体" w:eastAsia="宋体"/>
          <w:bCs w:val="0"/>
          <w:color w:val="auto"/>
          <w:sz w:val="24"/>
          <w:szCs w:val="24"/>
        </w:rPr>
        <w:t xml:space="preserve">   </w:t>
      </w:r>
      <w:r>
        <w:rPr>
          <w:rFonts w:hint="eastAsia" w:ascii="宋体" w:eastAsia="宋体"/>
          <w:b w:val="0"/>
          <w:color w:val="auto"/>
          <w:sz w:val="24"/>
          <w:szCs w:val="24"/>
        </w:rPr>
        <w:t xml:space="preserve"> </w:t>
      </w:r>
      <w:r>
        <w:rPr>
          <w:rFonts w:hint="eastAsia" w:ascii="宋体" w:eastAsia="宋体"/>
          <w:color w:val="auto"/>
          <w:sz w:val="24"/>
          <w:szCs w:val="24"/>
        </w:rPr>
        <w:t>六、合同文件构成</w:t>
      </w:r>
      <w:bookmarkEnd w:id="286"/>
    </w:p>
    <w:p>
      <w:pPr>
        <w:spacing w:line="300" w:lineRule="auto"/>
        <w:ind w:firstLine="480" w:firstLineChars="200"/>
        <w:rPr>
          <w:rFonts w:hint="eastAsia" w:ascii="宋体"/>
          <w:bCs/>
          <w:color w:val="auto"/>
          <w:sz w:val="24"/>
          <w:szCs w:val="24"/>
        </w:rPr>
      </w:pPr>
      <w:r>
        <w:rPr>
          <w:rFonts w:hint="eastAsia" w:ascii="宋体"/>
          <w:bCs/>
          <w:color w:val="auto"/>
          <w:sz w:val="24"/>
          <w:szCs w:val="24"/>
        </w:rPr>
        <w:t>本协议书与下列文件一起构成合同文件：</w:t>
      </w:r>
    </w:p>
    <w:p>
      <w:pPr>
        <w:autoSpaceDE w:val="0"/>
        <w:autoSpaceDN w:val="0"/>
        <w:spacing w:line="300" w:lineRule="auto"/>
        <w:ind w:firstLine="480" w:firstLineChars="200"/>
        <w:jc w:val="left"/>
        <w:rPr>
          <w:rFonts w:hint="eastAsia" w:ascii="宋体"/>
          <w:color w:val="auto"/>
          <w:sz w:val="24"/>
          <w:szCs w:val="24"/>
        </w:rPr>
      </w:pPr>
      <w:r>
        <w:rPr>
          <w:rFonts w:hint="eastAsia" w:ascii="宋体"/>
          <w:color w:val="auto"/>
          <w:sz w:val="24"/>
          <w:szCs w:val="24"/>
        </w:rPr>
        <w:t>（1）中标通知书（如果有）；</w:t>
      </w:r>
    </w:p>
    <w:p>
      <w:pPr>
        <w:autoSpaceDE w:val="0"/>
        <w:autoSpaceDN w:val="0"/>
        <w:spacing w:line="300" w:lineRule="auto"/>
        <w:ind w:firstLine="480" w:firstLineChars="200"/>
        <w:jc w:val="left"/>
        <w:rPr>
          <w:rFonts w:hint="eastAsia" w:ascii="宋体"/>
          <w:color w:val="auto"/>
          <w:sz w:val="24"/>
          <w:szCs w:val="24"/>
        </w:rPr>
      </w:pPr>
      <w:r>
        <w:rPr>
          <w:rFonts w:hint="eastAsia" w:ascii="宋体"/>
          <w:color w:val="auto"/>
          <w:sz w:val="24"/>
          <w:szCs w:val="24"/>
        </w:rPr>
        <w:t xml:space="preserve">（2）投标函及其附录（如果有）； </w:t>
      </w:r>
    </w:p>
    <w:p>
      <w:pPr>
        <w:autoSpaceDE w:val="0"/>
        <w:autoSpaceDN w:val="0"/>
        <w:spacing w:line="300" w:lineRule="auto"/>
        <w:ind w:firstLine="480" w:firstLineChars="200"/>
        <w:jc w:val="left"/>
        <w:rPr>
          <w:rFonts w:hint="eastAsia" w:ascii="宋体"/>
          <w:color w:val="auto"/>
          <w:sz w:val="24"/>
          <w:szCs w:val="24"/>
        </w:rPr>
      </w:pPr>
      <w:r>
        <w:rPr>
          <w:rFonts w:hint="eastAsia" w:ascii="宋体"/>
          <w:color w:val="auto"/>
          <w:sz w:val="24"/>
          <w:szCs w:val="24"/>
        </w:rPr>
        <w:t>（3）专用合同条款及其附件；</w:t>
      </w:r>
    </w:p>
    <w:p>
      <w:pPr>
        <w:autoSpaceDE w:val="0"/>
        <w:autoSpaceDN w:val="0"/>
        <w:spacing w:line="300" w:lineRule="auto"/>
        <w:ind w:firstLine="480" w:firstLineChars="200"/>
        <w:jc w:val="left"/>
        <w:rPr>
          <w:rFonts w:hint="eastAsia" w:ascii="宋体"/>
          <w:color w:val="auto"/>
          <w:sz w:val="24"/>
          <w:szCs w:val="24"/>
        </w:rPr>
      </w:pPr>
      <w:r>
        <w:rPr>
          <w:rFonts w:hint="eastAsia" w:ascii="宋体"/>
          <w:color w:val="auto"/>
          <w:sz w:val="24"/>
          <w:szCs w:val="24"/>
        </w:rPr>
        <w:t>（4）通用合同条款；</w:t>
      </w:r>
    </w:p>
    <w:p>
      <w:pPr>
        <w:autoSpaceDE w:val="0"/>
        <w:autoSpaceDN w:val="0"/>
        <w:spacing w:line="300" w:lineRule="auto"/>
        <w:ind w:firstLine="480" w:firstLineChars="200"/>
        <w:jc w:val="left"/>
        <w:rPr>
          <w:rFonts w:hint="eastAsia" w:ascii="宋体"/>
          <w:color w:val="auto"/>
          <w:sz w:val="24"/>
          <w:szCs w:val="24"/>
        </w:rPr>
      </w:pPr>
      <w:r>
        <w:rPr>
          <w:rFonts w:hint="eastAsia" w:ascii="宋体"/>
          <w:color w:val="auto"/>
          <w:sz w:val="24"/>
          <w:szCs w:val="24"/>
        </w:rPr>
        <w:t>（5）技术标准和要求；</w:t>
      </w:r>
    </w:p>
    <w:p>
      <w:pPr>
        <w:autoSpaceDE w:val="0"/>
        <w:autoSpaceDN w:val="0"/>
        <w:spacing w:line="300" w:lineRule="auto"/>
        <w:ind w:firstLine="480" w:firstLineChars="200"/>
        <w:jc w:val="left"/>
        <w:rPr>
          <w:rFonts w:hint="eastAsia" w:ascii="宋体"/>
          <w:color w:val="auto"/>
          <w:sz w:val="24"/>
          <w:szCs w:val="24"/>
        </w:rPr>
      </w:pPr>
      <w:r>
        <w:rPr>
          <w:rFonts w:hint="eastAsia" w:ascii="宋体"/>
          <w:color w:val="auto"/>
          <w:sz w:val="24"/>
          <w:szCs w:val="24"/>
        </w:rPr>
        <w:t>（6）图纸；</w:t>
      </w:r>
    </w:p>
    <w:p>
      <w:pPr>
        <w:autoSpaceDE w:val="0"/>
        <w:autoSpaceDN w:val="0"/>
        <w:spacing w:line="300" w:lineRule="auto"/>
        <w:ind w:firstLine="480" w:firstLineChars="200"/>
        <w:jc w:val="left"/>
        <w:rPr>
          <w:rFonts w:hint="eastAsia" w:ascii="宋体"/>
          <w:color w:val="auto"/>
          <w:sz w:val="24"/>
          <w:szCs w:val="24"/>
        </w:rPr>
      </w:pPr>
      <w:r>
        <w:rPr>
          <w:rFonts w:hint="eastAsia" w:ascii="宋体"/>
          <w:color w:val="auto"/>
          <w:sz w:val="24"/>
          <w:szCs w:val="24"/>
        </w:rPr>
        <w:t>（7）已标价工程量清单或预算书；</w:t>
      </w:r>
    </w:p>
    <w:p>
      <w:pPr>
        <w:autoSpaceDE w:val="0"/>
        <w:autoSpaceDN w:val="0"/>
        <w:spacing w:line="300" w:lineRule="auto"/>
        <w:ind w:firstLine="480" w:firstLineChars="200"/>
        <w:jc w:val="left"/>
        <w:rPr>
          <w:rFonts w:hint="eastAsia" w:ascii="宋体"/>
          <w:color w:val="auto"/>
          <w:sz w:val="24"/>
          <w:szCs w:val="24"/>
        </w:rPr>
      </w:pPr>
      <w:r>
        <w:rPr>
          <w:rFonts w:hint="eastAsia" w:ascii="宋体"/>
          <w:color w:val="auto"/>
          <w:sz w:val="24"/>
          <w:szCs w:val="24"/>
        </w:rPr>
        <w:t>（8）其他合同文件。</w:t>
      </w:r>
    </w:p>
    <w:p>
      <w:pPr>
        <w:autoSpaceDE w:val="0"/>
        <w:autoSpaceDN w:val="0"/>
        <w:spacing w:line="300" w:lineRule="auto"/>
        <w:ind w:firstLine="480" w:firstLineChars="200"/>
        <w:jc w:val="left"/>
        <w:rPr>
          <w:rFonts w:hint="eastAsia" w:ascii="宋体"/>
          <w:color w:val="auto"/>
          <w:sz w:val="24"/>
          <w:szCs w:val="24"/>
        </w:rPr>
      </w:pPr>
      <w:r>
        <w:rPr>
          <w:rFonts w:hint="eastAsia" w:ascii="宋体"/>
          <w:color w:val="auto"/>
          <w:sz w:val="24"/>
          <w:szCs w:val="24"/>
        </w:rPr>
        <w:t>在合同订立及履行过程中形成的与合同有关的文件均构成合同文件组成部分。</w:t>
      </w:r>
    </w:p>
    <w:p>
      <w:pPr>
        <w:autoSpaceDE w:val="0"/>
        <w:autoSpaceDN w:val="0"/>
        <w:spacing w:line="300" w:lineRule="auto"/>
        <w:ind w:firstLine="480" w:firstLineChars="200"/>
        <w:jc w:val="left"/>
        <w:rPr>
          <w:rFonts w:hint="eastAsia" w:ascii="宋体"/>
          <w:color w:val="auto"/>
          <w:sz w:val="24"/>
          <w:szCs w:val="24"/>
        </w:rPr>
      </w:pPr>
      <w:r>
        <w:rPr>
          <w:rFonts w:hint="eastAsia" w:ascii="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pPr>
        <w:pStyle w:val="7"/>
        <w:spacing w:before="240" w:after="120" w:line="300" w:lineRule="auto"/>
        <w:rPr>
          <w:rFonts w:hint="eastAsia" w:ascii="宋体" w:eastAsia="宋体"/>
          <w:color w:val="auto"/>
          <w:sz w:val="24"/>
          <w:szCs w:val="24"/>
        </w:rPr>
      </w:pPr>
      <w:bookmarkStart w:id="287" w:name="_Toc63471436"/>
      <w:r>
        <w:rPr>
          <w:rFonts w:hint="eastAsia" w:ascii="宋体" w:eastAsia="宋体"/>
          <w:b w:val="0"/>
          <w:bCs w:val="0"/>
          <w:color w:val="auto"/>
          <w:sz w:val="24"/>
          <w:szCs w:val="24"/>
        </w:rPr>
        <w:t xml:space="preserve">   </w:t>
      </w:r>
      <w:r>
        <w:rPr>
          <w:rFonts w:hint="eastAsia" w:ascii="宋体" w:eastAsia="宋体"/>
          <w:b w:val="0"/>
          <w:color w:val="auto"/>
          <w:sz w:val="24"/>
          <w:szCs w:val="24"/>
        </w:rPr>
        <w:t xml:space="preserve"> </w:t>
      </w:r>
      <w:r>
        <w:rPr>
          <w:rFonts w:hint="eastAsia" w:ascii="宋体" w:eastAsia="宋体"/>
          <w:color w:val="auto"/>
          <w:sz w:val="24"/>
          <w:szCs w:val="24"/>
        </w:rPr>
        <w:t>七、承诺</w:t>
      </w:r>
      <w:bookmarkEnd w:id="287"/>
    </w:p>
    <w:p>
      <w:pPr>
        <w:spacing w:line="300" w:lineRule="auto"/>
        <w:ind w:firstLine="480" w:firstLineChars="200"/>
        <w:rPr>
          <w:rFonts w:hint="eastAsia" w:ascii="宋体"/>
          <w:bCs/>
          <w:color w:val="auto"/>
          <w:sz w:val="24"/>
          <w:szCs w:val="24"/>
        </w:rPr>
      </w:pPr>
      <w:r>
        <w:rPr>
          <w:rFonts w:hint="eastAsia" w:ascii="宋体"/>
          <w:bCs/>
          <w:color w:val="auto"/>
          <w:sz w:val="24"/>
          <w:szCs w:val="24"/>
        </w:rPr>
        <w:t>1.发包人承诺按照法律规定履行项目审批手续、筹集工程建设资金并按照合同约定的期限和方式支付合同价款。</w:t>
      </w:r>
    </w:p>
    <w:p>
      <w:pPr>
        <w:spacing w:line="300" w:lineRule="auto"/>
        <w:ind w:firstLine="480" w:firstLineChars="200"/>
        <w:rPr>
          <w:rFonts w:hint="eastAsia" w:ascii="宋体"/>
          <w:bCs/>
          <w:color w:val="auto"/>
          <w:sz w:val="24"/>
          <w:szCs w:val="24"/>
        </w:rPr>
      </w:pPr>
      <w:r>
        <w:rPr>
          <w:rFonts w:hint="eastAsia" w:ascii="宋体"/>
          <w:bCs/>
          <w:color w:val="auto"/>
          <w:sz w:val="24"/>
          <w:szCs w:val="24"/>
        </w:rPr>
        <w:t>2.承包人承诺按照法律规定及合同约定组织完成工程施工，确保工程质量和安全，不进行转包及违法分包，并在缺陷责任期及保修期内承担相应的工程维修责任。</w:t>
      </w:r>
    </w:p>
    <w:p>
      <w:pPr>
        <w:spacing w:line="300" w:lineRule="auto"/>
        <w:ind w:firstLine="480" w:firstLineChars="200"/>
        <w:rPr>
          <w:rFonts w:hint="eastAsia" w:ascii="宋体"/>
          <w:bCs/>
          <w:color w:val="auto"/>
          <w:sz w:val="24"/>
          <w:szCs w:val="24"/>
        </w:rPr>
      </w:pPr>
      <w:r>
        <w:rPr>
          <w:rFonts w:hint="eastAsia" w:ascii="宋体"/>
          <w:bCs/>
          <w:color w:val="auto"/>
          <w:sz w:val="24"/>
          <w:szCs w:val="24"/>
        </w:rPr>
        <w:t>3.发包人和承包人通过招投标形式签订合同的，双方理解并承诺不再就同一工程另行签订与合同实质性内容相背离的协议。</w:t>
      </w:r>
    </w:p>
    <w:p>
      <w:pPr>
        <w:pStyle w:val="7"/>
        <w:spacing w:before="240" w:after="120" w:line="300" w:lineRule="auto"/>
        <w:rPr>
          <w:rFonts w:hint="eastAsia" w:ascii="宋体" w:eastAsia="宋体"/>
          <w:color w:val="auto"/>
          <w:sz w:val="24"/>
          <w:szCs w:val="24"/>
        </w:rPr>
      </w:pPr>
      <w:bookmarkStart w:id="288" w:name="_Toc63471437"/>
      <w:r>
        <w:rPr>
          <w:rFonts w:hint="eastAsia" w:ascii="宋体" w:eastAsia="宋体"/>
          <w:b w:val="0"/>
          <w:color w:val="auto"/>
          <w:sz w:val="24"/>
          <w:szCs w:val="24"/>
        </w:rPr>
        <w:t xml:space="preserve">    </w:t>
      </w:r>
      <w:r>
        <w:rPr>
          <w:rFonts w:hint="eastAsia" w:ascii="宋体" w:eastAsia="宋体"/>
          <w:color w:val="auto"/>
          <w:sz w:val="24"/>
          <w:szCs w:val="24"/>
        </w:rPr>
        <w:t>八、词语含义</w:t>
      </w:r>
      <w:bookmarkEnd w:id="288"/>
    </w:p>
    <w:p>
      <w:pPr>
        <w:spacing w:line="300" w:lineRule="auto"/>
        <w:ind w:firstLine="480" w:firstLineChars="200"/>
        <w:rPr>
          <w:rFonts w:hint="eastAsia" w:ascii="宋体"/>
          <w:bCs/>
          <w:color w:val="auto"/>
          <w:sz w:val="24"/>
          <w:szCs w:val="24"/>
        </w:rPr>
      </w:pPr>
      <w:r>
        <w:rPr>
          <w:rFonts w:hint="eastAsia" w:ascii="宋体"/>
          <w:bCs/>
          <w:color w:val="auto"/>
          <w:sz w:val="24"/>
          <w:szCs w:val="24"/>
        </w:rPr>
        <w:t>本协议书中词语含义与第二部分通用合同条款中赋予的含义相同。</w:t>
      </w:r>
    </w:p>
    <w:p>
      <w:pPr>
        <w:pStyle w:val="7"/>
        <w:spacing w:before="240" w:after="120" w:line="300" w:lineRule="auto"/>
        <w:rPr>
          <w:rFonts w:hint="eastAsia" w:ascii="宋体" w:eastAsia="宋体"/>
          <w:color w:val="auto"/>
          <w:sz w:val="24"/>
          <w:szCs w:val="24"/>
        </w:rPr>
      </w:pPr>
      <w:bookmarkStart w:id="289" w:name="_Toc63471438"/>
      <w:r>
        <w:rPr>
          <w:rFonts w:hint="eastAsia" w:ascii="宋体" w:eastAsia="宋体"/>
          <w:bCs w:val="0"/>
          <w:color w:val="auto"/>
          <w:sz w:val="24"/>
          <w:szCs w:val="24"/>
        </w:rPr>
        <w:t xml:space="preserve">  </w:t>
      </w:r>
      <w:r>
        <w:rPr>
          <w:rFonts w:hint="eastAsia" w:ascii="宋体" w:eastAsia="宋体"/>
          <w:b w:val="0"/>
          <w:color w:val="auto"/>
          <w:sz w:val="24"/>
          <w:szCs w:val="24"/>
        </w:rPr>
        <w:t xml:space="preserve">  </w:t>
      </w:r>
      <w:r>
        <w:rPr>
          <w:rFonts w:hint="eastAsia" w:ascii="宋体" w:eastAsia="宋体"/>
          <w:color w:val="auto"/>
          <w:sz w:val="24"/>
          <w:szCs w:val="24"/>
        </w:rPr>
        <w:t>九、签订时间</w:t>
      </w:r>
      <w:bookmarkEnd w:id="289"/>
    </w:p>
    <w:p>
      <w:pPr>
        <w:spacing w:line="300" w:lineRule="auto"/>
        <w:ind w:firstLine="480" w:firstLineChars="200"/>
        <w:rPr>
          <w:rFonts w:hint="eastAsia" w:ascii="宋体"/>
          <w:bCs/>
          <w:color w:val="auto"/>
          <w:sz w:val="24"/>
          <w:szCs w:val="24"/>
        </w:rPr>
      </w:pPr>
      <w:r>
        <w:rPr>
          <w:rFonts w:hint="eastAsia" w:ascii="宋体"/>
          <w:bCs/>
          <w:color w:val="auto"/>
          <w:sz w:val="24"/>
          <w:szCs w:val="24"/>
        </w:rPr>
        <w:t>本合同于</w:t>
      </w:r>
      <w:r>
        <w:rPr>
          <w:rFonts w:hint="eastAsia" w:ascii="宋体"/>
          <w:bCs/>
          <w:color w:val="auto"/>
          <w:sz w:val="24"/>
          <w:szCs w:val="24"/>
          <w:u w:val="single"/>
        </w:rPr>
        <w:t xml:space="preserve">       </w:t>
      </w:r>
      <w:r>
        <w:rPr>
          <w:rFonts w:hint="eastAsia" w:ascii="宋体"/>
          <w:bCs/>
          <w:color w:val="auto"/>
          <w:sz w:val="24"/>
          <w:szCs w:val="24"/>
        </w:rPr>
        <w:t>年</w:t>
      </w:r>
      <w:r>
        <w:rPr>
          <w:rFonts w:hint="eastAsia" w:ascii="宋体"/>
          <w:bCs/>
          <w:color w:val="auto"/>
          <w:sz w:val="24"/>
          <w:szCs w:val="24"/>
          <w:u w:val="single"/>
        </w:rPr>
        <w:t xml:space="preserve"> </w:t>
      </w:r>
      <w:r>
        <w:rPr>
          <w:rFonts w:hint="eastAsia" w:ascii="宋体"/>
          <w:bCs/>
          <w:color w:val="auto"/>
          <w:sz w:val="24"/>
          <w:szCs w:val="24"/>
          <w:u w:val="single"/>
          <w:lang w:val="en-US" w:eastAsia="zh-CN"/>
        </w:rPr>
        <w:t xml:space="preserve">  </w:t>
      </w:r>
      <w:r>
        <w:rPr>
          <w:rFonts w:hint="eastAsia" w:ascii="宋体"/>
          <w:bCs/>
          <w:color w:val="auto"/>
          <w:sz w:val="24"/>
          <w:szCs w:val="24"/>
          <w:u w:val="single"/>
        </w:rPr>
        <w:t xml:space="preserve">   </w:t>
      </w:r>
      <w:r>
        <w:rPr>
          <w:rFonts w:hint="eastAsia" w:ascii="宋体"/>
          <w:bCs/>
          <w:color w:val="auto"/>
          <w:sz w:val="24"/>
          <w:szCs w:val="24"/>
        </w:rPr>
        <w:t>月</w:t>
      </w:r>
      <w:r>
        <w:rPr>
          <w:rFonts w:hint="eastAsia" w:ascii="宋体"/>
          <w:bCs/>
          <w:color w:val="auto"/>
          <w:sz w:val="24"/>
          <w:szCs w:val="24"/>
          <w:u w:val="single"/>
        </w:rPr>
        <w:t xml:space="preserve">  </w:t>
      </w:r>
      <w:r>
        <w:rPr>
          <w:rFonts w:hint="eastAsia" w:ascii="宋体"/>
          <w:bCs/>
          <w:color w:val="auto"/>
          <w:sz w:val="24"/>
          <w:szCs w:val="24"/>
          <w:u w:val="single"/>
          <w:lang w:val="en-US" w:eastAsia="zh-CN"/>
        </w:rPr>
        <w:t xml:space="preserve">  </w:t>
      </w:r>
      <w:r>
        <w:rPr>
          <w:rFonts w:hint="eastAsia" w:ascii="宋体"/>
          <w:bCs/>
          <w:color w:val="auto"/>
          <w:sz w:val="24"/>
          <w:szCs w:val="24"/>
          <w:u w:val="single"/>
        </w:rPr>
        <w:t xml:space="preserve">  </w:t>
      </w:r>
      <w:r>
        <w:rPr>
          <w:rFonts w:hint="eastAsia" w:ascii="宋体"/>
          <w:bCs/>
          <w:color w:val="auto"/>
          <w:sz w:val="24"/>
          <w:szCs w:val="24"/>
        </w:rPr>
        <w:t>日签订。</w:t>
      </w:r>
    </w:p>
    <w:p>
      <w:pPr>
        <w:pStyle w:val="7"/>
        <w:spacing w:before="240" w:after="120" w:line="300" w:lineRule="auto"/>
        <w:rPr>
          <w:rFonts w:hint="eastAsia" w:ascii="宋体" w:eastAsia="宋体"/>
          <w:color w:val="auto"/>
          <w:sz w:val="24"/>
          <w:szCs w:val="24"/>
        </w:rPr>
      </w:pPr>
      <w:bookmarkStart w:id="290" w:name="_Toc63471439"/>
      <w:r>
        <w:rPr>
          <w:rFonts w:hint="eastAsia" w:ascii="宋体" w:eastAsia="宋体"/>
          <w:bCs w:val="0"/>
          <w:color w:val="auto"/>
          <w:sz w:val="24"/>
          <w:szCs w:val="24"/>
        </w:rPr>
        <w:t xml:space="preserve">    </w:t>
      </w:r>
      <w:r>
        <w:rPr>
          <w:rFonts w:hint="eastAsia" w:ascii="宋体" w:eastAsia="宋体"/>
          <w:color w:val="auto"/>
          <w:sz w:val="24"/>
          <w:szCs w:val="24"/>
        </w:rPr>
        <w:t>十、签订地点</w:t>
      </w:r>
      <w:bookmarkEnd w:id="290"/>
    </w:p>
    <w:p>
      <w:pPr>
        <w:spacing w:line="300" w:lineRule="auto"/>
        <w:ind w:firstLine="480" w:firstLineChars="200"/>
        <w:rPr>
          <w:rFonts w:hint="eastAsia" w:ascii="宋体"/>
          <w:bCs/>
          <w:color w:val="auto"/>
          <w:sz w:val="24"/>
          <w:szCs w:val="24"/>
        </w:rPr>
      </w:pPr>
      <w:r>
        <w:rPr>
          <w:rFonts w:hint="eastAsia" w:ascii="宋体"/>
          <w:bCs/>
          <w:color w:val="auto"/>
          <w:sz w:val="24"/>
          <w:szCs w:val="24"/>
        </w:rPr>
        <w:t>本合同在</w:t>
      </w:r>
      <w:r>
        <w:rPr>
          <w:rFonts w:hint="eastAsia" w:ascii="宋体"/>
          <w:bCs/>
          <w:color w:val="auto"/>
          <w:sz w:val="24"/>
          <w:szCs w:val="24"/>
          <w:u w:val="single"/>
        </w:rPr>
        <w:t xml:space="preserve">                                    </w:t>
      </w:r>
      <w:r>
        <w:rPr>
          <w:rFonts w:hint="eastAsia" w:ascii="宋体"/>
          <w:bCs/>
          <w:color w:val="auto"/>
          <w:sz w:val="24"/>
          <w:szCs w:val="24"/>
        </w:rPr>
        <w:t>签订。</w:t>
      </w:r>
    </w:p>
    <w:p>
      <w:pPr>
        <w:pStyle w:val="7"/>
        <w:spacing w:before="240" w:after="120" w:line="300" w:lineRule="auto"/>
        <w:rPr>
          <w:rFonts w:hint="eastAsia" w:ascii="宋体" w:eastAsia="宋体"/>
          <w:color w:val="auto"/>
          <w:sz w:val="24"/>
          <w:szCs w:val="24"/>
        </w:rPr>
      </w:pPr>
      <w:bookmarkStart w:id="291" w:name="_Toc63471440"/>
      <w:r>
        <w:rPr>
          <w:rFonts w:hint="eastAsia" w:ascii="宋体" w:eastAsia="宋体"/>
          <w:bCs w:val="0"/>
          <w:color w:val="auto"/>
          <w:sz w:val="24"/>
          <w:szCs w:val="24"/>
        </w:rPr>
        <w:t xml:space="preserve">    </w:t>
      </w:r>
      <w:r>
        <w:rPr>
          <w:rFonts w:hint="eastAsia" w:ascii="宋体" w:eastAsia="宋体"/>
          <w:color w:val="auto"/>
          <w:sz w:val="24"/>
          <w:szCs w:val="24"/>
        </w:rPr>
        <w:t>十一、补充协议</w:t>
      </w:r>
      <w:bookmarkEnd w:id="291"/>
    </w:p>
    <w:p>
      <w:pPr>
        <w:spacing w:line="300" w:lineRule="auto"/>
        <w:ind w:firstLine="480" w:firstLineChars="200"/>
        <w:rPr>
          <w:rFonts w:hint="eastAsia" w:ascii="宋体"/>
          <w:b/>
          <w:bCs/>
          <w:color w:val="auto"/>
          <w:sz w:val="24"/>
          <w:szCs w:val="24"/>
        </w:rPr>
      </w:pPr>
      <w:r>
        <w:rPr>
          <w:rFonts w:hint="eastAsia" w:ascii="宋体"/>
          <w:bCs/>
          <w:color w:val="auto"/>
          <w:sz w:val="24"/>
          <w:szCs w:val="24"/>
        </w:rPr>
        <w:t>合同未尽事宜，合同当事人另行签订补充协议，补充协议是合同的组成部分。</w:t>
      </w:r>
    </w:p>
    <w:p>
      <w:pPr>
        <w:pStyle w:val="7"/>
        <w:spacing w:before="240" w:after="120" w:line="300" w:lineRule="auto"/>
        <w:rPr>
          <w:rFonts w:hint="eastAsia" w:ascii="宋体" w:eastAsia="宋体"/>
          <w:color w:val="auto"/>
          <w:sz w:val="24"/>
          <w:szCs w:val="24"/>
        </w:rPr>
      </w:pPr>
      <w:bookmarkStart w:id="292" w:name="_Toc63471441"/>
      <w:r>
        <w:rPr>
          <w:rFonts w:hint="eastAsia" w:ascii="宋体" w:eastAsia="宋体"/>
          <w:bCs w:val="0"/>
          <w:color w:val="auto"/>
          <w:sz w:val="24"/>
          <w:szCs w:val="24"/>
        </w:rPr>
        <w:t xml:space="preserve">    </w:t>
      </w:r>
      <w:r>
        <w:rPr>
          <w:rFonts w:hint="eastAsia" w:ascii="宋体" w:eastAsia="宋体"/>
          <w:color w:val="auto"/>
          <w:sz w:val="24"/>
          <w:szCs w:val="24"/>
        </w:rPr>
        <w:t>十二、合同生效</w:t>
      </w:r>
      <w:bookmarkEnd w:id="292"/>
    </w:p>
    <w:p>
      <w:pPr>
        <w:spacing w:line="300" w:lineRule="auto"/>
        <w:ind w:firstLine="480" w:firstLineChars="200"/>
        <w:rPr>
          <w:rFonts w:hint="eastAsia" w:ascii="宋体"/>
          <w:bCs/>
          <w:color w:val="auto"/>
          <w:sz w:val="24"/>
          <w:szCs w:val="24"/>
        </w:rPr>
      </w:pPr>
      <w:r>
        <w:rPr>
          <w:rFonts w:hint="eastAsia" w:ascii="宋体"/>
          <w:bCs/>
          <w:color w:val="auto"/>
          <w:sz w:val="24"/>
          <w:szCs w:val="24"/>
        </w:rPr>
        <w:t>本合同自</w:t>
      </w:r>
      <w:r>
        <w:rPr>
          <w:rFonts w:hint="eastAsia" w:ascii="宋体"/>
          <w:bCs/>
          <w:color w:val="auto"/>
          <w:sz w:val="24"/>
          <w:szCs w:val="24"/>
          <w:u w:val="single"/>
        </w:rPr>
        <w:t xml:space="preserve">                                   </w:t>
      </w:r>
      <w:r>
        <w:rPr>
          <w:rFonts w:hint="eastAsia" w:ascii="宋体"/>
          <w:bCs/>
          <w:color w:val="auto"/>
          <w:sz w:val="24"/>
          <w:szCs w:val="24"/>
        </w:rPr>
        <w:t>生效。</w:t>
      </w:r>
    </w:p>
    <w:p>
      <w:pPr>
        <w:pStyle w:val="7"/>
        <w:spacing w:before="240" w:after="120" w:line="300" w:lineRule="auto"/>
        <w:rPr>
          <w:rFonts w:hint="eastAsia" w:ascii="宋体" w:eastAsia="宋体"/>
          <w:color w:val="auto"/>
          <w:sz w:val="24"/>
          <w:szCs w:val="24"/>
        </w:rPr>
      </w:pPr>
      <w:bookmarkStart w:id="293" w:name="_Toc63471442"/>
      <w:r>
        <w:rPr>
          <w:rFonts w:hint="eastAsia" w:ascii="宋体" w:eastAsia="宋体"/>
          <w:bCs w:val="0"/>
          <w:color w:val="auto"/>
          <w:sz w:val="24"/>
          <w:szCs w:val="24"/>
        </w:rPr>
        <w:t xml:space="preserve">    </w:t>
      </w:r>
      <w:r>
        <w:rPr>
          <w:rFonts w:hint="eastAsia" w:ascii="宋体" w:eastAsia="宋体"/>
          <w:color w:val="auto"/>
          <w:sz w:val="24"/>
          <w:szCs w:val="24"/>
        </w:rPr>
        <w:t>十三、合同份数</w:t>
      </w:r>
      <w:bookmarkEnd w:id="293"/>
    </w:p>
    <w:p>
      <w:pPr>
        <w:spacing w:line="300" w:lineRule="auto"/>
        <w:ind w:firstLine="480" w:firstLineChars="200"/>
        <w:rPr>
          <w:rFonts w:hint="eastAsia" w:ascii="宋体"/>
          <w:bCs/>
          <w:color w:val="auto"/>
          <w:sz w:val="24"/>
          <w:szCs w:val="24"/>
        </w:rPr>
      </w:pPr>
      <w:r>
        <w:rPr>
          <w:rFonts w:hint="eastAsia" w:ascii="宋体"/>
          <w:bCs/>
          <w:color w:val="auto"/>
          <w:sz w:val="24"/>
          <w:szCs w:val="24"/>
        </w:rPr>
        <w:t>本合同一式</w:t>
      </w:r>
      <w:r>
        <w:rPr>
          <w:rFonts w:hint="eastAsia" w:ascii="宋体"/>
          <w:bCs/>
          <w:color w:val="auto"/>
          <w:sz w:val="24"/>
          <w:szCs w:val="24"/>
          <w:u w:val="single"/>
        </w:rPr>
        <w:t xml:space="preserve">    </w:t>
      </w:r>
      <w:r>
        <w:rPr>
          <w:rFonts w:hint="eastAsia" w:ascii="宋体"/>
          <w:bCs/>
          <w:color w:val="auto"/>
          <w:sz w:val="24"/>
          <w:szCs w:val="24"/>
        </w:rPr>
        <w:t>份，均具有同等法律效力，发包人执</w:t>
      </w:r>
      <w:r>
        <w:rPr>
          <w:rFonts w:hint="eastAsia" w:ascii="宋体"/>
          <w:bCs/>
          <w:color w:val="auto"/>
          <w:sz w:val="24"/>
          <w:szCs w:val="24"/>
          <w:u w:val="single"/>
        </w:rPr>
        <w:t xml:space="preserve">    </w:t>
      </w:r>
      <w:r>
        <w:rPr>
          <w:rFonts w:hint="eastAsia" w:ascii="宋体"/>
          <w:bCs/>
          <w:color w:val="auto"/>
          <w:sz w:val="24"/>
          <w:szCs w:val="24"/>
        </w:rPr>
        <w:t>份，承包人执</w:t>
      </w:r>
      <w:r>
        <w:rPr>
          <w:rFonts w:hint="eastAsia" w:ascii="宋体"/>
          <w:bCs/>
          <w:color w:val="auto"/>
          <w:sz w:val="24"/>
          <w:szCs w:val="24"/>
          <w:u w:val="single"/>
        </w:rPr>
        <w:t xml:space="preserve">    </w:t>
      </w:r>
      <w:r>
        <w:rPr>
          <w:rFonts w:hint="eastAsia" w:ascii="宋体"/>
          <w:bCs/>
          <w:color w:val="auto"/>
          <w:sz w:val="24"/>
          <w:szCs w:val="24"/>
        </w:rPr>
        <w:t>份。</w:t>
      </w:r>
    </w:p>
    <w:p>
      <w:pPr>
        <w:spacing w:line="300" w:lineRule="auto"/>
        <w:rPr>
          <w:rFonts w:hint="eastAsia" w:ascii="宋体"/>
          <w:bCs/>
          <w:color w:val="auto"/>
          <w:sz w:val="24"/>
          <w:szCs w:val="24"/>
        </w:rPr>
      </w:pPr>
    </w:p>
    <w:p>
      <w:pPr>
        <w:spacing w:line="300" w:lineRule="auto"/>
        <w:rPr>
          <w:rFonts w:hint="eastAsia" w:ascii="宋体"/>
          <w:color w:val="auto"/>
          <w:sz w:val="24"/>
          <w:szCs w:val="24"/>
        </w:rPr>
      </w:pPr>
    </w:p>
    <w:p>
      <w:pPr>
        <w:spacing w:line="300" w:lineRule="auto"/>
        <w:rPr>
          <w:rFonts w:hint="eastAsia" w:ascii="宋体"/>
          <w:color w:val="auto"/>
          <w:sz w:val="24"/>
          <w:szCs w:val="24"/>
        </w:rPr>
      </w:pPr>
      <w:r>
        <w:rPr>
          <w:rFonts w:hint="eastAsia" w:ascii="宋体"/>
          <w:color w:val="auto"/>
          <w:sz w:val="24"/>
          <w:szCs w:val="24"/>
        </w:rPr>
        <w:t>发包人：  (公章)                         承包人：  (公章)</w:t>
      </w:r>
    </w:p>
    <w:p>
      <w:pPr>
        <w:spacing w:line="300" w:lineRule="auto"/>
        <w:rPr>
          <w:rFonts w:hint="eastAsia" w:ascii="宋体"/>
          <w:color w:val="auto"/>
          <w:sz w:val="24"/>
          <w:szCs w:val="24"/>
          <w:u w:val="single"/>
        </w:rPr>
      </w:pPr>
      <w:r>
        <w:rPr>
          <w:rFonts w:hint="eastAsia" w:ascii="宋体"/>
          <w:color w:val="auto"/>
          <w:sz w:val="24"/>
          <w:szCs w:val="24"/>
        </w:rPr>
        <w:t xml:space="preserve">                                 </w:t>
      </w:r>
    </w:p>
    <w:p>
      <w:pPr>
        <w:spacing w:line="300" w:lineRule="auto"/>
        <w:rPr>
          <w:rFonts w:hint="eastAsia" w:ascii="宋体"/>
          <w:color w:val="auto"/>
          <w:sz w:val="24"/>
          <w:szCs w:val="24"/>
        </w:rPr>
      </w:pPr>
      <w:r>
        <w:rPr>
          <w:rFonts w:hint="eastAsia" w:ascii="宋体"/>
          <w:color w:val="auto"/>
          <w:sz w:val="24"/>
          <w:szCs w:val="24"/>
        </w:rPr>
        <w:t>法定代表人或其委托代理人：               法定代表人或其委托代理人：</w:t>
      </w:r>
    </w:p>
    <w:p>
      <w:pPr>
        <w:spacing w:line="300" w:lineRule="auto"/>
        <w:rPr>
          <w:rFonts w:hint="eastAsia" w:ascii="宋体"/>
          <w:color w:val="auto"/>
          <w:sz w:val="24"/>
          <w:szCs w:val="24"/>
        </w:rPr>
      </w:pPr>
      <w:r>
        <w:rPr>
          <w:rFonts w:hint="eastAsia" w:ascii="宋体"/>
          <w:color w:val="auto"/>
          <w:sz w:val="24"/>
          <w:szCs w:val="24"/>
        </w:rPr>
        <w:t>（签字）                                 （签字）</w:t>
      </w:r>
    </w:p>
    <w:p>
      <w:pPr>
        <w:spacing w:line="300" w:lineRule="auto"/>
        <w:rPr>
          <w:rFonts w:hint="eastAsia" w:ascii="宋体"/>
          <w:color w:val="auto"/>
          <w:sz w:val="24"/>
          <w:szCs w:val="24"/>
          <w:u w:val="single"/>
        </w:rPr>
      </w:pPr>
    </w:p>
    <w:p>
      <w:pPr>
        <w:tabs>
          <w:tab w:val="left" w:pos="4410"/>
        </w:tabs>
        <w:spacing w:line="300" w:lineRule="auto"/>
        <w:rPr>
          <w:rFonts w:hint="eastAsia" w:ascii="宋体"/>
          <w:color w:val="auto"/>
          <w:sz w:val="24"/>
          <w:szCs w:val="24"/>
        </w:rPr>
      </w:pPr>
      <w:r>
        <w:rPr>
          <w:rFonts w:hint="eastAsia" w:ascii="宋体"/>
          <w:color w:val="auto"/>
          <w:sz w:val="24"/>
          <w:szCs w:val="24"/>
        </w:rPr>
        <w:t>组织机构代码：</w:t>
      </w:r>
      <w:r>
        <w:rPr>
          <w:rFonts w:hint="eastAsia" w:ascii="宋体"/>
          <w:color w:val="auto"/>
          <w:sz w:val="24"/>
          <w:szCs w:val="24"/>
          <w:u w:val="single"/>
        </w:rPr>
        <w:t xml:space="preserve">         </w:t>
      </w:r>
      <w:r>
        <w:rPr>
          <w:rFonts w:hint="eastAsia" w:ascii="宋体"/>
          <w:color w:val="auto"/>
          <w:sz w:val="24"/>
          <w:szCs w:val="24"/>
        </w:rPr>
        <w:t xml:space="preserve">            组织机构代码：</w:t>
      </w:r>
      <w:r>
        <w:rPr>
          <w:rFonts w:hint="eastAsia" w:ascii="宋体"/>
          <w:color w:val="auto"/>
          <w:sz w:val="24"/>
          <w:szCs w:val="24"/>
          <w:u w:val="single"/>
        </w:rPr>
        <w:t xml:space="preserve">            </w:t>
      </w:r>
    </w:p>
    <w:p>
      <w:pPr>
        <w:spacing w:line="300" w:lineRule="auto"/>
        <w:rPr>
          <w:rFonts w:hint="eastAsia" w:ascii="宋体"/>
          <w:color w:val="auto"/>
          <w:sz w:val="24"/>
          <w:szCs w:val="24"/>
        </w:rPr>
      </w:pPr>
      <w:r>
        <w:rPr>
          <w:rFonts w:hint="eastAsia" w:ascii="宋体"/>
          <w:color w:val="auto"/>
          <w:sz w:val="24"/>
          <w:szCs w:val="24"/>
        </w:rPr>
        <w:t>地  址：</w:t>
      </w:r>
      <w:r>
        <w:rPr>
          <w:rFonts w:hint="eastAsia" w:ascii="宋体"/>
          <w:color w:val="auto"/>
          <w:sz w:val="24"/>
          <w:szCs w:val="24"/>
          <w:u w:val="single"/>
        </w:rPr>
        <w:t xml:space="preserve">       </w:t>
      </w:r>
      <w:r>
        <w:rPr>
          <w:rFonts w:hint="eastAsia" w:ascii="宋体"/>
          <w:color w:val="auto"/>
          <w:sz w:val="24"/>
          <w:szCs w:val="24"/>
        </w:rPr>
        <w:t xml:space="preserve">            地  址：</w:t>
      </w:r>
      <w:r>
        <w:rPr>
          <w:rFonts w:hint="eastAsia" w:ascii="宋体"/>
          <w:color w:val="auto"/>
          <w:sz w:val="24"/>
          <w:szCs w:val="24"/>
          <w:u w:val="single"/>
        </w:rPr>
        <w:t xml:space="preserve">        </w:t>
      </w:r>
    </w:p>
    <w:p>
      <w:pPr>
        <w:spacing w:line="300" w:lineRule="auto"/>
        <w:rPr>
          <w:rFonts w:hint="eastAsia" w:ascii="宋体"/>
          <w:color w:val="auto"/>
          <w:sz w:val="24"/>
          <w:szCs w:val="24"/>
        </w:rPr>
      </w:pPr>
      <w:r>
        <w:rPr>
          <w:rFonts w:hint="eastAsia" w:ascii="宋体"/>
          <w:color w:val="auto"/>
          <w:sz w:val="24"/>
          <w:szCs w:val="24"/>
        </w:rPr>
        <w:t>邮政编码：</w:t>
      </w:r>
      <w:r>
        <w:rPr>
          <w:rFonts w:hint="eastAsia" w:ascii="宋体"/>
          <w:color w:val="auto"/>
          <w:sz w:val="24"/>
          <w:szCs w:val="24"/>
          <w:u w:val="single"/>
        </w:rPr>
        <w:t xml:space="preserve">       </w:t>
      </w:r>
      <w:r>
        <w:rPr>
          <w:rFonts w:hint="eastAsia" w:ascii="宋体"/>
          <w:color w:val="auto"/>
          <w:sz w:val="24"/>
          <w:szCs w:val="24"/>
        </w:rPr>
        <w:t xml:space="preserve">            邮政编码：</w:t>
      </w:r>
      <w:r>
        <w:rPr>
          <w:rFonts w:hint="eastAsia" w:ascii="宋体"/>
          <w:color w:val="auto"/>
          <w:sz w:val="24"/>
          <w:szCs w:val="24"/>
          <w:u w:val="single"/>
        </w:rPr>
        <w:t xml:space="preserve">    </w:t>
      </w:r>
    </w:p>
    <w:p>
      <w:pPr>
        <w:spacing w:line="300" w:lineRule="auto"/>
        <w:rPr>
          <w:rFonts w:hint="eastAsia" w:ascii="宋体"/>
          <w:color w:val="auto"/>
          <w:sz w:val="24"/>
          <w:szCs w:val="24"/>
        </w:rPr>
      </w:pPr>
      <w:r>
        <w:rPr>
          <w:rFonts w:hint="eastAsia" w:ascii="宋体"/>
          <w:color w:val="auto"/>
          <w:sz w:val="24"/>
          <w:szCs w:val="24"/>
        </w:rPr>
        <w:t>法定代表人：</w:t>
      </w:r>
      <w:r>
        <w:rPr>
          <w:rFonts w:hint="eastAsia" w:ascii="宋体"/>
          <w:color w:val="auto"/>
          <w:sz w:val="24"/>
          <w:szCs w:val="24"/>
          <w:u w:val="single"/>
        </w:rPr>
        <w:t xml:space="preserve">             </w:t>
      </w:r>
      <w:r>
        <w:rPr>
          <w:rFonts w:hint="eastAsia" w:ascii="宋体"/>
          <w:color w:val="auto"/>
          <w:sz w:val="24"/>
          <w:szCs w:val="24"/>
        </w:rPr>
        <w:t xml:space="preserve">            法定代表人：</w:t>
      </w:r>
      <w:r>
        <w:rPr>
          <w:rFonts w:hint="eastAsia" w:ascii="宋体"/>
          <w:color w:val="auto"/>
          <w:sz w:val="24"/>
          <w:szCs w:val="24"/>
          <w:u w:val="single"/>
        </w:rPr>
        <w:t xml:space="preserve">              </w:t>
      </w:r>
    </w:p>
    <w:p>
      <w:pPr>
        <w:spacing w:line="300" w:lineRule="auto"/>
        <w:rPr>
          <w:rFonts w:hint="eastAsia" w:ascii="宋体"/>
          <w:color w:val="auto"/>
          <w:sz w:val="24"/>
          <w:szCs w:val="24"/>
        </w:rPr>
      </w:pPr>
      <w:r>
        <w:rPr>
          <w:rFonts w:hint="eastAsia" w:ascii="宋体"/>
          <w:color w:val="auto"/>
          <w:sz w:val="24"/>
          <w:szCs w:val="24"/>
        </w:rPr>
        <w:t>委托代理人：</w:t>
      </w:r>
      <w:r>
        <w:rPr>
          <w:rFonts w:hint="eastAsia" w:ascii="宋体"/>
          <w:color w:val="auto"/>
          <w:sz w:val="24"/>
          <w:szCs w:val="24"/>
          <w:u w:val="single"/>
        </w:rPr>
        <w:t xml:space="preserve">             </w:t>
      </w:r>
      <w:r>
        <w:rPr>
          <w:rFonts w:hint="eastAsia" w:ascii="宋体"/>
          <w:color w:val="auto"/>
          <w:sz w:val="24"/>
          <w:szCs w:val="24"/>
        </w:rPr>
        <w:t xml:space="preserve">            委托代理人：</w:t>
      </w:r>
      <w:r>
        <w:rPr>
          <w:rFonts w:hint="eastAsia" w:ascii="宋体"/>
          <w:color w:val="auto"/>
          <w:sz w:val="24"/>
          <w:szCs w:val="24"/>
          <w:u w:val="single"/>
        </w:rPr>
        <w:t xml:space="preserve">              </w:t>
      </w:r>
    </w:p>
    <w:p>
      <w:pPr>
        <w:spacing w:line="300" w:lineRule="auto"/>
        <w:rPr>
          <w:rFonts w:hint="eastAsia" w:ascii="宋体"/>
          <w:color w:val="auto"/>
          <w:sz w:val="24"/>
          <w:szCs w:val="24"/>
        </w:rPr>
      </w:pPr>
      <w:r>
        <w:rPr>
          <w:rFonts w:hint="eastAsia" w:ascii="宋体"/>
          <w:color w:val="auto"/>
          <w:sz w:val="24"/>
          <w:szCs w:val="24"/>
        </w:rPr>
        <w:t>电  话：</w:t>
      </w:r>
      <w:r>
        <w:rPr>
          <w:rFonts w:hint="eastAsia" w:ascii="宋体"/>
          <w:color w:val="auto"/>
          <w:sz w:val="24"/>
          <w:szCs w:val="24"/>
          <w:u w:val="single"/>
        </w:rPr>
        <w:t xml:space="preserve">     </w:t>
      </w:r>
      <w:r>
        <w:rPr>
          <w:rFonts w:hint="eastAsia" w:ascii="宋体"/>
          <w:color w:val="auto"/>
          <w:sz w:val="24"/>
          <w:szCs w:val="24"/>
        </w:rPr>
        <w:t xml:space="preserve">            电  话：</w:t>
      </w:r>
      <w:r>
        <w:rPr>
          <w:rFonts w:hint="eastAsia" w:ascii="宋体"/>
          <w:color w:val="auto"/>
          <w:sz w:val="24"/>
          <w:szCs w:val="24"/>
          <w:u w:val="single"/>
        </w:rPr>
        <w:t xml:space="preserve">      </w:t>
      </w:r>
    </w:p>
    <w:p>
      <w:pPr>
        <w:spacing w:line="300" w:lineRule="auto"/>
        <w:rPr>
          <w:rFonts w:hint="eastAsia" w:ascii="宋体"/>
          <w:color w:val="auto"/>
          <w:sz w:val="24"/>
          <w:szCs w:val="24"/>
        </w:rPr>
      </w:pPr>
      <w:r>
        <w:rPr>
          <w:rFonts w:hint="eastAsia" w:ascii="宋体"/>
          <w:color w:val="auto"/>
          <w:sz w:val="24"/>
          <w:szCs w:val="24"/>
        </w:rPr>
        <w:t>传  真：</w:t>
      </w:r>
      <w:r>
        <w:rPr>
          <w:rFonts w:hint="eastAsia" w:ascii="宋体"/>
          <w:color w:val="auto"/>
          <w:sz w:val="24"/>
          <w:szCs w:val="24"/>
          <w:u w:val="single"/>
        </w:rPr>
        <w:t xml:space="preserve">     </w:t>
      </w:r>
      <w:r>
        <w:rPr>
          <w:rFonts w:hint="eastAsia" w:ascii="宋体"/>
          <w:color w:val="auto"/>
          <w:sz w:val="24"/>
          <w:szCs w:val="24"/>
        </w:rPr>
        <w:t xml:space="preserve">            传  真：</w:t>
      </w:r>
      <w:r>
        <w:rPr>
          <w:rFonts w:hint="eastAsia" w:ascii="宋体"/>
          <w:color w:val="auto"/>
          <w:sz w:val="24"/>
          <w:szCs w:val="24"/>
          <w:u w:val="single"/>
        </w:rPr>
        <w:t xml:space="preserve">      </w:t>
      </w:r>
    </w:p>
    <w:p>
      <w:pPr>
        <w:spacing w:line="300" w:lineRule="auto"/>
        <w:rPr>
          <w:rFonts w:hint="eastAsia" w:ascii="宋体"/>
          <w:color w:val="auto"/>
          <w:sz w:val="24"/>
          <w:szCs w:val="24"/>
        </w:rPr>
      </w:pPr>
      <w:r>
        <w:rPr>
          <w:rFonts w:hint="eastAsia" w:ascii="宋体"/>
          <w:color w:val="auto"/>
          <w:sz w:val="24"/>
          <w:szCs w:val="24"/>
        </w:rPr>
        <w:t>电子信箱：</w:t>
      </w:r>
      <w:r>
        <w:rPr>
          <w:rFonts w:hint="eastAsia" w:ascii="宋体"/>
          <w:color w:val="auto"/>
          <w:sz w:val="24"/>
          <w:szCs w:val="24"/>
          <w:u w:val="single"/>
        </w:rPr>
        <w:t xml:space="preserve">                   </w:t>
      </w:r>
      <w:r>
        <w:rPr>
          <w:rFonts w:hint="eastAsia" w:ascii="宋体"/>
          <w:color w:val="auto"/>
          <w:sz w:val="24"/>
          <w:szCs w:val="24"/>
        </w:rPr>
        <w:t xml:space="preserve">            电子信箱：</w:t>
      </w:r>
      <w:r>
        <w:rPr>
          <w:rFonts w:hint="eastAsia" w:ascii="宋体"/>
          <w:color w:val="auto"/>
          <w:sz w:val="24"/>
          <w:szCs w:val="24"/>
          <w:u w:val="single"/>
        </w:rPr>
        <w:t xml:space="preserve">    </w:t>
      </w:r>
    </w:p>
    <w:p>
      <w:pPr>
        <w:spacing w:line="300" w:lineRule="auto"/>
        <w:rPr>
          <w:rFonts w:hint="eastAsia" w:ascii="宋体"/>
          <w:color w:val="auto"/>
          <w:sz w:val="24"/>
          <w:szCs w:val="24"/>
        </w:rPr>
      </w:pPr>
      <w:r>
        <w:rPr>
          <w:rFonts w:hint="eastAsia" w:ascii="宋体"/>
          <w:color w:val="auto"/>
          <w:sz w:val="24"/>
          <w:szCs w:val="24"/>
        </w:rPr>
        <w:t>开户银行：</w:t>
      </w:r>
      <w:r>
        <w:rPr>
          <w:rFonts w:hint="eastAsia" w:ascii="宋体"/>
          <w:color w:val="auto"/>
          <w:sz w:val="24"/>
          <w:szCs w:val="24"/>
          <w:u w:val="single"/>
        </w:rPr>
        <w:t xml:space="preserve">     </w:t>
      </w:r>
      <w:r>
        <w:rPr>
          <w:rFonts w:hint="eastAsia" w:ascii="宋体"/>
          <w:color w:val="auto"/>
          <w:sz w:val="24"/>
          <w:szCs w:val="24"/>
        </w:rPr>
        <w:t xml:space="preserve">            开户银行：</w:t>
      </w:r>
      <w:r>
        <w:rPr>
          <w:rFonts w:hint="eastAsia" w:ascii="宋体"/>
          <w:color w:val="auto"/>
          <w:sz w:val="24"/>
          <w:szCs w:val="24"/>
          <w:u w:val="single"/>
        </w:rPr>
        <w:t xml:space="preserve">    </w:t>
      </w:r>
    </w:p>
    <w:p>
      <w:pPr>
        <w:spacing w:line="300" w:lineRule="auto"/>
        <w:rPr>
          <w:color w:val="auto"/>
        </w:rPr>
      </w:pPr>
      <w:r>
        <w:rPr>
          <w:rFonts w:hint="eastAsia" w:ascii="宋体"/>
          <w:color w:val="auto"/>
          <w:sz w:val="24"/>
          <w:szCs w:val="24"/>
        </w:rPr>
        <w:t>账  号：</w:t>
      </w:r>
      <w:r>
        <w:rPr>
          <w:rFonts w:hint="eastAsia" w:ascii="宋体"/>
          <w:color w:val="auto"/>
          <w:sz w:val="24"/>
          <w:szCs w:val="24"/>
          <w:u w:val="single"/>
        </w:rPr>
        <w:t>                 </w:t>
      </w:r>
      <w:r>
        <w:rPr>
          <w:rFonts w:hint="eastAsia" w:ascii="宋体"/>
          <w:color w:val="auto"/>
          <w:sz w:val="24"/>
          <w:szCs w:val="24"/>
        </w:rPr>
        <w:t xml:space="preserve">            账  号：</w:t>
      </w:r>
      <w:r>
        <w:rPr>
          <w:rFonts w:hint="eastAsia" w:ascii="宋体"/>
          <w:color w:val="auto"/>
          <w:sz w:val="24"/>
          <w:szCs w:val="24"/>
          <w:u w:val="single"/>
        </w:rPr>
        <w:t>                 </w:t>
      </w: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numPr>
          <w:ilvl w:val="1"/>
          <w:numId w:val="0"/>
        </w:numPr>
        <w:ind w:leftChars="0"/>
        <w:jc w:val="center"/>
        <w:rPr>
          <w:rFonts w:hint="eastAsia" w:ascii="宋体" w:hAnsi="宋体" w:eastAsia="宋体" w:cs="宋体"/>
          <w:color w:val="auto"/>
          <w:highlight w:val="none"/>
        </w:rPr>
      </w:pPr>
      <w:bookmarkStart w:id="294" w:name="_Toc20439"/>
      <w:bookmarkStart w:id="295" w:name="_Toc503786566"/>
      <w:r>
        <w:rPr>
          <w:rFonts w:hint="eastAsia" w:ascii="宋体" w:hAnsi="宋体" w:eastAsia="宋体" w:cs="宋体"/>
          <w:color w:val="auto"/>
          <w:highlight w:val="none"/>
          <w:lang w:val="en-US" w:eastAsia="zh-CN"/>
        </w:rPr>
        <w:t xml:space="preserve">第 2 节 </w:t>
      </w:r>
      <w:r>
        <w:rPr>
          <w:rFonts w:hint="eastAsia" w:ascii="宋体" w:hAnsi="宋体" w:eastAsia="宋体" w:cs="宋体"/>
          <w:color w:val="auto"/>
          <w:highlight w:val="none"/>
        </w:rPr>
        <w:t>通</w:t>
      </w:r>
      <w:bookmarkStart w:id="296" w:name="_Toc13309380"/>
      <w:r>
        <w:rPr>
          <w:rFonts w:hint="eastAsia" w:ascii="宋体" w:hAnsi="宋体" w:eastAsia="宋体" w:cs="宋体"/>
          <w:color w:val="auto"/>
          <w:highlight w:val="none"/>
        </w:rPr>
        <w:t>用合同条款</w:t>
      </w:r>
      <w:bookmarkEnd w:id="294"/>
      <w:bookmarkEnd w:id="295"/>
    </w:p>
    <w:bookmarkEnd w:id="296"/>
    <w:p>
      <w:pPr>
        <w:ind w:firstLine="420" w:firstLineChars="200"/>
        <w:rPr>
          <w:rFonts w:hint="eastAsia" w:ascii="宋体" w:hAnsi="宋体" w:eastAsia="宋体" w:cs="宋体"/>
          <w:color w:val="auto"/>
          <w:kern w:val="2"/>
          <w:sz w:val="21"/>
          <w:szCs w:val="21"/>
          <w:highlight w:val="none"/>
        </w:rPr>
      </w:pPr>
    </w:p>
    <w:p>
      <w:pPr>
        <w:spacing w:line="360" w:lineRule="auto"/>
        <w:jc w:val="center"/>
        <w:rPr>
          <w:rFonts w:hint="eastAsia" w:ascii="宋体" w:hAnsi="宋体" w:eastAsia="宋体" w:cs="宋体"/>
          <w:b/>
          <w:color w:val="auto"/>
          <w:sz w:val="32"/>
          <w:szCs w:val="32"/>
          <w:highlight w:val="none"/>
        </w:rPr>
      </w:pPr>
    </w:p>
    <w:bookmarkEnd w:id="274"/>
    <w:p>
      <w:pPr>
        <w:pStyle w:val="5"/>
        <w:numPr>
          <w:ilvl w:val="0"/>
          <w:numId w:val="0"/>
        </w:numPr>
        <w:spacing w:before="1440"/>
        <w:jc w:val="center"/>
        <w:rPr>
          <w:rFonts w:hint="eastAsia" w:ascii="宋体" w:hAnsi="宋体" w:eastAsia="宋体" w:cs="宋体"/>
          <w:color w:val="auto"/>
        </w:rPr>
      </w:pPr>
      <w:bookmarkStart w:id="297" w:name="_Toc6648"/>
      <w:bookmarkStart w:id="298" w:name="_Toc30478"/>
      <w:r>
        <w:rPr>
          <w:rFonts w:hint="eastAsia" w:ascii="宋体" w:hAnsi="宋体" w:eastAsia="宋体" w:cs="宋体"/>
          <w:color w:val="auto"/>
        </w:rPr>
        <w:t>“</w:t>
      </w:r>
      <w:bookmarkStart w:id="299" w:name="_Toc215480812"/>
      <w:bookmarkStart w:id="300" w:name="_Toc13309381"/>
      <w:r>
        <w:rPr>
          <w:rFonts w:hint="eastAsia" w:ascii="宋体" w:hAnsi="宋体" w:eastAsia="宋体" w:cs="宋体"/>
          <w:color w:val="auto"/>
        </w:rPr>
        <w:t>通用合同条款”内容见《通用本》</w:t>
      </w:r>
      <w:bookmarkEnd w:id="297"/>
      <w:bookmarkEnd w:id="298"/>
    </w:p>
    <w:bookmarkEnd w:id="299"/>
    <w:bookmarkEnd w:id="300"/>
    <w:p>
      <w:pPr>
        <w:spacing w:line="300" w:lineRule="auto"/>
        <w:rPr>
          <w:rFonts w:hint="eastAsia" w:ascii="宋体" w:hAnsi="宋体" w:eastAsia="宋体" w:cs="宋体"/>
          <w:color w:val="auto"/>
          <w:kern w:val="2"/>
          <w:sz w:val="24"/>
          <w:szCs w:val="24"/>
          <w:highlight w:val="none"/>
        </w:rPr>
      </w:pPr>
    </w:p>
    <w:p>
      <w:pPr>
        <w:pStyle w:val="2"/>
        <w:ind w:firstLine="480"/>
        <w:rPr>
          <w:rFonts w:hint="eastAsia" w:ascii="宋体" w:hAnsi="宋体" w:eastAsia="宋体" w:cs="宋体"/>
          <w:color w:val="auto"/>
          <w:kern w:val="2"/>
          <w:sz w:val="24"/>
          <w:szCs w:val="24"/>
          <w:highlight w:val="none"/>
        </w:rPr>
      </w:pPr>
    </w:p>
    <w:p>
      <w:pPr>
        <w:pStyle w:val="2"/>
        <w:ind w:firstLine="480"/>
        <w:rPr>
          <w:rFonts w:hint="eastAsia" w:ascii="宋体" w:hAnsi="宋体" w:eastAsia="宋体" w:cs="宋体"/>
          <w:color w:val="auto"/>
          <w:kern w:val="2"/>
          <w:sz w:val="24"/>
          <w:szCs w:val="24"/>
          <w:highlight w:val="none"/>
        </w:rPr>
      </w:pPr>
    </w:p>
    <w:p>
      <w:pPr>
        <w:pStyle w:val="2"/>
        <w:ind w:firstLine="480"/>
        <w:rPr>
          <w:rFonts w:hint="eastAsia" w:ascii="宋体" w:hAnsi="宋体" w:eastAsia="宋体" w:cs="宋体"/>
          <w:color w:val="auto"/>
          <w:kern w:val="2"/>
          <w:sz w:val="24"/>
          <w:szCs w:val="24"/>
          <w:highlight w:val="none"/>
        </w:rPr>
      </w:pPr>
    </w:p>
    <w:p>
      <w:pPr>
        <w:pStyle w:val="5"/>
        <w:pageBreakBefore/>
        <w:numPr>
          <w:ilvl w:val="0"/>
          <w:numId w:val="0"/>
        </w:numPr>
        <w:spacing w:before="120" w:after="100" w:afterAutospacing="1"/>
        <w:jc w:val="center"/>
        <w:rPr>
          <w:rFonts w:hint="eastAsia" w:ascii="宋体" w:hAnsi="宋体" w:eastAsia="宋体" w:cs="宋体"/>
          <w:color w:val="auto"/>
          <w:sz w:val="24"/>
        </w:rPr>
      </w:pPr>
      <w:bookmarkStart w:id="301" w:name="_Toc7806"/>
      <w:bookmarkStart w:id="302" w:name="_Toc19889"/>
      <w:r>
        <w:rPr>
          <w:rFonts w:hint="eastAsia" w:ascii="宋体" w:hAnsi="宋体" w:eastAsia="宋体" w:cs="宋体"/>
          <w:b w:val="0"/>
          <w:color w:val="auto"/>
        </w:rPr>
        <w:t>通</w:t>
      </w:r>
      <w:bookmarkStart w:id="303" w:name="_Toc215480813"/>
      <w:bookmarkStart w:id="304" w:name="_Toc13309382"/>
      <w:r>
        <w:rPr>
          <w:rFonts w:hint="eastAsia" w:ascii="宋体" w:hAnsi="宋体" w:eastAsia="宋体" w:cs="宋体"/>
          <w:b w:val="0"/>
          <w:color w:val="auto"/>
        </w:rPr>
        <w:t>用合同条款补正表</w:t>
      </w:r>
      <w:bookmarkEnd w:id="301"/>
      <w:bookmarkEnd w:id="302"/>
    </w:p>
    <w:bookmarkEnd w:id="303"/>
    <w:bookmarkEnd w:id="304"/>
    <w:p>
      <w:pPr>
        <w:pStyle w:val="16"/>
        <w:ind w:firstLine="480"/>
        <w:rPr>
          <w:rFonts w:hint="eastAsia" w:hAnsi="宋体" w:cs="宋体"/>
          <w:color w:val="auto"/>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005"/>
        <w:gridCol w:w="3795"/>
        <w:gridCol w:w="3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8" w:type="dxa"/>
            <w:noWrap w:val="0"/>
            <w:vAlign w:val="center"/>
          </w:tcPr>
          <w:p>
            <w:pPr>
              <w:jc w:val="center"/>
              <w:rPr>
                <w:rFonts w:hint="eastAsia" w:ascii="宋体" w:hAnsi="宋体" w:cs="宋体"/>
                <w:color w:val="auto"/>
                <w:sz w:val="24"/>
              </w:rPr>
            </w:pPr>
            <w:r>
              <w:rPr>
                <w:rFonts w:hint="eastAsia" w:ascii="宋体" w:hAnsi="宋体" w:cs="宋体"/>
                <w:color w:val="auto"/>
                <w:sz w:val="24"/>
              </w:rPr>
              <w:t>序号</w:t>
            </w:r>
          </w:p>
        </w:tc>
        <w:tc>
          <w:tcPr>
            <w:tcW w:w="1005" w:type="dxa"/>
            <w:noWrap w:val="0"/>
            <w:vAlign w:val="center"/>
          </w:tcPr>
          <w:p>
            <w:pPr>
              <w:jc w:val="center"/>
              <w:rPr>
                <w:rFonts w:hint="eastAsia" w:ascii="宋体" w:hAnsi="宋体" w:cs="宋体"/>
                <w:color w:val="auto"/>
                <w:sz w:val="24"/>
              </w:rPr>
            </w:pPr>
            <w:r>
              <w:rPr>
                <w:rFonts w:hint="eastAsia" w:ascii="宋体" w:hAnsi="宋体" w:cs="宋体"/>
                <w:color w:val="auto"/>
                <w:sz w:val="24"/>
              </w:rPr>
              <w:t>条款号</w:t>
            </w:r>
          </w:p>
        </w:tc>
        <w:tc>
          <w:tcPr>
            <w:tcW w:w="3795" w:type="dxa"/>
            <w:noWrap w:val="0"/>
            <w:vAlign w:val="center"/>
          </w:tcPr>
          <w:p>
            <w:pPr>
              <w:jc w:val="center"/>
              <w:rPr>
                <w:rFonts w:hint="eastAsia" w:ascii="宋体" w:hAnsi="宋体" w:cs="宋体"/>
                <w:color w:val="auto"/>
                <w:sz w:val="24"/>
              </w:rPr>
            </w:pPr>
            <w:r>
              <w:rPr>
                <w:rFonts w:hint="eastAsia" w:ascii="宋体" w:hAnsi="宋体" w:cs="宋体"/>
                <w:color w:val="auto"/>
                <w:sz w:val="24"/>
              </w:rPr>
              <w:t>原通用合同条款内容</w:t>
            </w:r>
          </w:p>
        </w:tc>
        <w:tc>
          <w:tcPr>
            <w:tcW w:w="3700" w:type="dxa"/>
            <w:noWrap w:val="0"/>
            <w:vAlign w:val="center"/>
          </w:tcPr>
          <w:p>
            <w:pPr>
              <w:widowControl/>
              <w:adjustRightInd/>
              <w:spacing w:line="240" w:lineRule="auto"/>
              <w:jc w:val="center"/>
              <w:textAlignment w:val="auto"/>
              <w:rPr>
                <w:rFonts w:hint="eastAsia" w:ascii="宋体" w:hAnsi="宋体" w:cs="宋体"/>
                <w:color w:val="auto"/>
                <w:sz w:val="24"/>
              </w:rPr>
            </w:pPr>
            <w:r>
              <w:rPr>
                <w:rFonts w:hint="eastAsia" w:ascii="宋体" w:hAnsi="宋体" w:cs="宋体"/>
                <w:color w:val="auto"/>
                <w:sz w:val="24"/>
              </w:rPr>
              <w:t>删除、补充或修改后内容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08" w:type="dxa"/>
            <w:noWrap w:val="0"/>
            <w:vAlign w:val="center"/>
          </w:tcPr>
          <w:p>
            <w:pPr>
              <w:rPr>
                <w:rFonts w:hint="eastAsia" w:ascii="宋体" w:hAnsi="宋体" w:cs="宋体"/>
                <w:color w:val="auto"/>
                <w:sz w:val="24"/>
                <w:u w:val="single"/>
              </w:rPr>
            </w:pPr>
            <w:r>
              <w:rPr>
                <w:rFonts w:hint="eastAsia" w:ascii="宋体" w:hAnsi="宋体" w:cs="宋体"/>
                <w:color w:val="auto"/>
                <w:sz w:val="24"/>
                <w:u w:val="single"/>
              </w:rPr>
              <w:t xml:space="preserve">   </w:t>
            </w:r>
          </w:p>
        </w:tc>
        <w:tc>
          <w:tcPr>
            <w:tcW w:w="1005" w:type="dxa"/>
            <w:noWrap w:val="0"/>
            <w:vAlign w:val="center"/>
          </w:tcPr>
          <w:p>
            <w:pPr>
              <w:rPr>
                <w:rFonts w:hint="eastAsia" w:ascii="宋体" w:hAnsi="宋体" w:cs="宋体"/>
                <w:color w:val="auto"/>
                <w:sz w:val="24"/>
                <w:u w:val="single"/>
              </w:rPr>
            </w:pPr>
            <w:r>
              <w:rPr>
                <w:rFonts w:hint="eastAsia" w:ascii="宋体" w:hAnsi="宋体" w:cs="宋体"/>
                <w:color w:val="auto"/>
                <w:sz w:val="24"/>
                <w:u w:val="single"/>
              </w:rPr>
              <w:t xml:space="preserve">      </w:t>
            </w:r>
          </w:p>
        </w:tc>
        <w:tc>
          <w:tcPr>
            <w:tcW w:w="3795" w:type="dxa"/>
            <w:noWrap w:val="0"/>
            <w:vAlign w:val="top"/>
          </w:tcPr>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sz w:val="24"/>
              </w:rPr>
            </w:pPr>
            <w:r>
              <w:rPr>
                <w:rFonts w:hint="eastAsia" w:ascii="宋体" w:hAnsi="宋体" w:cs="宋体"/>
                <w:color w:val="auto"/>
                <w:u w:val="single"/>
              </w:rPr>
              <w:t xml:space="preserve">                       </w:t>
            </w:r>
          </w:p>
        </w:tc>
        <w:tc>
          <w:tcPr>
            <w:tcW w:w="3700" w:type="dxa"/>
            <w:noWrap w:val="0"/>
            <w:vAlign w:val="top"/>
          </w:tcPr>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sz w:val="24"/>
              </w:rPr>
            </w:pPr>
            <w:r>
              <w:rPr>
                <w:rFonts w:hint="eastAsia" w:ascii="宋体" w:hAnsi="宋体" w:cs="宋体"/>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08" w:type="dxa"/>
            <w:noWrap w:val="0"/>
            <w:vAlign w:val="center"/>
          </w:tcPr>
          <w:p>
            <w:pPr>
              <w:rPr>
                <w:rFonts w:hint="eastAsia" w:ascii="宋体" w:hAnsi="宋体" w:cs="宋体"/>
                <w:color w:val="auto"/>
                <w:sz w:val="24"/>
                <w:u w:val="single"/>
              </w:rPr>
            </w:pPr>
            <w:r>
              <w:rPr>
                <w:rFonts w:hint="eastAsia" w:ascii="宋体" w:hAnsi="宋体" w:cs="宋体"/>
                <w:color w:val="auto"/>
                <w:sz w:val="24"/>
                <w:u w:val="single"/>
              </w:rPr>
              <w:t xml:space="preserve">   </w:t>
            </w:r>
          </w:p>
        </w:tc>
        <w:tc>
          <w:tcPr>
            <w:tcW w:w="1005" w:type="dxa"/>
            <w:noWrap w:val="0"/>
            <w:vAlign w:val="center"/>
          </w:tcPr>
          <w:p>
            <w:pPr>
              <w:rPr>
                <w:rFonts w:hint="eastAsia" w:ascii="宋体" w:hAnsi="宋体" w:cs="宋体"/>
                <w:color w:val="auto"/>
                <w:sz w:val="24"/>
                <w:u w:val="single"/>
              </w:rPr>
            </w:pPr>
            <w:r>
              <w:rPr>
                <w:rFonts w:hint="eastAsia" w:ascii="宋体" w:hAnsi="宋体" w:cs="宋体"/>
                <w:color w:val="auto"/>
                <w:sz w:val="24"/>
                <w:u w:val="single"/>
              </w:rPr>
              <w:t xml:space="preserve">      </w:t>
            </w:r>
          </w:p>
        </w:tc>
        <w:tc>
          <w:tcPr>
            <w:tcW w:w="3795" w:type="dxa"/>
            <w:noWrap w:val="0"/>
            <w:vAlign w:val="top"/>
          </w:tcPr>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sz w:val="24"/>
              </w:rPr>
            </w:pPr>
            <w:r>
              <w:rPr>
                <w:rFonts w:hint="eastAsia" w:ascii="宋体" w:hAnsi="宋体" w:cs="宋体"/>
                <w:color w:val="auto"/>
                <w:u w:val="single"/>
              </w:rPr>
              <w:t xml:space="preserve">                       </w:t>
            </w:r>
          </w:p>
        </w:tc>
        <w:tc>
          <w:tcPr>
            <w:tcW w:w="3700" w:type="dxa"/>
            <w:noWrap w:val="0"/>
            <w:vAlign w:val="top"/>
          </w:tcPr>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sz w:val="24"/>
              </w:rPr>
            </w:pPr>
            <w:r>
              <w:rPr>
                <w:rFonts w:hint="eastAsia" w:ascii="宋体" w:hAnsi="宋体" w:cs="宋体"/>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08" w:type="dxa"/>
            <w:noWrap w:val="0"/>
            <w:vAlign w:val="center"/>
          </w:tcPr>
          <w:p>
            <w:pPr>
              <w:rPr>
                <w:rFonts w:hint="eastAsia" w:ascii="宋体" w:hAnsi="宋体" w:cs="宋体"/>
                <w:color w:val="auto"/>
                <w:sz w:val="24"/>
                <w:u w:val="single"/>
              </w:rPr>
            </w:pPr>
            <w:r>
              <w:rPr>
                <w:rFonts w:hint="eastAsia" w:ascii="宋体" w:hAnsi="宋体" w:cs="宋体"/>
                <w:color w:val="auto"/>
                <w:sz w:val="24"/>
                <w:u w:val="single"/>
              </w:rPr>
              <w:t xml:space="preserve">   </w:t>
            </w:r>
          </w:p>
        </w:tc>
        <w:tc>
          <w:tcPr>
            <w:tcW w:w="1005" w:type="dxa"/>
            <w:noWrap w:val="0"/>
            <w:vAlign w:val="center"/>
          </w:tcPr>
          <w:p>
            <w:pPr>
              <w:rPr>
                <w:rFonts w:hint="eastAsia" w:ascii="宋体" w:hAnsi="宋体" w:cs="宋体"/>
                <w:color w:val="auto"/>
                <w:sz w:val="24"/>
                <w:u w:val="single"/>
              </w:rPr>
            </w:pPr>
            <w:r>
              <w:rPr>
                <w:rFonts w:hint="eastAsia" w:ascii="宋体" w:hAnsi="宋体" w:cs="宋体"/>
                <w:color w:val="auto"/>
                <w:sz w:val="24"/>
                <w:u w:val="single"/>
              </w:rPr>
              <w:t xml:space="preserve">      </w:t>
            </w:r>
          </w:p>
        </w:tc>
        <w:tc>
          <w:tcPr>
            <w:tcW w:w="3795" w:type="dxa"/>
            <w:noWrap w:val="0"/>
            <w:vAlign w:val="top"/>
          </w:tcPr>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sz w:val="24"/>
              </w:rPr>
            </w:pPr>
            <w:r>
              <w:rPr>
                <w:rFonts w:hint="eastAsia" w:ascii="宋体" w:hAnsi="宋体" w:cs="宋体"/>
                <w:color w:val="auto"/>
                <w:u w:val="single"/>
              </w:rPr>
              <w:t xml:space="preserve">                       </w:t>
            </w:r>
          </w:p>
        </w:tc>
        <w:tc>
          <w:tcPr>
            <w:tcW w:w="3700" w:type="dxa"/>
            <w:noWrap w:val="0"/>
            <w:vAlign w:val="top"/>
          </w:tcPr>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sz w:val="24"/>
              </w:rPr>
            </w:pPr>
            <w:r>
              <w:rPr>
                <w:rFonts w:hint="eastAsia" w:ascii="宋体" w:hAnsi="宋体" w:cs="宋体"/>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08" w:type="dxa"/>
            <w:noWrap w:val="0"/>
            <w:vAlign w:val="center"/>
          </w:tcPr>
          <w:p>
            <w:pPr>
              <w:rPr>
                <w:rFonts w:hint="eastAsia" w:ascii="宋体" w:hAnsi="宋体" w:cs="宋体"/>
                <w:color w:val="auto"/>
                <w:sz w:val="24"/>
                <w:u w:val="single"/>
              </w:rPr>
            </w:pPr>
            <w:r>
              <w:rPr>
                <w:rFonts w:hint="eastAsia" w:ascii="宋体" w:hAnsi="宋体" w:cs="宋体"/>
                <w:color w:val="auto"/>
                <w:sz w:val="24"/>
                <w:u w:val="single"/>
              </w:rPr>
              <w:t xml:space="preserve">   </w:t>
            </w:r>
          </w:p>
        </w:tc>
        <w:tc>
          <w:tcPr>
            <w:tcW w:w="1005" w:type="dxa"/>
            <w:noWrap w:val="0"/>
            <w:vAlign w:val="center"/>
          </w:tcPr>
          <w:p>
            <w:pPr>
              <w:rPr>
                <w:rFonts w:hint="eastAsia" w:ascii="宋体" w:hAnsi="宋体" w:cs="宋体"/>
                <w:color w:val="auto"/>
                <w:sz w:val="24"/>
                <w:u w:val="single"/>
              </w:rPr>
            </w:pPr>
            <w:r>
              <w:rPr>
                <w:rFonts w:hint="eastAsia" w:ascii="宋体" w:hAnsi="宋体" w:cs="宋体"/>
                <w:color w:val="auto"/>
                <w:sz w:val="24"/>
                <w:u w:val="single"/>
              </w:rPr>
              <w:t xml:space="preserve">      </w:t>
            </w:r>
          </w:p>
        </w:tc>
        <w:tc>
          <w:tcPr>
            <w:tcW w:w="3795" w:type="dxa"/>
            <w:noWrap w:val="0"/>
            <w:vAlign w:val="top"/>
          </w:tcPr>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sz w:val="24"/>
              </w:rPr>
            </w:pPr>
            <w:r>
              <w:rPr>
                <w:rFonts w:hint="eastAsia" w:ascii="宋体" w:hAnsi="宋体" w:cs="宋体"/>
                <w:color w:val="auto"/>
                <w:u w:val="single"/>
              </w:rPr>
              <w:t xml:space="preserve">                       </w:t>
            </w:r>
          </w:p>
        </w:tc>
        <w:tc>
          <w:tcPr>
            <w:tcW w:w="3700" w:type="dxa"/>
            <w:noWrap w:val="0"/>
            <w:vAlign w:val="top"/>
          </w:tcPr>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sz w:val="24"/>
              </w:rPr>
            </w:pPr>
            <w:r>
              <w:rPr>
                <w:rFonts w:hint="eastAsia" w:ascii="宋体" w:hAnsi="宋体" w:cs="宋体"/>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08" w:type="dxa"/>
            <w:noWrap w:val="0"/>
            <w:vAlign w:val="center"/>
          </w:tcPr>
          <w:p>
            <w:pPr>
              <w:rPr>
                <w:rFonts w:hint="eastAsia" w:ascii="宋体" w:hAnsi="宋体" w:cs="宋体"/>
                <w:color w:val="auto"/>
                <w:sz w:val="24"/>
                <w:u w:val="single"/>
              </w:rPr>
            </w:pPr>
            <w:r>
              <w:rPr>
                <w:rFonts w:hint="eastAsia" w:ascii="宋体" w:hAnsi="宋体" w:cs="宋体"/>
                <w:color w:val="auto"/>
                <w:sz w:val="24"/>
                <w:u w:val="single"/>
              </w:rPr>
              <w:t xml:space="preserve">   </w:t>
            </w:r>
          </w:p>
        </w:tc>
        <w:tc>
          <w:tcPr>
            <w:tcW w:w="1005" w:type="dxa"/>
            <w:noWrap w:val="0"/>
            <w:vAlign w:val="center"/>
          </w:tcPr>
          <w:p>
            <w:pPr>
              <w:rPr>
                <w:rFonts w:hint="eastAsia" w:ascii="宋体" w:hAnsi="宋体" w:cs="宋体"/>
                <w:color w:val="auto"/>
                <w:sz w:val="24"/>
                <w:u w:val="single"/>
              </w:rPr>
            </w:pPr>
            <w:r>
              <w:rPr>
                <w:rFonts w:hint="eastAsia" w:ascii="宋体" w:hAnsi="宋体" w:cs="宋体"/>
                <w:color w:val="auto"/>
                <w:sz w:val="24"/>
                <w:u w:val="single"/>
              </w:rPr>
              <w:t xml:space="preserve">      </w:t>
            </w:r>
          </w:p>
        </w:tc>
        <w:tc>
          <w:tcPr>
            <w:tcW w:w="3795" w:type="dxa"/>
            <w:noWrap w:val="0"/>
            <w:vAlign w:val="top"/>
          </w:tcPr>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sz w:val="24"/>
              </w:rPr>
            </w:pPr>
            <w:r>
              <w:rPr>
                <w:rFonts w:hint="eastAsia" w:ascii="宋体" w:hAnsi="宋体" w:cs="宋体"/>
                <w:color w:val="auto"/>
                <w:u w:val="single"/>
              </w:rPr>
              <w:t xml:space="preserve">                       </w:t>
            </w:r>
          </w:p>
        </w:tc>
        <w:tc>
          <w:tcPr>
            <w:tcW w:w="3700" w:type="dxa"/>
            <w:noWrap w:val="0"/>
            <w:vAlign w:val="top"/>
          </w:tcPr>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u w:val="single"/>
              </w:rPr>
            </w:pPr>
            <w:r>
              <w:rPr>
                <w:rFonts w:hint="eastAsia" w:ascii="宋体" w:hAnsi="宋体" w:cs="宋体"/>
                <w:color w:val="auto"/>
                <w:u w:val="single"/>
              </w:rPr>
              <w:t xml:space="preserve">                                   </w:t>
            </w:r>
          </w:p>
          <w:p>
            <w:pPr>
              <w:rPr>
                <w:rFonts w:hint="eastAsia" w:ascii="宋体" w:hAnsi="宋体" w:cs="宋体"/>
                <w:color w:val="auto"/>
                <w:sz w:val="24"/>
              </w:rPr>
            </w:pPr>
            <w:r>
              <w:rPr>
                <w:rFonts w:hint="eastAsia" w:ascii="宋体" w:hAnsi="宋体" w:cs="宋体"/>
                <w:color w:val="auto"/>
                <w:u w:val="single"/>
              </w:rPr>
              <w:t xml:space="preserve">                       </w:t>
            </w:r>
          </w:p>
        </w:tc>
      </w:tr>
    </w:tbl>
    <w:p>
      <w:pPr>
        <w:pStyle w:val="2"/>
        <w:ind w:firstLine="480"/>
        <w:rPr>
          <w:rFonts w:hint="eastAsia" w:ascii="宋体" w:hAnsi="宋体" w:eastAsia="宋体" w:cs="宋体"/>
          <w:color w:val="auto"/>
          <w:kern w:val="2"/>
          <w:sz w:val="24"/>
          <w:szCs w:val="24"/>
          <w:highlight w:val="none"/>
        </w:rPr>
      </w:pPr>
    </w:p>
    <w:p>
      <w:pPr>
        <w:pStyle w:val="2"/>
        <w:ind w:firstLine="480"/>
        <w:rPr>
          <w:rFonts w:hint="eastAsia" w:ascii="宋体" w:hAnsi="宋体" w:eastAsia="宋体" w:cs="宋体"/>
          <w:color w:val="auto"/>
          <w:kern w:val="2"/>
          <w:sz w:val="24"/>
          <w:szCs w:val="24"/>
          <w:highlight w:val="none"/>
        </w:rPr>
      </w:pPr>
    </w:p>
    <w:p>
      <w:pPr>
        <w:pStyle w:val="2"/>
        <w:ind w:firstLine="480"/>
        <w:rPr>
          <w:rFonts w:hint="eastAsia" w:ascii="宋体" w:hAnsi="宋体" w:eastAsia="宋体" w:cs="宋体"/>
          <w:color w:val="auto"/>
          <w:kern w:val="2"/>
          <w:sz w:val="24"/>
          <w:szCs w:val="24"/>
          <w:highlight w:val="none"/>
        </w:rPr>
      </w:pPr>
    </w:p>
    <w:p>
      <w:pPr>
        <w:pStyle w:val="2"/>
        <w:ind w:firstLine="480"/>
        <w:rPr>
          <w:rFonts w:hint="eastAsia" w:ascii="宋体" w:hAnsi="宋体" w:eastAsia="宋体" w:cs="宋体"/>
          <w:color w:val="auto"/>
          <w:kern w:val="2"/>
          <w:sz w:val="24"/>
          <w:szCs w:val="24"/>
          <w:highlight w:val="none"/>
        </w:rPr>
      </w:pPr>
    </w:p>
    <w:p>
      <w:pPr>
        <w:pStyle w:val="2"/>
        <w:ind w:firstLine="480"/>
        <w:rPr>
          <w:rFonts w:hint="eastAsia" w:ascii="宋体" w:hAnsi="宋体" w:eastAsia="宋体" w:cs="宋体"/>
          <w:color w:val="auto"/>
          <w:kern w:val="2"/>
          <w:sz w:val="24"/>
          <w:szCs w:val="24"/>
          <w:highlight w:val="none"/>
        </w:rPr>
      </w:pPr>
    </w:p>
    <w:p>
      <w:pPr>
        <w:pStyle w:val="2"/>
        <w:ind w:firstLine="480"/>
        <w:rPr>
          <w:rFonts w:hint="eastAsia" w:ascii="宋体" w:hAnsi="宋体" w:eastAsia="宋体" w:cs="宋体"/>
          <w:color w:val="auto"/>
          <w:kern w:val="2"/>
          <w:sz w:val="24"/>
          <w:szCs w:val="24"/>
          <w:highlight w:val="none"/>
        </w:rPr>
      </w:pPr>
    </w:p>
    <w:p>
      <w:pPr>
        <w:pStyle w:val="2"/>
        <w:ind w:firstLine="480"/>
        <w:rPr>
          <w:rFonts w:hint="eastAsia" w:ascii="宋体" w:hAnsi="宋体" w:eastAsia="宋体" w:cs="宋体"/>
          <w:color w:val="auto"/>
          <w:kern w:val="2"/>
          <w:sz w:val="24"/>
          <w:szCs w:val="24"/>
          <w:highlight w:val="none"/>
        </w:rPr>
      </w:pPr>
    </w:p>
    <w:p>
      <w:pPr>
        <w:pStyle w:val="2"/>
        <w:ind w:firstLine="480"/>
        <w:rPr>
          <w:rFonts w:hint="eastAsia" w:ascii="宋体" w:hAnsi="宋体" w:eastAsia="宋体" w:cs="宋体"/>
          <w:color w:val="auto"/>
          <w:kern w:val="2"/>
          <w:sz w:val="24"/>
          <w:szCs w:val="24"/>
          <w:highlight w:val="none"/>
        </w:rPr>
      </w:pPr>
    </w:p>
    <w:p>
      <w:pPr>
        <w:pStyle w:val="2"/>
        <w:ind w:firstLine="480"/>
        <w:rPr>
          <w:rFonts w:hint="eastAsia" w:ascii="宋体" w:hAnsi="宋体" w:eastAsia="宋体" w:cs="宋体"/>
          <w:color w:val="auto"/>
          <w:kern w:val="2"/>
          <w:sz w:val="24"/>
          <w:szCs w:val="24"/>
          <w:highlight w:val="none"/>
        </w:rPr>
      </w:pPr>
    </w:p>
    <w:p>
      <w:pPr>
        <w:pStyle w:val="2"/>
        <w:ind w:firstLine="480"/>
        <w:rPr>
          <w:rFonts w:hint="eastAsia" w:ascii="宋体" w:hAnsi="宋体" w:eastAsia="宋体" w:cs="宋体"/>
          <w:color w:val="auto"/>
          <w:kern w:val="2"/>
          <w:sz w:val="24"/>
          <w:szCs w:val="24"/>
          <w:highlight w:val="none"/>
        </w:rPr>
      </w:pPr>
    </w:p>
    <w:p>
      <w:pPr>
        <w:pStyle w:val="2"/>
        <w:ind w:firstLine="480"/>
        <w:rPr>
          <w:rFonts w:hint="eastAsia" w:ascii="宋体" w:hAnsi="宋体" w:eastAsia="宋体" w:cs="宋体"/>
          <w:color w:val="auto"/>
          <w:kern w:val="2"/>
          <w:sz w:val="24"/>
          <w:szCs w:val="24"/>
          <w:highlight w:val="none"/>
        </w:rPr>
      </w:pPr>
    </w:p>
    <w:p>
      <w:pPr>
        <w:pStyle w:val="5"/>
        <w:spacing w:before="1440" w:after="120" w:line="360" w:lineRule="auto"/>
        <w:ind w:left="0" w:firstLine="0"/>
        <w:jc w:val="center"/>
        <w:rPr>
          <w:rFonts w:hint="eastAsia" w:ascii="宋体" w:hAnsi="宋体" w:eastAsia="宋体" w:cs="宋体"/>
          <w:color w:val="auto"/>
          <w:kern w:val="2"/>
          <w:sz w:val="24"/>
          <w:szCs w:val="24"/>
          <w:highlight w:val="none"/>
        </w:rPr>
        <w:sectPr>
          <w:headerReference r:id="rId6" w:type="first"/>
          <w:headerReference r:id="rId5" w:type="default"/>
          <w:footerReference r:id="rId7" w:type="default"/>
          <w:footerReference r:id="rId8" w:type="even"/>
          <w:pgSz w:w="11905" w:h="16838"/>
          <w:pgMar w:top="1134" w:right="1219" w:bottom="1134" w:left="1332" w:header="652" w:footer="652" w:gutter="0"/>
          <w:cols w:space="720" w:num="1"/>
          <w:rtlGutter w:val="0"/>
          <w:docGrid w:type="linesAndChars" w:linePitch="312" w:charSpace="0"/>
        </w:sectPr>
      </w:pPr>
      <w:bookmarkStart w:id="305" w:name="_Toc525120839"/>
      <w:bookmarkStart w:id="306" w:name="_Toc667"/>
      <w:r>
        <w:rPr>
          <w:rFonts w:hint="eastAsia" w:ascii="宋体" w:hAnsi="宋体" w:eastAsia="宋体" w:cs="宋体"/>
          <w:color w:val="auto"/>
          <w:highlight w:val="none"/>
        </w:rPr>
        <w:t>专</w:t>
      </w:r>
      <w:bookmarkStart w:id="307" w:name="_Toc13309383"/>
      <w:bookmarkStart w:id="308" w:name="_Toc433901089"/>
      <w:r>
        <w:rPr>
          <w:rFonts w:hint="eastAsia" w:ascii="宋体" w:hAnsi="宋体" w:eastAsia="宋体" w:cs="宋体"/>
          <w:color w:val="auto"/>
          <w:highlight w:val="none"/>
        </w:rPr>
        <w:t>用合同条款</w:t>
      </w:r>
      <w:bookmarkEnd w:id="305"/>
      <w:bookmarkEnd w:id="306"/>
    </w:p>
    <w:bookmarkEnd w:id="307"/>
    <w:bookmarkEnd w:id="308"/>
    <w:p>
      <w:pPr>
        <w:pStyle w:val="6"/>
        <w:keepNext w:val="0"/>
        <w:keepLines w:val="0"/>
        <w:widowControl/>
        <w:suppressLineNumbers w:val="0"/>
        <w:snapToGrid w:val="0"/>
        <w:spacing w:before="240" w:beforeAutospacing="0" w:after="0" w:afterAutospacing="0" w:line="300" w:lineRule="auto"/>
        <w:ind w:left="0" w:right="0"/>
        <w:jc w:val="center"/>
        <w:rPr>
          <w:color w:val="auto"/>
        </w:rPr>
      </w:pPr>
      <w:bookmarkStart w:id="309" w:name="_Toc16953"/>
      <w:bookmarkStart w:id="310" w:name="_Toc31918"/>
      <w:bookmarkStart w:id="311" w:name="_Toc22331"/>
      <w:bookmarkStart w:id="312" w:name="_Toc503786572"/>
      <w:bookmarkStart w:id="313" w:name="_Toc525120851"/>
      <w:r>
        <w:rPr>
          <w:rFonts w:hint="eastAsia" w:ascii="宋体" w:hAnsi="宋体" w:eastAsia="宋体" w:cs="宋体"/>
          <w:color w:val="auto"/>
          <w:sz w:val="28"/>
          <w:szCs w:val="28"/>
          <w:lang w:eastAsia="zh-CN"/>
        </w:rPr>
        <w:t>专用合同条款</w:t>
      </w:r>
      <w:bookmarkEnd w:id="309"/>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1. </w:t>
      </w:r>
      <w:r>
        <w:rPr>
          <w:rFonts w:hint="eastAsia" w:ascii="宋体" w:hAnsi="宋体" w:eastAsia="宋体" w:cs="宋体"/>
          <w:color w:val="auto"/>
          <w:lang w:eastAsia="zh-CN"/>
        </w:rPr>
        <w:t>一般约定</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1.1 </w:t>
      </w:r>
      <w:r>
        <w:rPr>
          <w:rFonts w:hint="eastAsia" w:ascii="宋体" w:hAnsi="宋体" w:eastAsia="宋体" w:cs="宋体"/>
          <w:color w:val="auto"/>
          <w:sz w:val="24"/>
          <w:szCs w:val="24"/>
          <w:lang w:eastAsia="zh-CN"/>
        </w:rPr>
        <w:t>词语定义</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1.1.1</w:t>
      </w:r>
      <w:r>
        <w:rPr>
          <w:rFonts w:hint="eastAsia" w:ascii="宋体" w:hAnsi="宋体" w:eastAsia="宋体" w:cs="宋体"/>
          <w:color w:val="auto"/>
          <w:sz w:val="24"/>
          <w:szCs w:val="24"/>
          <w:lang w:eastAsia="zh-CN"/>
        </w:rPr>
        <w:t>合同</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1.1.1.10</w:t>
      </w:r>
      <w:r>
        <w:rPr>
          <w:rFonts w:hint="eastAsia" w:ascii="宋体" w:hAnsi="宋体" w:eastAsia="宋体" w:cs="宋体"/>
          <w:color w:val="auto"/>
          <w:sz w:val="24"/>
          <w:szCs w:val="24"/>
          <w:lang w:eastAsia="zh-CN"/>
        </w:rPr>
        <w:t>其他合同文件包括：</w:t>
      </w:r>
      <w:r>
        <w:rPr>
          <w:rFonts w:hint="eastAsia" w:ascii="宋体" w:hAnsi="宋体" w:eastAsia="宋体" w:cs="宋体"/>
          <w:color w:val="auto"/>
          <w:sz w:val="24"/>
          <w:szCs w:val="24"/>
          <w:u w:val="single"/>
          <w:lang w:val="en-US"/>
        </w:rPr>
        <w:t>发包人和承包人双方有关工程的洽商、变更等书面协议或签署的文件视为本合同的组成部分</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1.1.2 </w:t>
      </w:r>
      <w:r>
        <w:rPr>
          <w:rFonts w:hint="eastAsia" w:ascii="宋体" w:hAnsi="宋体" w:eastAsia="宋体" w:cs="宋体"/>
          <w:color w:val="auto"/>
          <w:sz w:val="24"/>
          <w:szCs w:val="24"/>
          <w:lang w:eastAsia="zh-CN"/>
        </w:rPr>
        <w:t>合同当事人及其他相关方</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1.1.2.4</w:t>
      </w:r>
      <w:r>
        <w:rPr>
          <w:rFonts w:hint="eastAsia" w:ascii="宋体" w:hAnsi="宋体" w:eastAsia="宋体" w:cs="宋体"/>
          <w:color w:val="auto"/>
          <w:sz w:val="24"/>
          <w:szCs w:val="24"/>
          <w:lang w:eastAsia="zh-CN"/>
        </w:rPr>
        <w:t>监理人：</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名</w:t>
      </w:r>
      <w:r>
        <w:rPr>
          <w:rFonts w:hint="eastAsia" w:ascii="宋体" w:hAnsi="宋体" w:eastAsia="宋体" w:cs="宋体"/>
          <w:color w:val="auto"/>
          <w:sz w:val="24"/>
          <w:szCs w:val="24"/>
          <w:lang w:val="en-US"/>
        </w:rPr>
        <w:t>  </w:t>
      </w:r>
      <w:r>
        <w:rPr>
          <w:rFonts w:hint="eastAsia" w:ascii="宋体" w:hAnsi="宋体" w:eastAsia="宋体" w:cs="宋体"/>
          <w:color w:val="auto"/>
          <w:sz w:val="24"/>
          <w:szCs w:val="24"/>
          <w:lang w:eastAsia="zh-CN"/>
        </w:rPr>
        <w:t>称：</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资质类别和等级：</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联系电话：</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电子信箱：</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通信地址：</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1.1.2.5 </w:t>
      </w:r>
      <w:r>
        <w:rPr>
          <w:rFonts w:hint="eastAsia" w:ascii="宋体" w:hAnsi="宋体" w:eastAsia="宋体" w:cs="宋体"/>
          <w:color w:val="auto"/>
          <w:sz w:val="24"/>
          <w:szCs w:val="24"/>
          <w:lang w:eastAsia="zh-CN"/>
        </w:rPr>
        <w:t>设计人：</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名</w:t>
      </w:r>
      <w:r>
        <w:rPr>
          <w:rFonts w:hint="eastAsia" w:ascii="宋体" w:hAnsi="宋体" w:eastAsia="宋体" w:cs="宋体"/>
          <w:color w:val="auto"/>
          <w:sz w:val="24"/>
          <w:szCs w:val="24"/>
          <w:lang w:val="en-US"/>
        </w:rPr>
        <w:t>  </w:t>
      </w:r>
      <w:r>
        <w:rPr>
          <w:rFonts w:hint="eastAsia" w:ascii="宋体" w:hAnsi="宋体" w:eastAsia="宋体" w:cs="宋体"/>
          <w:color w:val="auto"/>
          <w:sz w:val="24"/>
          <w:szCs w:val="24"/>
          <w:lang w:eastAsia="zh-CN"/>
        </w:rPr>
        <w:t>称：</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资质类别和等级：</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联系电话：</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电子信箱：</w:t>
      </w:r>
      <w:r>
        <w:rPr>
          <w:rFonts w:hint="eastAsia" w:ascii="宋体" w:hAnsi="宋体" w:eastAsia="宋体" w:cs="宋体"/>
          <w:color w:val="auto"/>
          <w:sz w:val="24"/>
          <w:szCs w:val="24"/>
          <w:u w:val="single"/>
          <w:lang w:val="en-US"/>
        </w:rPr>
        <w:t>承包人未经发包人同意，不得将本工程图纸转给第三人。工程质量保修期满后，除承包人存档需要的图纸外，应将全部图纸退还给发包人</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通信地址：</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1.1.3 </w:t>
      </w:r>
      <w:r>
        <w:rPr>
          <w:rFonts w:hint="eastAsia" w:ascii="宋体" w:hAnsi="宋体" w:eastAsia="宋体" w:cs="宋体"/>
          <w:color w:val="auto"/>
          <w:sz w:val="24"/>
          <w:szCs w:val="24"/>
          <w:lang w:eastAsia="zh-CN"/>
        </w:rPr>
        <w:t>工程和设备</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1.1.3.7 </w:t>
      </w:r>
      <w:r>
        <w:rPr>
          <w:rFonts w:hint="eastAsia" w:ascii="宋体" w:hAnsi="宋体" w:eastAsia="宋体" w:cs="宋体"/>
          <w:color w:val="auto"/>
          <w:sz w:val="24"/>
          <w:szCs w:val="24"/>
          <w:lang w:eastAsia="zh-CN"/>
        </w:rPr>
        <w:t>作为施工现场组成部分的其他场所包括：</w:t>
      </w:r>
      <w:r>
        <w:rPr>
          <w:rFonts w:hint="eastAsia" w:ascii="宋体" w:hAnsi="宋体" w:eastAsia="宋体" w:cs="宋体"/>
          <w:color w:val="auto"/>
          <w:sz w:val="24"/>
          <w:szCs w:val="24"/>
          <w:u w:val="single"/>
          <w:lang w:val="en-US"/>
        </w:rPr>
        <w:t>（填入本项目施工现场组成部分的其他场所，包括现场临时办公及施工场地，均由承包人自行解决。如无可以填写“无”）</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1.1.3.9 </w:t>
      </w:r>
      <w:r>
        <w:rPr>
          <w:rFonts w:hint="eastAsia" w:ascii="宋体" w:hAnsi="宋体" w:eastAsia="宋体" w:cs="宋体"/>
          <w:color w:val="auto"/>
          <w:sz w:val="24"/>
          <w:szCs w:val="24"/>
          <w:lang w:eastAsia="zh-CN"/>
        </w:rPr>
        <w:t>永久占地包括：</w:t>
      </w:r>
      <w:r>
        <w:rPr>
          <w:rFonts w:hint="eastAsia" w:ascii="宋体" w:hAnsi="宋体" w:eastAsia="宋体" w:cs="宋体"/>
          <w:color w:val="auto"/>
          <w:sz w:val="24"/>
          <w:szCs w:val="24"/>
          <w:u w:val="single"/>
          <w:lang w:val="en-US"/>
        </w:rPr>
        <w:t>（填入本项目的占地面积数量）</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1.1.3.10 </w:t>
      </w:r>
      <w:r>
        <w:rPr>
          <w:rFonts w:hint="eastAsia" w:ascii="宋体" w:hAnsi="宋体" w:eastAsia="宋体" w:cs="宋体"/>
          <w:color w:val="auto"/>
          <w:sz w:val="24"/>
          <w:szCs w:val="24"/>
          <w:lang w:eastAsia="zh-CN"/>
        </w:rPr>
        <w:t>临时占地包括：</w:t>
      </w:r>
      <w:r>
        <w:rPr>
          <w:rFonts w:hint="eastAsia" w:ascii="宋体" w:hAnsi="宋体" w:eastAsia="宋体" w:cs="宋体"/>
          <w:color w:val="auto"/>
          <w:sz w:val="24"/>
          <w:szCs w:val="24"/>
          <w:u w:val="single"/>
          <w:lang w:val="en-US"/>
        </w:rPr>
        <w:t>（如本建设项目的占地以外的工程施工临时需要占用的土地，一般情况下可以填写“无”）</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1.3</w:t>
      </w:r>
      <w:r>
        <w:rPr>
          <w:rFonts w:hint="eastAsia" w:ascii="宋体" w:hAnsi="宋体" w:eastAsia="宋体" w:cs="宋体"/>
          <w:color w:val="auto"/>
          <w:sz w:val="24"/>
          <w:szCs w:val="24"/>
          <w:lang w:eastAsia="zh-CN"/>
        </w:rPr>
        <w:t xml:space="preserve">法律 </w:t>
      </w:r>
    </w:p>
    <w:p>
      <w:pPr>
        <w:keepNext w:val="0"/>
        <w:keepLines w:val="0"/>
        <w:widowControl/>
        <w:suppressLineNumbers w:val="0"/>
        <w:snapToGrid w:val="0"/>
        <w:rPr>
          <w:color w:val="auto"/>
        </w:rPr>
      </w:pPr>
      <w:r>
        <w:rPr>
          <w:rFonts w:hint="eastAsia" w:ascii="宋体" w:hAnsi="宋体" w:eastAsia="宋体" w:cs="宋体"/>
          <w:color w:val="auto"/>
          <w:sz w:val="24"/>
          <w:szCs w:val="24"/>
          <w:lang w:eastAsia="zh-CN"/>
        </w:rPr>
        <w:t>适用于合同的其他规范性文件：</w:t>
      </w:r>
      <w:r>
        <w:rPr>
          <w:rFonts w:hint="eastAsia" w:ascii="宋体" w:hAnsi="宋体" w:eastAsia="宋体" w:cs="宋体"/>
          <w:color w:val="auto"/>
          <w:sz w:val="24"/>
          <w:szCs w:val="24"/>
          <w:u w:val="single"/>
          <w:lang w:val="en-US"/>
        </w:rPr>
        <w:t>本合同文件适用《中华人民共和国</w:t>
      </w:r>
      <w:r>
        <w:rPr>
          <w:rFonts w:hint="eastAsia" w:ascii="宋体" w:hAnsi="宋体" w:eastAsia="宋体" w:cs="宋体"/>
          <w:color w:val="auto"/>
          <w:sz w:val="24"/>
          <w:szCs w:val="24"/>
          <w:u w:val="single"/>
          <w:lang w:val="en-US" w:eastAsia="zh-CN"/>
        </w:rPr>
        <w:t>民法典</w:t>
      </w:r>
      <w:r>
        <w:rPr>
          <w:rFonts w:hint="eastAsia" w:ascii="宋体" w:hAnsi="宋体" w:eastAsia="宋体" w:cs="宋体"/>
          <w:color w:val="auto"/>
          <w:sz w:val="24"/>
          <w:szCs w:val="24"/>
          <w:u w:val="single"/>
          <w:lang w:val="en-US"/>
        </w:rPr>
        <w:t>》、《中华人民共和国建筑法》、《建设工程承发包价格管理办法》、《建筑安装工程承包合同条例》、《建设工程质量管理条例》、《建筑工程安全生产管理条例》及现行有关国家和本省建筑法规、规章</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1.4 </w:t>
      </w:r>
      <w:r>
        <w:rPr>
          <w:rFonts w:hint="eastAsia" w:ascii="宋体" w:hAnsi="宋体" w:eastAsia="宋体" w:cs="宋体"/>
          <w:color w:val="auto"/>
          <w:sz w:val="24"/>
          <w:szCs w:val="24"/>
          <w:lang w:eastAsia="zh-CN"/>
        </w:rPr>
        <w:t>标准和规范</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1.4.1</w:t>
      </w:r>
      <w:r>
        <w:rPr>
          <w:rFonts w:hint="eastAsia" w:ascii="宋体" w:hAnsi="宋体" w:eastAsia="宋体" w:cs="宋体"/>
          <w:color w:val="auto"/>
          <w:sz w:val="24"/>
          <w:szCs w:val="24"/>
          <w:lang w:eastAsia="zh-CN"/>
        </w:rPr>
        <w:t>适用于工程的标准规范包括：</w:t>
      </w:r>
      <w:r>
        <w:rPr>
          <w:rFonts w:hint="eastAsia" w:ascii="宋体" w:hAnsi="宋体" w:eastAsia="宋体" w:cs="宋体"/>
          <w:color w:val="auto"/>
          <w:sz w:val="24"/>
          <w:szCs w:val="24"/>
          <w:u w:val="single"/>
          <w:lang w:val="en-US"/>
        </w:rPr>
        <w:t>（1）本工程设计要求；（2）地方政府及国家现行有关工程的施工及验收规定、规程和标准。（3）地方政府及国家没有规定的，按发包人指定的规范、标准和招标文件施工合同的有关要求执行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1.4.2 </w:t>
      </w:r>
      <w:r>
        <w:rPr>
          <w:rFonts w:hint="eastAsia" w:ascii="宋体" w:hAnsi="宋体" w:eastAsia="宋体" w:cs="宋体"/>
          <w:color w:val="auto"/>
          <w:sz w:val="24"/>
          <w:szCs w:val="24"/>
          <w:lang w:eastAsia="zh-CN"/>
        </w:rPr>
        <w:t>发包人提供国外标准、规范的名称：</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发包人提供国外标准、规范的份数：</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发包人提供国外标准、规范的名称：</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568"/>
        <w:rPr>
          <w:color w:val="auto"/>
        </w:rPr>
      </w:pPr>
      <w:r>
        <w:rPr>
          <w:rFonts w:hint="eastAsia" w:ascii="宋体" w:hAnsi="宋体" w:eastAsia="宋体" w:cs="宋体"/>
          <w:color w:val="auto"/>
          <w:sz w:val="24"/>
          <w:szCs w:val="24"/>
          <w:lang w:val="en-US"/>
        </w:rPr>
        <w:t>1.4.3</w:t>
      </w:r>
      <w:r>
        <w:rPr>
          <w:rFonts w:hint="eastAsia" w:ascii="宋体" w:hAnsi="宋体" w:eastAsia="宋体" w:cs="宋体"/>
          <w:color w:val="auto"/>
          <w:sz w:val="24"/>
          <w:szCs w:val="24"/>
          <w:lang w:eastAsia="zh-CN"/>
        </w:rPr>
        <w:t>发包人对工程的技术标准和功能要求的特殊要求：</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1.5 </w:t>
      </w:r>
      <w:r>
        <w:rPr>
          <w:rFonts w:hint="eastAsia" w:ascii="宋体" w:hAnsi="宋体" w:eastAsia="宋体" w:cs="宋体"/>
          <w:color w:val="auto"/>
          <w:sz w:val="24"/>
          <w:szCs w:val="24"/>
          <w:lang w:eastAsia="zh-CN"/>
        </w:rPr>
        <w:t>合同文件的优先顺序</w:t>
      </w:r>
    </w:p>
    <w:p>
      <w:pPr>
        <w:keepNext w:val="0"/>
        <w:keepLines w:val="0"/>
        <w:widowControl/>
        <w:suppressLineNumbers w:val="0"/>
        <w:snapToGrid w:val="0"/>
        <w:spacing w:line="300" w:lineRule="auto"/>
        <w:ind w:left="0"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合同文件组成及优先顺序为：</w:t>
      </w:r>
    </w:p>
    <w:p>
      <w:pPr>
        <w:keepNext w:val="0"/>
        <w:keepLines w:val="0"/>
        <w:widowControl/>
        <w:suppressLineNumbers w:val="0"/>
        <w:snapToGrid w:val="0"/>
        <w:spacing w:line="300" w:lineRule="auto"/>
        <w:ind w:left="0" w:firstLine="48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(1) 合同履行中，双方有关工程的洽商、变更等书面协议或文件</w:t>
      </w:r>
    </w:p>
    <w:p>
      <w:pPr>
        <w:keepNext w:val="0"/>
        <w:keepLines w:val="0"/>
        <w:widowControl/>
        <w:suppressLineNumbers w:val="0"/>
        <w:snapToGrid w:val="0"/>
        <w:spacing w:line="300" w:lineRule="auto"/>
        <w:ind w:left="0" w:firstLine="48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(2) 本合同协议书及附件</w:t>
      </w:r>
    </w:p>
    <w:p>
      <w:pPr>
        <w:keepNext w:val="0"/>
        <w:keepLines w:val="0"/>
        <w:widowControl/>
        <w:suppressLineNumbers w:val="0"/>
        <w:snapToGrid w:val="0"/>
        <w:spacing w:line="300" w:lineRule="auto"/>
        <w:ind w:left="0" w:firstLine="48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(3) 中标通知书</w:t>
      </w:r>
    </w:p>
    <w:p>
      <w:pPr>
        <w:keepNext w:val="0"/>
        <w:keepLines w:val="0"/>
        <w:widowControl/>
        <w:suppressLineNumbers w:val="0"/>
        <w:snapToGrid w:val="0"/>
        <w:spacing w:line="300" w:lineRule="auto"/>
        <w:ind w:left="0" w:firstLine="48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 xml:space="preserve">(4) 招标文件(含澄清、修改、补遗) </w:t>
      </w:r>
    </w:p>
    <w:p>
      <w:pPr>
        <w:keepNext w:val="0"/>
        <w:keepLines w:val="0"/>
        <w:widowControl/>
        <w:suppressLineNumbers w:val="0"/>
        <w:snapToGrid w:val="0"/>
        <w:spacing w:line="300" w:lineRule="auto"/>
        <w:ind w:left="0" w:firstLine="48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(5) 投标书及其附件</w:t>
      </w:r>
    </w:p>
    <w:p>
      <w:pPr>
        <w:keepNext w:val="0"/>
        <w:keepLines w:val="0"/>
        <w:widowControl/>
        <w:suppressLineNumbers w:val="0"/>
        <w:snapToGrid w:val="0"/>
        <w:spacing w:line="300" w:lineRule="auto"/>
        <w:ind w:left="0" w:firstLine="48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 xml:space="preserve">(6) 本合同条款及其补充条款 </w:t>
      </w:r>
    </w:p>
    <w:p>
      <w:pPr>
        <w:keepNext w:val="0"/>
        <w:keepLines w:val="0"/>
        <w:widowControl/>
        <w:suppressLineNumbers w:val="0"/>
        <w:snapToGrid w:val="0"/>
        <w:spacing w:line="300" w:lineRule="auto"/>
        <w:ind w:left="0" w:firstLine="48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(7) 标准、规范及有关技术文件</w:t>
      </w:r>
    </w:p>
    <w:p>
      <w:pPr>
        <w:keepNext w:val="0"/>
        <w:keepLines w:val="0"/>
        <w:widowControl/>
        <w:suppressLineNumbers w:val="0"/>
        <w:snapToGrid w:val="0"/>
        <w:spacing w:line="300" w:lineRule="auto"/>
        <w:ind w:left="0" w:firstLine="48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(8) 图纸</w:t>
      </w:r>
    </w:p>
    <w:p>
      <w:pPr>
        <w:keepNext w:val="0"/>
        <w:keepLines w:val="0"/>
        <w:widowControl/>
        <w:suppressLineNumbers w:val="0"/>
        <w:snapToGrid w:val="0"/>
        <w:spacing w:line="300" w:lineRule="auto"/>
        <w:ind w:left="0" w:firstLine="48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(9) 工程量清单</w:t>
      </w:r>
    </w:p>
    <w:p>
      <w:pPr>
        <w:keepNext w:val="0"/>
        <w:keepLines w:val="0"/>
        <w:widowControl/>
        <w:suppressLineNumbers w:val="0"/>
        <w:snapToGrid w:val="0"/>
        <w:spacing w:line="300" w:lineRule="auto"/>
        <w:ind w:left="0"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u w:val="single"/>
          <w:lang w:eastAsia="zh-CN"/>
        </w:rPr>
        <w:t>(10) 工程报价单或预算书</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u w:val="single"/>
          <w:lang w:eastAsia="zh-CN"/>
        </w:rPr>
        <w:t>当合同文件内容含糊不清或不相一致时，在不影响工程正常进行的情况下， 由发包人承包人协商解决。双方也可以提请负责监理的工程师作出解释。双方协商不成或不同意负责监理的工程师的解释时，按本合同条款第 20 条关于争议的约定处理</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1.6 </w:t>
      </w:r>
      <w:r>
        <w:rPr>
          <w:rFonts w:hint="eastAsia" w:ascii="宋体" w:hAnsi="宋体" w:eastAsia="宋体" w:cs="宋体"/>
          <w:color w:val="auto"/>
          <w:sz w:val="24"/>
          <w:szCs w:val="24"/>
          <w:lang w:eastAsia="zh-CN"/>
        </w:rPr>
        <w:t>图纸和承包人文件</w:t>
      </w:r>
      <w:r>
        <w:rPr>
          <w:rFonts w:hint="eastAsia" w:ascii="宋体" w:hAnsi="宋体" w:eastAsia="宋体" w:cs="宋体"/>
          <w:color w:val="auto"/>
          <w:sz w:val="24"/>
          <w:szCs w:val="24"/>
          <w:lang w:val="en-US"/>
        </w:rPr>
        <w:t xml:space="preserve"> </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1.6.1 </w:t>
      </w:r>
      <w:r>
        <w:rPr>
          <w:rFonts w:hint="eastAsia" w:ascii="宋体" w:hAnsi="宋体" w:eastAsia="宋体" w:cs="宋体"/>
          <w:color w:val="auto"/>
          <w:sz w:val="24"/>
          <w:szCs w:val="24"/>
          <w:lang w:eastAsia="zh-CN"/>
        </w:rPr>
        <w:t>图纸的提供</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发包人向承包人提供图纸的期限：</w:t>
      </w:r>
      <w:r>
        <w:rPr>
          <w:rFonts w:hint="eastAsia" w:ascii="宋体" w:hAnsi="宋体" w:eastAsia="宋体" w:cs="宋体"/>
          <w:color w:val="auto"/>
          <w:sz w:val="24"/>
          <w:szCs w:val="24"/>
          <w:u w:val="single"/>
          <w:lang w:val="en-US"/>
        </w:rPr>
        <w:t>发包人应在合同签订当日，向承包人提供图纸</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发包人向承包人提供图纸的数量：</w:t>
      </w:r>
      <w:r>
        <w:rPr>
          <w:rFonts w:hint="eastAsia" w:ascii="宋体" w:hAnsi="宋体" w:eastAsia="宋体" w:cs="宋体"/>
          <w:color w:val="auto"/>
          <w:sz w:val="24"/>
          <w:szCs w:val="24"/>
          <w:u w:val="single"/>
          <w:lang w:val="en-US"/>
        </w:rPr>
        <w:t>向承包人提供图纸</w:t>
      </w:r>
      <w:r>
        <w:rPr>
          <w:rFonts w:hint="eastAsia" w:ascii="宋体" w:hAnsi="宋体" w:eastAsia="宋体" w:cs="宋体"/>
          <w:color w:val="auto"/>
          <w:sz w:val="24"/>
          <w:szCs w:val="24"/>
          <w:u w:val="single"/>
          <w:lang w:val="en-US" w:eastAsia="zh-CN"/>
        </w:rPr>
        <w:t>贰</w:t>
      </w:r>
      <w:r>
        <w:rPr>
          <w:rFonts w:hint="eastAsia" w:ascii="宋体" w:hAnsi="宋体" w:eastAsia="宋体" w:cs="宋体"/>
          <w:color w:val="auto"/>
          <w:sz w:val="24"/>
          <w:szCs w:val="24"/>
          <w:u w:val="single"/>
          <w:lang w:val="en-US"/>
        </w:rPr>
        <w:t>套,承包人需要增加图纸套数的，发包人应代为复制，复制费用由承包人承担。发包人对工程有保密要求的，未经发包人同意，承包人不得用于与本工程无关的任何事项</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发包人向承包人提供图纸的内容：</w:t>
      </w:r>
      <w:r>
        <w:rPr>
          <w:rFonts w:hint="eastAsia" w:ascii="宋体" w:hAnsi="宋体" w:eastAsia="宋体" w:cs="宋体"/>
          <w:color w:val="auto"/>
          <w:sz w:val="24"/>
          <w:szCs w:val="24"/>
          <w:u w:val="single"/>
          <w:lang w:val="en-US"/>
        </w:rPr>
        <w:t>与发包范围有关的设计图纸、设计变更、修改通知等</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1.6.4 </w:t>
      </w:r>
      <w:r>
        <w:rPr>
          <w:rFonts w:hint="eastAsia" w:ascii="宋体" w:hAnsi="宋体" w:eastAsia="宋体" w:cs="宋体"/>
          <w:color w:val="auto"/>
          <w:sz w:val="24"/>
          <w:szCs w:val="24"/>
          <w:lang w:eastAsia="zh-CN"/>
        </w:rPr>
        <w:t>承包人文件</w:t>
      </w:r>
    </w:p>
    <w:p>
      <w:pPr>
        <w:keepNext w:val="0"/>
        <w:keepLines w:val="0"/>
        <w:widowControl/>
        <w:suppressLineNumbers w:val="0"/>
        <w:snapToGrid w:val="0"/>
        <w:spacing w:line="300" w:lineRule="auto"/>
        <w:ind w:left="568"/>
        <w:jc w:val="left"/>
        <w:rPr>
          <w:color w:val="auto"/>
        </w:rPr>
      </w:pPr>
      <w:r>
        <w:rPr>
          <w:rFonts w:hint="eastAsia" w:ascii="宋体" w:hAnsi="宋体" w:eastAsia="宋体" w:cs="宋体"/>
          <w:color w:val="auto"/>
          <w:sz w:val="24"/>
          <w:szCs w:val="24"/>
          <w:lang w:eastAsia="zh-CN"/>
        </w:rPr>
        <w:t>需要由承包人提供的文件，包括：</w:t>
      </w:r>
      <w:r>
        <w:rPr>
          <w:rFonts w:hint="eastAsia" w:ascii="宋体" w:hAnsi="宋体" w:eastAsia="宋体" w:cs="宋体"/>
          <w:color w:val="auto"/>
          <w:sz w:val="24"/>
          <w:szCs w:val="24"/>
          <w:u w:val="single"/>
          <w:lang w:val="en-US"/>
        </w:rPr>
        <w:t>1、合同签订后3天内承包人须向监理人及发包人提供施工总进度计划壹式陆份；2、每月20-25日向监理人及发包人报当月完成工作量月报表，须列明分项工程名称、数量、单价，并按招标文件的规定计算；3每月25日提供下月施工进度计划表各壹式肆份</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承包人提供的文件的期限为：</w:t>
      </w:r>
      <w:r>
        <w:rPr>
          <w:rFonts w:hint="eastAsia" w:ascii="宋体" w:hAnsi="宋体" w:eastAsia="宋体" w:cs="宋体"/>
          <w:color w:val="auto"/>
          <w:sz w:val="24"/>
          <w:szCs w:val="24"/>
          <w:u w:val="single"/>
          <w:lang w:val="en-US"/>
        </w:rPr>
        <w:t>承包人在签订施工承包合同后7天内</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承包人提供的文件的数量为：</w:t>
      </w:r>
      <w:r>
        <w:rPr>
          <w:rFonts w:hint="eastAsia" w:ascii="宋体" w:hAnsi="宋体" w:eastAsia="宋体" w:cs="宋体"/>
          <w:color w:val="auto"/>
          <w:sz w:val="24"/>
          <w:szCs w:val="24"/>
          <w:u w:val="single"/>
          <w:lang w:val="en-US"/>
        </w:rPr>
        <w:t>2份</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承包人提供的文件的形式为：</w:t>
      </w:r>
      <w:r>
        <w:rPr>
          <w:rFonts w:hint="eastAsia" w:ascii="宋体" w:hAnsi="宋体" w:eastAsia="宋体" w:cs="宋体"/>
          <w:color w:val="auto"/>
          <w:sz w:val="24"/>
          <w:szCs w:val="24"/>
          <w:u w:val="single"/>
          <w:lang w:val="en-US"/>
        </w:rPr>
        <w:t>书面形式和电子文本</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发包人审批承包人文件的期限：</w:t>
      </w:r>
      <w:r>
        <w:rPr>
          <w:rFonts w:hint="eastAsia" w:ascii="宋体" w:hAnsi="宋体" w:eastAsia="宋体" w:cs="宋体"/>
          <w:color w:val="auto"/>
          <w:sz w:val="24"/>
          <w:szCs w:val="24"/>
          <w:u w:val="single"/>
          <w:lang w:val="en-US"/>
        </w:rPr>
        <w:t>收到文件后7天内</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1.6.5 </w:t>
      </w:r>
      <w:r>
        <w:rPr>
          <w:rFonts w:hint="eastAsia" w:ascii="宋体" w:hAnsi="宋体" w:eastAsia="宋体" w:cs="宋体"/>
          <w:color w:val="auto"/>
          <w:sz w:val="24"/>
          <w:szCs w:val="24"/>
          <w:lang w:eastAsia="zh-CN"/>
        </w:rPr>
        <w:t>现场图纸准备</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关于现场图纸准备的约定：</w:t>
      </w:r>
      <w:r>
        <w:rPr>
          <w:rFonts w:hint="eastAsia" w:ascii="宋体" w:hAnsi="宋体" w:eastAsia="宋体" w:cs="宋体"/>
          <w:color w:val="auto"/>
          <w:sz w:val="24"/>
          <w:szCs w:val="24"/>
          <w:u w:val="single"/>
          <w:lang w:val="en-US"/>
        </w:rPr>
        <w:t>承包人应在施工现场保留一套完整图纸，供工程师及有关人员进行工程检查时使用</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1.7 </w:t>
      </w:r>
      <w:r>
        <w:rPr>
          <w:rFonts w:hint="eastAsia" w:ascii="宋体" w:hAnsi="宋体" w:eastAsia="宋体" w:cs="宋体"/>
          <w:color w:val="auto"/>
          <w:sz w:val="24"/>
          <w:szCs w:val="24"/>
          <w:lang w:eastAsia="zh-CN"/>
        </w:rPr>
        <w:t>联络</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1.7.1</w:t>
      </w:r>
      <w:r>
        <w:rPr>
          <w:rFonts w:hint="eastAsia" w:ascii="宋体" w:hAnsi="宋体" w:eastAsia="宋体" w:cs="宋体"/>
          <w:color w:val="auto"/>
          <w:sz w:val="24"/>
          <w:szCs w:val="24"/>
          <w:lang w:eastAsia="zh-CN"/>
        </w:rPr>
        <w:t>发包人和承包人应当在</w:t>
      </w:r>
      <w:r>
        <w:rPr>
          <w:rFonts w:hint="eastAsia" w:ascii="宋体" w:hAnsi="宋体" w:eastAsia="宋体" w:cs="宋体"/>
          <w:color w:val="auto"/>
          <w:sz w:val="24"/>
          <w:szCs w:val="24"/>
          <w:u w:val="single"/>
          <w:lang w:val="en-US"/>
        </w:rPr>
        <w:t>7</w:t>
      </w:r>
      <w:r>
        <w:rPr>
          <w:rFonts w:hint="eastAsia" w:ascii="宋体" w:hAnsi="宋体" w:eastAsia="宋体" w:cs="宋体"/>
          <w:color w:val="auto"/>
          <w:sz w:val="24"/>
          <w:szCs w:val="24"/>
          <w:lang w:eastAsia="zh-CN"/>
        </w:rPr>
        <w:t>天内将与合同有关的通知、批准、证明、证书、指示、指令、要求、请求、同意、意见、确定和决定等书面函件送达对方当事人。</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1.7.2 </w:t>
      </w:r>
      <w:r>
        <w:rPr>
          <w:rFonts w:hint="eastAsia" w:ascii="宋体" w:hAnsi="宋体" w:eastAsia="宋体" w:cs="宋体"/>
          <w:color w:val="auto"/>
          <w:sz w:val="24"/>
          <w:szCs w:val="24"/>
          <w:lang w:eastAsia="zh-CN"/>
        </w:rPr>
        <w:t>发包人接收文件的地点：</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发包人指定的接收人为：</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承包人接收文件的地点：</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承包人指定的接收人为：</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监理人接收文件的地点：</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监理人指定的接收人为：</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1.10 </w:t>
      </w:r>
      <w:r>
        <w:rPr>
          <w:rFonts w:hint="eastAsia" w:ascii="宋体" w:hAnsi="宋体" w:eastAsia="宋体" w:cs="宋体"/>
          <w:color w:val="auto"/>
          <w:sz w:val="24"/>
          <w:szCs w:val="24"/>
          <w:lang w:eastAsia="zh-CN"/>
        </w:rPr>
        <w:t>交通运输</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1.10.1 </w:t>
      </w:r>
      <w:r>
        <w:rPr>
          <w:rFonts w:hint="eastAsia" w:ascii="宋体" w:hAnsi="宋体" w:eastAsia="宋体" w:cs="宋体"/>
          <w:color w:val="auto"/>
          <w:sz w:val="24"/>
          <w:szCs w:val="24"/>
          <w:lang w:eastAsia="zh-CN"/>
        </w:rPr>
        <w:t>出入现场的权利</w:t>
      </w:r>
    </w:p>
    <w:p>
      <w:pPr>
        <w:keepNext w:val="0"/>
        <w:keepLines w:val="0"/>
        <w:widowControl/>
        <w:suppressLineNumbers w:val="0"/>
        <w:snapToGrid w:val="0"/>
        <w:spacing w:line="300" w:lineRule="auto"/>
        <w:ind w:left="0" w:firstLine="420"/>
        <w:rPr>
          <w:color w:val="auto"/>
        </w:rPr>
      </w:pPr>
      <w:r>
        <w:rPr>
          <w:rFonts w:hint="eastAsia" w:ascii="宋体" w:hAnsi="宋体" w:eastAsia="宋体" w:cs="宋体"/>
          <w:color w:val="auto"/>
          <w:sz w:val="24"/>
          <w:szCs w:val="24"/>
          <w:lang w:eastAsia="zh-CN"/>
        </w:rPr>
        <w:t>关于出入现场的权利的约定：</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1.10.3 </w:t>
      </w:r>
      <w:r>
        <w:rPr>
          <w:rFonts w:hint="eastAsia" w:ascii="宋体" w:hAnsi="宋体" w:eastAsia="宋体" w:cs="宋体"/>
          <w:color w:val="auto"/>
          <w:sz w:val="24"/>
          <w:szCs w:val="24"/>
          <w:lang w:eastAsia="zh-CN"/>
        </w:rPr>
        <w:t>场内交通</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关于场外交通和场内交通的边界的约定：</w:t>
      </w:r>
      <w:r>
        <w:rPr>
          <w:rFonts w:hint="eastAsia" w:ascii="宋体" w:hAnsi="宋体" w:eastAsia="宋体" w:cs="宋体"/>
          <w:color w:val="auto"/>
          <w:sz w:val="24"/>
          <w:szCs w:val="24"/>
          <w:u w:val="single"/>
          <w:lang w:val="en-US"/>
        </w:rPr>
        <w:t>合同签订后3天内向承包人提供施工场地与公共道路的通道</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关于发包人向承包人免费提供满足工程施工需要的场内道路和交通设施的约定：</w:t>
      </w:r>
      <w:r>
        <w:rPr>
          <w:rFonts w:hint="eastAsia" w:ascii="宋体" w:hAnsi="宋体" w:eastAsia="宋体" w:cs="宋体"/>
          <w:color w:val="auto"/>
          <w:sz w:val="24"/>
          <w:szCs w:val="24"/>
          <w:u w:val="single"/>
          <w:lang w:val="en-US"/>
        </w:rPr>
        <w:t>合同签订后3天内向承包人提供施工场地与公共道路的通道</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1.10.4</w:t>
      </w:r>
      <w:r>
        <w:rPr>
          <w:rFonts w:hint="eastAsia" w:ascii="宋体" w:hAnsi="宋体" w:eastAsia="宋体" w:cs="宋体"/>
          <w:color w:val="auto"/>
          <w:sz w:val="24"/>
          <w:szCs w:val="24"/>
          <w:lang w:eastAsia="zh-CN"/>
        </w:rPr>
        <w:t>超大件和超重件的运输</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运输超大件或超重件所需的道路和桥梁临时加固改造费用和其他有关费用由</w:t>
      </w:r>
      <w:r>
        <w:rPr>
          <w:rFonts w:hint="eastAsia" w:ascii="宋体" w:hAnsi="宋体" w:eastAsia="宋体" w:cs="宋体"/>
          <w:color w:val="auto"/>
          <w:sz w:val="24"/>
          <w:szCs w:val="24"/>
          <w:u w:val="single"/>
          <w:lang w:val="en-US"/>
        </w:rPr>
        <w:t>承包人</w:t>
      </w:r>
      <w:r>
        <w:rPr>
          <w:rFonts w:hint="eastAsia" w:ascii="宋体" w:hAnsi="宋体" w:eastAsia="宋体" w:cs="宋体"/>
          <w:color w:val="auto"/>
          <w:sz w:val="24"/>
          <w:szCs w:val="24"/>
          <w:lang w:eastAsia="zh-CN"/>
        </w:rPr>
        <w:t>承担。</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1.11 </w:t>
      </w:r>
      <w:r>
        <w:rPr>
          <w:rFonts w:hint="eastAsia" w:ascii="宋体" w:hAnsi="宋体" w:eastAsia="宋体" w:cs="宋体"/>
          <w:color w:val="auto"/>
          <w:sz w:val="24"/>
          <w:szCs w:val="24"/>
          <w:lang w:eastAsia="zh-CN"/>
        </w:rPr>
        <w:t>知识产权</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1.11.1</w:t>
      </w:r>
      <w:r>
        <w:rPr>
          <w:rFonts w:hint="eastAsia" w:ascii="宋体" w:hAnsi="宋体" w:eastAsia="宋体" w:cs="宋体"/>
          <w:color w:val="auto"/>
          <w:sz w:val="24"/>
          <w:szCs w:val="24"/>
          <w:lang w:eastAsia="zh-CN"/>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u w:val="single"/>
          <w:lang w:val="en-US"/>
        </w:rPr>
        <w:t>发包人</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关于发包人提供的上述文件的使用限制的要求：</w:t>
      </w:r>
      <w:r>
        <w:rPr>
          <w:rFonts w:hint="eastAsia" w:ascii="宋体" w:hAnsi="宋体" w:eastAsia="宋体" w:cs="宋体"/>
          <w:color w:val="auto"/>
          <w:sz w:val="24"/>
          <w:szCs w:val="24"/>
          <w:u w:val="single"/>
          <w:lang w:val="en-US"/>
        </w:rPr>
        <w:t>承包人未经发包人同意，不得将本工程图纸转给第三人。工程质量保修期满后，除承包人存档需要的图纸外，应将全部图纸退还给发包人</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1.11.2 </w:t>
      </w:r>
      <w:r>
        <w:rPr>
          <w:rFonts w:hint="eastAsia" w:ascii="宋体" w:hAnsi="宋体" w:eastAsia="宋体" w:cs="宋体"/>
          <w:color w:val="auto"/>
          <w:sz w:val="24"/>
          <w:szCs w:val="24"/>
          <w:lang w:eastAsia="zh-CN"/>
        </w:rPr>
        <w:t>关于承包人为实施工程所编制文件的著作权的归属：</w:t>
      </w:r>
      <w:r>
        <w:rPr>
          <w:rFonts w:hint="eastAsia" w:ascii="宋体" w:hAnsi="宋体" w:eastAsia="宋体" w:cs="宋体"/>
          <w:color w:val="auto"/>
          <w:sz w:val="24"/>
          <w:szCs w:val="24"/>
          <w:u w:val="single"/>
          <w:lang w:val="en-US"/>
        </w:rPr>
        <w:t>按通用条款执行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关于承包人提供的上述文件的使用限制的要求：</w:t>
      </w:r>
      <w:r>
        <w:rPr>
          <w:rFonts w:hint="eastAsia" w:ascii="宋体" w:hAnsi="宋体" w:eastAsia="宋体" w:cs="宋体"/>
          <w:color w:val="auto"/>
          <w:sz w:val="24"/>
          <w:szCs w:val="24"/>
          <w:u w:val="single"/>
          <w:lang w:val="en-US"/>
        </w:rPr>
        <w:t>按通用条款执行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1.11.4 </w:t>
      </w:r>
      <w:r>
        <w:rPr>
          <w:rFonts w:hint="eastAsia" w:ascii="宋体" w:hAnsi="宋体" w:eastAsia="宋体" w:cs="宋体"/>
          <w:color w:val="auto"/>
          <w:sz w:val="24"/>
          <w:szCs w:val="24"/>
          <w:lang w:eastAsia="zh-CN"/>
        </w:rPr>
        <w:t>承包人在施工过程中所采用的专利、专有技术、技术秘密的使用费的承担方式：</w:t>
      </w:r>
      <w:r>
        <w:rPr>
          <w:rFonts w:hint="eastAsia" w:ascii="宋体" w:hAnsi="宋体" w:eastAsia="宋体" w:cs="宋体"/>
          <w:color w:val="auto"/>
          <w:sz w:val="24"/>
          <w:szCs w:val="24"/>
          <w:u w:val="single"/>
          <w:lang w:val="en-US"/>
        </w:rPr>
        <w:t>由承包人承担，已包含在合同价格中</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1.13</w:t>
      </w:r>
      <w:r>
        <w:rPr>
          <w:rFonts w:hint="eastAsia" w:ascii="宋体" w:hAnsi="宋体" w:eastAsia="宋体" w:cs="宋体"/>
          <w:color w:val="auto"/>
          <w:sz w:val="24"/>
          <w:szCs w:val="24"/>
          <w:lang w:eastAsia="zh-CN"/>
        </w:rPr>
        <w:t>工程量清单错误的修正</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出现工程量清单错误时，是否调整合同价格：</w:t>
      </w:r>
      <w:r>
        <w:rPr>
          <w:rFonts w:hint="eastAsia" w:ascii="宋体" w:hAnsi="宋体" w:eastAsia="宋体" w:cs="宋体"/>
          <w:color w:val="auto"/>
          <w:sz w:val="24"/>
          <w:szCs w:val="24"/>
          <w:u w:val="single"/>
          <w:lang w:val="en-US"/>
        </w:rPr>
        <w:t>是</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允许调整合同价格的工程量偏差范围：</w:t>
      </w:r>
      <w:r>
        <w:rPr>
          <w:rFonts w:hint="eastAsia" w:ascii="宋体" w:hAnsi="宋体" w:eastAsia="宋体" w:cs="宋体"/>
          <w:color w:val="auto"/>
          <w:sz w:val="24"/>
          <w:szCs w:val="24"/>
          <w:u w:val="single"/>
          <w:lang w:eastAsia="zh-CN"/>
        </w:rPr>
        <w:t>实行总价合同的招标工程，包干范围内的工程量中标人应在中标通知书发出之日起28天内就包干范围内的工程量向招标人提出核对申请，核对后工程量清单经建设单位或授权单位审核确认后作为合同价款调整及竣工结算的依据。逾期未提出申请的，视为对包干范围内的工程量无异议。经核对，确认工程量单项子目误差在±3%以内（含±3%）且估算价不超过5000元的，招标人（发包人）不予调整工程量；若单项子目工程量误差在±3%以内（含±3%），但估算价超过5000 元或有遗漏项目或单项子目工程量误差超过±3%的，经双方确认后纳入工程结算。未在28天内核对清单工程量，视同认可，逾期不予核对，按固定总价包干的合同价进行结算。工程竣工价款结算时不得对招标施工图纸少算、缺漏的工程量进行调整。中标人（承包人）违反本规定不签订合同、不履行合同，给招标人（发包人）造成经济损失的应当承担赔偿责任</w:t>
      </w:r>
      <w:r>
        <w:rPr>
          <w:rFonts w:hint="eastAsia" w:ascii="宋体" w:hAnsi="宋体" w:eastAsia="宋体" w:cs="宋体"/>
          <w:color w:val="auto"/>
          <w:sz w:val="24"/>
          <w:szCs w:val="24"/>
          <w:lang w:eastAsia="zh-CN"/>
        </w:rPr>
        <w:t>。</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2. </w:t>
      </w:r>
      <w:r>
        <w:rPr>
          <w:rFonts w:hint="eastAsia" w:ascii="宋体" w:hAnsi="宋体" w:eastAsia="宋体" w:cs="宋体"/>
          <w:color w:val="auto"/>
          <w:lang w:eastAsia="zh-CN"/>
        </w:rPr>
        <w:t>发包人</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2.2 </w:t>
      </w:r>
      <w:r>
        <w:rPr>
          <w:rFonts w:hint="eastAsia" w:ascii="宋体" w:hAnsi="宋体" w:eastAsia="宋体" w:cs="宋体"/>
          <w:color w:val="auto"/>
          <w:sz w:val="24"/>
          <w:szCs w:val="24"/>
          <w:lang w:eastAsia="zh-CN"/>
        </w:rPr>
        <w:t>发包人代表</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发包人代表：</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姓</w:t>
      </w:r>
      <w:r>
        <w:rPr>
          <w:rFonts w:hint="eastAsia" w:ascii="宋体" w:hAnsi="宋体" w:eastAsia="宋体" w:cs="宋体"/>
          <w:color w:val="auto"/>
          <w:sz w:val="24"/>
          <w:szCs w:val="24"/>
          <w:lang w:val="en-US"/>
        </w:rPr>
        <w:t>  </w:t>
      </w:r>
      <w:r>
        <w:rPr>
          <w:rFonts w:hint="eastAsia" w:ascii="宋体" w:hAnsi="宋体" w:eastAsia="宋体" w:cs="宋体"/>
          <w:color w:val="auto"/>
          <w:sz w:val="24"/>
          <w:szCs w:val="24"/>
          <w:lang w:eastAsia="zh-CN"/>
        </w:rPr>
        <w:t>名：</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身份证号：</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职</w:t>
      </w:r>
      <w:r>
        <w:rPr>
          <w:rFonts w:hint="eastAsia" w:ascii="宋体" w:hAnsi="宋体" w:eastAsia="宋体" w:cs="宋体"/>
          <w:color w:val="auto"/>
          <w:sz w:val="24"/>
          <w:szCs w:val="24"/>
          <w:lang w:val="en-US"/>
        </w:rPr>
        <w:t>  </w:t>
      </w:r>
      <w:r>
        <w:rPr>
          <w:rFonts w:hint="eastAsia" w:ascii="宋体" w:hAnsi="宋体" w:eastAsia="宋体" w:cs="宋体"/>
          <w:color w:val="auto"/>
          <w:sz w:val="24"/>
          <w:szCs w:val="24"/>
          <w:lang w:eastAsia="zh-CN"/>
        </w:rPr>
        <w:t>务：</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联系电话：</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电子信箱：</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通信地址：</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rPr>
          <w:color w:val="auto"/>
        </w:rPr>
      </w:pPr>
      <w:r>
        <w:rPr>
          <w:rFonts w:hint="eastAsia" w:ascii="宋体" w:hAnsi="宋体" w:eastAsia="宋体" w:cs="宋体"/>
          <w:color w:val="auto"/>
          <w:sz w:val="24"/>
          <w:szCs w:val="24"/>
          <w:lang w:eastAsia="zh-CN"/>
        </w:rPr>
        <w:t>发包人对发包人代表的授权范围如下：</w:t>
      </w:r>
      <w:r>
        <w:rPr>
          <w:rFonts w:hint="eastAsia" w:ascii="宋体" w:hAnsi="宋体" w:eastAsia="宋体" w:cs="宋体"/>
          <w:color w:val="auto"/>
          <w:sz w:val="24"/>
          <w:szCs w:val="24"/>
          <w:u w:val="single"/>
          <w:lang w:val="en-US"/>
        </w:rPr>
        <w:t>代表发包人对本工程施工过程中的工程质量、进度及相关投资、安全文明施工等进行监督和检查；在监理工程师的协助下严格控制工程进度和投资；协调解决由发包人处理的有关问题，并对工程量进行确认。详见发包人授权委托书</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2.4 </w:t>
      </w:r>
      <w:r>
        <w:rPr>
          <w:rFonts w:hint="eastAsia" w:ascii="宋体" w:hAnsi="宋体" w:eastAsia="宋体" w:cs="宋体"/>
          <w:color w:val="auto"/>
          <w:sz w:val="24"/>
          <w:szCs w:val="24"/>
          <w:lang w:eastAsia="zh-CN"/>
        </w:rPr>
        <w:t>施工现场、施工条件和基础资料的提供</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2.4.1 </w:t>
      </w:r>
      <w:r>
        <w:rPr>
          <w:rFonts w:hint="eastAsia" w:ascii="宋体" w:hAnsi="宋体" w:eastAsia="宋体" w:cs="宋体"/>
          <w:color w:val="auto"/>
          <w:sz w:val="24"/>
          <w:szCs w:val="24"/>
          <w:lang w:eastAsia="zh-CN"/>
        </w:rPr>
        <w:t>提供施工现场</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关于发包人移交施工现场的期限要求：</w:t>
      </w:r>
      <w:r>
        <w:rPr>
          <w:rFonts w:hint="eastAsia" w:ascii="宋体" w:hAnsi="宋体" w:cs="宋体"/>
          <w:color w:val="auto"/>
          <w:spacing w:val="0"/>
          <w:position w:val="0"/>
          <w:sz w:val="24"/>
          <w:szCs w:val="24"/>
          <w:highlight w:val="none"/>
          <w:u w:val="single"/>
        </w:rPr>
        <w:t>在工程施工开工日期前</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2.4.2 </w:t>
      </w:r>
      <w:r>
        <w:rPr>
          <w:rFonts w:hint="eastAsia" w:ascii="宋体" w:hAnsi="宋体" w:eastAsia="宋体" w:cs="宋体"/>
          <w:color w:val="auto"/>
          <w:sz w:val="24"/>
          <w:szCs w:val="24"/>
          <w:lang w:eastAsia="zh-CN"/>
        </w:rPr>
        <w:t>提供施工条件</w:t>
      </w:r>
    </w:p>
    <w:p>
      <w:pPr>
        <w:keepNext w:val="0"/>
        <w:keepLines w:val="0"/>
        <w:widowControl/>
        <w:suppressLineNumbers w:val="0"/>
        <w:snapToGrid w:val="0"/>
        <w:spacing w:line="300" w:lineRule="auto"/>
        <w:ind w:left="0" w:firstLine="420"/>
        <w:rPr>
          <w:color w:val="auto"/>
        </w:rPr>
      </w:pPr>
      <w:r>
        <w:rPr>
          <w:rFonts w:hint="eastAsia" w:ascii="宋体" w:hAnsi="宋体" w:eastAsia="宋体" w:cs="宋体"/>
          <w:color w:val="auto"/>
          <w:sz w:val="24"/>
          <w:szCs w:val="24"/>
          <w:lang w:eastAsia="zh-CN"/>
        </w:rPr>
        <w:t>关于发包人应负责提供施工所需要的条件，包括：</w:t>
      </w:r>
      <w:r>
        <w:rPr>
          <w:rFonts w:hint="eastAsia" w:ascii="宋体" w:hAnsi="宋体" w:eastAsia="宋体" w:cs="宋体"/>
          <w:color w:val="auto"/>
          <w:sz w:val="24"/>
          <w:szCs w:val="24"/>
          <w:u w:val="single"/>
          <w:lang w:val="en-US"/>
        </w:rPr>
        <w:t>发包人在合同签订后5天内提供水、电接口，承包人自行引至所需位置，其安装费用及水电费用由承包人负责。承包人在接到缴费通知书5日内按时到所指定地点缴交，逾期发包人有权从承包人当期的工程进度款中扣除代为缴交，承包人不得有异议</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2.5 </w:t>
      </w:r>
      <w:r>
        <w:rPr>
          <w:rFonts w:hint="eastAsia" w:ascii="宋体" w:hAnsi="宋体" w:eastAsia="宋体" w:cs="宋体"/>
          <w:color w:val="auto"/>
          <w:sz w:val="24"/>
          <w:szCs w:val="24"/>
          <w:lang w:eastAsia="zh-CN"/>
        </w:rPr>
        <w:t>资金来源证明及支付担保</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发包人提供资金来源证明的期限要求：</w:t>
      </w:r>
      <w:r>
        <w:rPr>
          <w:rFonts w:hint="eastAsia" w:ascii="宋体" w:hAnsi="宋体" w:eastAsia="宋体" w:cs="宋体"/>
          <w:color w:val="auto"/>
          <w:sz w:val="24"/>
          <w:szCs w:val="24"/>
          <w:u w:val="single"/>
          <w:lang w:val="en-US"/>
        </w:rPr>
        <w:t>无</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发包人是否提供支付担保：</w:t>
      </w:r>
      <w:r>
        <w:rPr>
          <w:rFonts w:hint="eastAsia" w:ascii="宋体" w:hAnsi="宋体" w:eastAsia="宋体" w:cs="宋体"/>
          <w:color w:val="auto"/>
          <w:sz w:val="24"/>
          <w:szCs w:val="24"/>
          <w:u w:val="single"/>
          <w:lang w:val="en-US"/>
        </w:rPr>
        <w:t>无</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发包人提供支付担保的形式：</w:t>
      </w:r>
      <w:r>
        <w:rPr>
          <w:rFonts w:hint="eastAsia" w:ascii="宋体" w:hAnsi="宋体" w:eastAsia="宋体" w:cs="宋体"/>
          <w:color w:val="auto"/>
          <w:sz w:val="24"/>
          <w:szCs w:val="24"/>
          <w:u w:val="single"/>
          <w:lang w:val="en-US"/>
        </w:rPr>
        <w:t>无</w:t>
      </w:r>
      <w:r>
        <w:rPr>
          <w:rFonts w:hint="eastAsia" w:ascii="宋体" w:hAnsi="宋体" w:eastAsia="宋体" w:cs="宋体"/>
          <w:color w:val="auto"/>
          <w:sz w:val="24"/>
          <w:szCs w:val="24"/>
          <w:lang w:eastAsia="zh-CN"/>
        </w:rPr>
        <w:t>。</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3. </w:t>
      </w:r>
      <w:r>
        <w:rPr>
          <w:rFonts w:hint="eastAsia" w:ascii="宋体" w:hAnsi="宋体" w:eastAsia="宋体" w:cs="宋体"/>
          <w:color w:val="auto"/>
          <w:lang w:eastAsia="zh-CN"/>
        </w:rPr>
        <w:t>承包人</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3.1 </w:t>
      </w:r>
      <w:r>
        <w:rPr>
          <w:rFonts w:hint="eastAsia" w:ascii="宋体" w:hAnsi="宋体" w:eastAsia="宋体" w:cs="宋体"/>
          <w:color w:val="auto"/>
          <w:sz w:val="24"/>
          <w:szCs w:val="24"/>
          <w:lang w:eastAsia="zh-CN"/>
        </w:rPr>
        <w:t>承包人的一般义务</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9</w:t>
      </w:r>
      <w:r>
        <w:rPr>
          <w:rFonts w:hint="eastAsia" w:ascii="宋体" w:hAnsi="宋体" w:eastAsia="宋体" w:cs="宋体"/>
          <w:color w:val="auto"/>
          <w:sz w:val="24"/>
          <w:szCs w:val="24"/>
          <w:lang w:eastAsia="zh-CN"/>
        </w:rPr>
        <w:t>）承包人提交的竣工资料的内容：</w:t>
      </w:r>
      <w:r>
        <w:rPr>
          <w:rFonts w:hint="eastAsia" w:ascii="宋体" w:hAnsi="宋体" w:eastAsia="宋体" w:cs="宋体"/>
          <w:color w:val="auto"/>
          <w:sz w:val="24"/>
          <w:szCs w:val="24"/>
          <w:u w:val="single"/>
          <w:lang w:val="en-US"/>
        </w:rPr>
        <w:t>竣工图、并应交付相应的施工变更签证和隐蔽工程验收签证，以及建筑装修材料“三证”、机电设备“三证”和说明书等一切资料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承包人需要提交的竣工资料套数：</w:t>
      </w:r>
      <w:r>
        <w:rPr>
          <w:rFonts w:hint="eastAsia" w:ascii="宋体" w:hAnsi="宋体" w:eastAsia="宋体" w:cs="宋体"/>
          <w:color w:val="auto"/>
          <w:sz w:val="24"/>
          <w:szCs w:val="24"/>
          <w:u w:val="single"/>
          <w:lang w:val="en-US"/>
        </w:rPr>
        <w:t>承包人向发包人提供竣工图一式肆份，并应交付相应的施工变更签证和隐蔽工程验收签证，以及建筑装修材料“三证”、机电设备“三证”和说明书等一切资料一式肆套（其中一套为原始材料）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承包人提交的竣工资料的费用承担：</w:t>
      </w:r>
      <w:r>
        <w:rPr>
          <w:rFonts w:hint="eastAsia" w:ascii="宋体" w:hAnsi="宋体" w:eastAsia="宋体" w:cs="宋体"/>
          <w:color w:val="auto"/>
          <w:sz w:val="24"/>
          <w:szCs w:val="24"/>
          <w:u w:val="single"/>
          <w:lang w:val="en-US"/>
        </w:rPr>
        <w:t>由承包人承担</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承包人提交的竣工资料移交时间：</w:t>
      </w:r>
      <w:r>
        <w:rPr>
          <w:rFonts w:hint="eastAsia" w:ascii="宋体" w:hAnsi="宋体" w:eastAsia="宋体" w:cs="宋体"/>
          <w:color w:val="auto"/>
          <w:sz w:val="24"/>
          <w:szCs w:val="24"/>
          <w:u w:val="single"/>
          <w:lang w:val="en-US"/>
        </w:rPr>
        <w:t>竣工工程资料应当在合同规定的验收完成后28天内提交给发包人</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承包人提交的竣工资料形式要求：</w:t>
      </w:r>
      <w:r>
        <w:rPr>
          <w:rFonts w:hint="eastAsia" w:ascii="宋体" w:hAnsi="宋体" w:eastAsia="宋体" w:cs="宋体"/>
          <w:color w:val="auto"/>
          <w:sz w:val="24"/>
          <w:szCs w:val="24"/>
          <w:u w:val="single"/>
          <w:lang w:val="en-US"/>
        </w:rPr>
        <w:t>上述文件的原始资料必须齐全，符合工程技术档案要求，并按规范装订成册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10</w:t>
      </w:r>
      <w:r>
        <w:rPr>
          <w:rFonts w:hint="eastAsia" w:ascii="宋体" w:hAnsi="宋体" w:eastAsia="宋体" w:cs="宋体"/>
          <w:color w:val="auto"/>
          <w:sz w:val="24"/>
          <w:szCs w:val="24"/>
          <w:lang w:eastAsia="zh-CN"/>
        </w:rPr>
        <w:t>）承包人应履行的其他义务：</w:t>
      </w:r>
      <w:r>
        <w:rPr>
          <w:rFonts w:hint="eastAsia" w:ascii="宋体" w:hAnsi="宋体" w:eastAsia="宋体" w:cs="宋体"/>
          <w:color w:val="auto"/>
          <w:sz w:val="24"/>
          <w:szCs w:val="24"/>
          <w:u w:val="single"/>
          <w:lang w:val="en-US"/>
        </w:rPr>
        <w:t>①需由设计资质等级和业务范围允许的承包人完成的设计文件提交时间： 无 ②应提供计划、报表的名称及完成时间：承包人在签订施工承包合同后7天内，向监理工程师提交2份其格式和内容符合监理工程师合理规定的工程进度计划，每月的25日上报当月完成的工程量和下月工程进度计划。 ③承担施工安全保卫工作及非夜间施工照明的责任和要求：在实施和完成本合同工程过程中，承包人应承担以下发生全部责任和费用①时刻关注和采取适当措施保障所有在场工作人员的安全，保证工程施工安全，现场施工应当保持有条不紊，避免上述人员的安全受到威胁；②为了保护本合同工程免遭损坏，或为了现场附近和过往群众的安全与方便，在必要的时候和地方，或当监理工程师或有关主管部门要求时，应负责提供照明、警卫、护栅、警告标志等安全防护措施，并承担责任及费用。③施工期间，工地发生的一切安全、违法、违规事件，承包人负责处理并承担一切责任；其余按本合同通用条款执行，并由承包人承担责任和费用，且遵守发包人和监理工程师对该工程的安全罚则。 ④向发包人提供的办公和生活房屋及设施的要求：承包人应积极配合向发包人提供施工现场的办公用房等； ⑤需承包人办理的有关施工场地交通、环卫和施工噪声管理等手续：由承包人按照有关部门要求及时办理，并承担责任和费用； ⑥已完工程成品保护的特殊要求及费用承担：竣工验收交付发包人使用前，承包人应负责全部成品半成品的保护工作，并承担全部费用。 ⑦施工场地周围地下管线和邻近建筑物、构筑物（含文物保护建筑）、古树名木的保护要求及费用承担：承包人应当详细了解施工场地周围地下管线和邻近建筑物、构筑物(含文物保护建筑)、古树名木的保护要求，采取适当措施予以保护。如果上述事件发生时，承包人应当承担全部责任和费用，并使发包人免受任何损失，包括经济和名誉； ⑧施工场地清洁卫生的要求：承包人应负责整个场地的安全文明卫生管理，做到文明施工、保持施工场地清洁。本工程现场所有的施工建筑垃圾均应全部清运出现场，并保证清运车不发生洒漏。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如不按发包人或监理工程师的要求及时完成清理，发包人有权雇请他人完成，因此发生的一切费用从工程款中扣除。 ⑨双方约定承包人应做的其他工作：A为确保工程施工进度、质量和安全，履行承包人投标时的承诺，承包人保证按照经甲方监理工程师批准的工程施工进度计划，及时派出投标时承诺拟派出的现场施工主要管理人员（项目经理、项目技术负责人、施工员、质量员、安全员、预算员和材料员），和施工班组技术骨干以及施工人员到发包人工地现场，做好工程各项施工工作。承包人未经监理工程师和甲方批准，不得更换投标时承诺的上述拟派出施工现场主要施工管理人员。项目管理班子成员因故确属不履行职责需要变更的，其接替人员的资格、业绩和信誉不得低于中标时的条件，并经监理工程师和甲方批准，项目管理班子主要人员更换最多不得超过三分之一，并按照以下标准由承包人向发包人交纳赔偿金（不可抗力除外）：更换项目经理每人次壹拾万元人民币；更换项目技术负责人每人次壹拾万元人民币；更换其他人员每人每次叁万元。若承包人不能按组织上述人员到位，参照以上标准予以处罚，并责令承包人履行承诺，若承包人不履行承诺，发包人有权取消承包人中标资格，其全部责任和损失同承包人承担。B在施工现场使用的施工机械设备，其设备的性能、规格和数量不得低于投标承诺书和施工组织设计（方案）中所拟采用的施工机械设备。C承包人应负责已完工部分工程的保护工作；应做好防雷电、防火等的安全防护工作；承担施工现场和施工人员的治安、环境卫生、计生、外来人员暂住手续等管理工作和相关费用；若发生伤亡及任何事故，均由承包人全部负责其责任和一切费用。D承包人若发现合同图纸及/或工料规范之内或互相之间有任何差异，须立刻以书面通知发包人，说明差异之处，而发包人须给予书面指令。承包人在施工过程中若有发现设计图纸缺陷，应及时报告监理工程师和发包人并立即停止缺陷部位的施工，否则，造成经济损失由承包人自行负责。E承包人必须加强劳动保险费、施工现场安全和文明施工措施费用使用管理，做到专款专用。F承包人必须遵守泉州市地方的法规，服从行业主管部门的管理，凡涉及到承包人的安监、施工备案、车辆准运等有关证、照，均由承包人自行办理，发包人给予配合，发生的费用全部由承包人承担，包括外地施工单位进泉州施工备案费用、排污管理费、噪声管理费、垃圾管理费、废土处理费等。G从合同生效之日起直到合同终止的期间内，承包人应承担合同规定的现场各项临时房屋、设施、设备的修建、购置、安装、管理、保养和维修，并提供必要的设施保洁服务。承包人提供的各项工作和生活设备及设施，应事先提交书面说明或必要的图纸并经发包人和监理工程师审阅批准。至合同终止，上述各项设备和设施均由承包人自行收回和拆除。承包人提供的以上条件和服务被认为包含在承包人的投标报价中。H发包人需要时，可能对施工做出某些限制和配合要求，承包人应按照要求做出必要的配合，并承担可能因此而引起工效降低需增加的费用</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3.2 </w:t>
      </w:r>
      <w:r>
        <w:rPr>
          <w:rFonts w:hint="eastAsia" w:ascii="宋体" w:hAnsi="宋体" w:eastAsia="宋体" w:cs="宋体"/>
          <w:color w:val="auto"/>
          <w:sz w:val="24"/>
          <w:szCs w:val="24"/>
          <w:lang w:eastAsia="zh-CN"/>
        </w:rPr>
        <w:t>项目负责人</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3.2.1 </w:t>
      </w:r>
      <w:r>
        <w:rPr>
          <w:rFonts w:hint="eastAsia" w:ascii="宋体" w:hAnsi="宋体" w:eastAsia="宋体" w:cs="宋体"/>
          <w:color w:val="auto"/>
          <w:sz w:val="24"/>
          <w:szCs w:val="24"/>
          <w:lang w:eastAsia="zh-CN"/>
        </w:rPr>
        <w:t>项目负责人：</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姓</w:t>
      </w:r>
      <w:r>
        <w:rPr>
          <w:rFonts w:hint="eastAsia" w:ascii="宋体" w:hAnsi="宋体" w:eastAsia="宋体" w:cs="宋体"/>
          <w:color w:val="auto"/>
          <w:sz w:val="24"/>
          <w:szCs w:val="24"/>
          <w:lang w:val="en-US"/>
        </w:rPr>
        <w:t>  </w:t>
      </w:r>
      <w:r>
        <w:rPr>
          <w:rFonts w:hint="eastAsia" w:ascii="宋体" w:hAnsi="宋体" w:eastAsia="宋体" w:cs="宋体"/>
          <w:color w:val="auto"/>
          <w:sz w:val="24"/>
          <w:szCs w:val="24"/>
          <w:lang w:eastAsia="zh-CN"/>
        </w:rPr>
        <w:t>名：</w:t>
      </w:r>
      <w:r>
        <w:rPr>
          <w:rFonts w:hint="eastAsia" w:ascii="宋体" w:hAnsi="宋体" w:eastAsia="宋体" w:cs="宋体"/>
          <w:color w:val="auto"/>
          <w:sz w:val="24"/>
          <w:szCs w:val="24"/>
          <w:u w:val="single"/>
          <w:lang w:val="en-US"/>
        </w:rPr>
        <w:t>（签订合同时按照承包人的投标承诺填入）</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身份证号：</w:t>
      </w:r>
      <w:r>
        <w:rPr>
          <w:rFonts w:hint="eastAsia" w:ascii="宋体" w:hAnsi="宋体" w:eastAsia="宋体" w:cs="宋体"/>
          <w:color w:val="auto"/>
          <w:sz w:val="24"/>
          <w:szCs w:val="24"/>
          <w:u w:val="single"/>
          <w:lang w:val="en-US"/>
        </w:rPr>
        <w:t>（签订合同时按照承包人的投标承诺填入）</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建造师执业资格等级：</w:t>
      </w:r>
      <w:r>
        <w:rPr>
          <w:rFonts w:hint="eastAsia" w:ascii="宋体" w:hAnsi="宋体" w:eastAsia="宋体" w:cs="宋体"/>
          <w:color w:val="auto"/>
          <w:sz w:val="24"/>
          <w:szCs w:val="24"/>
          <w:u w:val="single"/>
          <w:lang w:val="en-US"/>
        </w:rPr>
        <w:t>（签订合同时按照承包人的投标承诺填入）</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建造师注册证书号：</w:t>
      </w:r>
      <w:r>
        <w:rPr>
          <w:rFonts w:hint="eastAsia" w:ascii="宋体" w:hAnsi="宋体" w:eastAsia="宋体" w:cs="宋体"/>
          <w:color w:val="auto"/>
          <w:sz w:val="24"/>
          <w:szCs w:val="24"/>
          <w:u w:val="single"/>
          <w:lang w:val="en-US"/>
        </w:rPr>
        <w:t>（签订合同时按照承包人的投标承诺填入）</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建造师执业印章号：</w:t>
      </w:r>
      <w:r>
        <w:rPr>
          <w:rFonts w:hint="eastAsia" w:ascii="宋体" w:hAnsi="宋体" w:eastAsia="宋体" w:cs="宋体"/>
          <w:color w:val="auto"/>
          <w:sz w:val="24"/>
          <w:szCs w:val="24"/>
          <w:u w:val="single"/>
          <w:lang w:val="en-US"/>
        </w:rPr>
        <w:t>（签订合同时按照承包人的投标承诺填入）</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安全生产考核合格证书号：</w:t>
      </w:r>
      <w:r>
        <w:rPr>
          <w:rFonts w:hint="eastAsia" w:ascii="宋体" w:hAnsi="宋体" w:eastAsia="宋体" w:cs="宋体"/>
          <w:color w:val="auto"/>
          <w:sz w:val="24"/>
          <w:szCs w:val="24"/>
          <w:u w:val="single"/>
          <w:lang w:val="en-US"/>
        </w:rPr>
        <w:t>（签订合同时按照承包人的投标承诺填入）</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联系电话：</w:t>
      </w:r>
      <w:r>
        <w:rPr>
          <w:rFonts w:hint="eastAsia" w:ascii="宋体" w:hAnsi="宋体" w:eastAsia="宋体" w:cs="宋体"/>
          <w:color w:val="auto"/>
          <w:sz w:val="24"/>
          <w:szCs w:val="24"/>
          <w:u w:val="single"/>
          <w:lang w:val="en-US"/>
        </w:rPr>
        <w:t>（签订合同时按照承包人的投标承诺填入）</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电子信箱：</w:t>
      </w:r>
      <w:r>
        <w:rPr>
          <w:rFonts w:hint="eastAsia" w:ascii="宋体" w:hAnsi="宋体" w:eastAsia="宋体" w:cs="宋体"/>
          <w:color w:val="auto"/>
          <w:sz w:val="24"/>
          <w:szCs w:val="24"/>
          <w:u w:val="single"/>
          <w:lang w:val="en-US"/>
        </w:rPr>
        <w:t>（签订合同时按照承包人的投标承诺填入）</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通信地址：</w:t>
      </w:r>
      <w:r>
        <w:rPr>
          <w:rFonts w:hint="eastAsia" w:ascii="宋体" w:hAnsi="宋体" w:eastAsia="宋体" w:cs="宋体"/>
          <w:color w:val="auto"/>
          <w:sz w:val="24"/>
          <w:szCs w:val="24"/>
          <w:u w:val="single"/>
          <w:lang w:val="en-US"/>
        </w:rPr>
        <w:t>（签订合同时按照承包人的投标承诺填入）</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承包人对项目负责人的授权范围如下：</w:t>
      </w:r>
      <w:r>
        <w:rPr>
          <w:rFonts w:hint="eastAsia" w:ascii="宋体" w:hAnsi="宋体" w:eastAsia="宋体" w:cs="宋体"/>
          <w:color w:val="auto"/>
          <w:sz w:val="24"/>
          <w:szCs w:val="24"/>
          <w:u w:val="single"/>
          <w:lang w:val="en-US"/>
        </w:rPr>
        <w:t>代表承包人负责执行项目合同，负责项目实施的计划、组织、领导和控制，对项目的质量、安全、费用和进度全面负责</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关于项目负责人每月在施工现场的时间要求：</w:t>
      </w:r>
      <w:r>
        <w:rPr>
          <w:rFonts w:hint="eastAsia" w:ascii="宋体" w:hAnsi="宋体" w:eastAsia="宋体" w:cs="宋体"/>
          <w:color w:val="auto"/>
          <w:sz w:val="24"/>
          <w:szCs w:val="24"/>
          <w:u w:val="single"/>
          <w:lang w:val="en-US"/>
        </w:rPr>
        <w:t>承包人的项目负责人必须常驻工地不得兼职（常驻是指：每月不少于25天）</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承包人未提交劳动合同，以及没有为项目负责人缴纳社会保险证明的违约责任：</w:t>
      </w:r>
      <w:r>
        <w:rPr>
          <w:rFonts w:hint="eastAsia" w:ascii="宋体" w:hAnsi="宋体" w:eastAsia="宋体" w:cs="宋体"/>
          <w:color w:val="auto"/>
          <w:sz w:val="24"/>
          <w:szCs w:val="24"/>
          <w:u w:val="single"/>
          <w:lang w:val="en-US"/>
        </w:rPr>
        <w:t>按通用条款执行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项目负责人未经批准，擅自离开施工现场的违约责任：</w:t>
      </w:r>
      <w:r>
        <w:rPr>
          <w:rFonts w:hint="eastAsia" w:ascii="宋体" w:hAnsi="宋体" w:eastAsia="宋体" w:cs="宋体"/>
          <w:color w:val="auto"/>
          <w:sz w:val="24"/>
          <w:szCs w:val="24"/>
          <w:u w:val="single"/>
          <w:lang w:val="en-US"/>
        </w:rPr>
        <w:t>项目负责人在整个施工期间离开现场累计时间不能超过总工期的10%，否则每超过一天扣罚人民币10000元（特殊情况经业主代表同意的除外）</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3.2.3 </w:t>
      </w:r>
      <w:r>
        <w:rPr>
          <w:rFonts w:hint="eastAsia" w:ascii="宋体" w:hAnsi="宋体" w:eastAsia="宋体" w:cs="宋体"/>
          <w:color w:val="auto"/>
          <w:sz w:val="24"/>
          <w:szCs w:val="24"/>
          <w:lang w:eastAsia="zh-CN"/>
        </w:rPr>
        <w:t>承包人擅自更换项目负责人的违约责任：</w:t>
      </w:r>
      <w:r>
        <w:rPr>
          <w:rFonts w:hint="eastAsia" w:ascii="宋体" w:hAnsi="宋体" w:eastAsia="宋体" w:cs="宋体"/>
          <w:color w:val="auto"/>
          <w:sz w:val="24"/>
          <w:szCs w:val="24"/>
          <w:u w:val="single"/>
          <w:lang w:val="en-US"/>
        </w:rPr>
        <w:t>承包人在收到监理工程师签发的开工令之前，投标书内承诺配备的工地人员必须在监理工程师指定的日期进场，以保证项目管理机构有效运转。工程施工的项目负责人和项目管理班子其他人员必须是该工程中标时所承诺的项目管理班子成员，项目管理班子成员不得擅自变更。项目管理班子成员因刑事犯罪、伤病丧失工作能力等确属不能履行职责需要变更的，所变更人员的资格、业绩和信誉不得低于中标时的条件，其余需要更换的，都不在免除责任范围内。施工期间承包方单方面提出变更中标的项目负责人或技术负责人的，承包方应向发包人支付违约金人民币10万元/人次</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3.2.4 </w:t>
      </w:r>
      <w:r>
        <w:rPr>
          <w:rFonts w:hint="eastAsia" w:ascii="宋体" w:hAnsi="宋体" w:eastAsia="宋体" w:cs="宋体"/>
          <w:color w:val="auto"/>
          <w:sz w:val="24"/>
          <w:szCs w:val="24"/>
          <w:lang w:eastAsia="zh-CN"/>
        </w:rPr>
        <w:t>承包人无正当理由拒绝更换项目负责人的违约责任：</w:t>
      </w:r>
      <w:r>
        <w:rPr>
          <w:rFonts w:hint="eastAsia" w:ascii="宋体" w:hAnsi="宋体" w:eastAsia="宋体" w:cs="宋体"/>
          <w:color w:val="auto"/>
          <w:sz w:val="24"/>
          <w:szCs w:val="24"/>
          <w:u w:val="single"/>
          <w:lang w:val="en-US"/>
        </w:rPr>
        <w:t>承包人无正当理由拒绝更换项目负责人，发包人有权单方面责令其退场，中止合同、没收履约保函（保证金），并要求其赔偿发包人的一切损失</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3.3 </w:t>
      </w:r>
      <w:r>
        <w:rPr>
          <w:rFonts w:hint="eastAsia" w:ascii="宋体" w:hAnsi="宋体" w:eastAsia="宋体" w:cs="宋体"/>
          <w:color w:val="auto"/>
          <w:sz w:val="24"/>
          <w:szCs w:val="24"/>
          <w:lang w:eastAsia="zh-CN"/>
        </w:rPr>
        <w:t>承包人人员</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3.3.1 </w:t>
      </w:r>
      <w:r>
        <w:rPr>
          <w:rFonts w:hint="eastAsia" w:ascii="宋体" w:hAnsi="宋体" w:eastAsia="宋体" w:cs="宋体"/>
          <w:color w:val="auto"/>
          <w:sz w:val="24"/>
          <w:szCs w:val="24"/>
          <w:lang w:eastAsia="zh-CN"/>
        </w:rPr>
        <w:t>承包人提交项目管理机构及施工现场管理人员安排报告的期限：</w:t>
      </w:r>
      <w:r>
        <w:rPr>
          <w:rFonts w:hint="eastAsia" w:ascii="宋体" w:hAnsi="宋体" w:eastAsia="宋体" w:cs="宋体"/>
          <w:color w:val="auto"/>
          <w:sz w:val="24"/>
          <w:szCs w:val="24"/>
          <w:u w:val="single"/>
          <w:lang w:val="en-US"/>
        </w:rPr>
        <w:t>在接到开工通知后7天内</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3.3.3 </w:t>
      </w:r>
      <w:r>
        <w:rPr>
          <w:rFonts w:hint="eastAsia" w:ascii="宋体" w:hAnsi="宋体" w:eastAsia="宋体" w:cs="宋体"/>
          <w:color w:val="auto"/>
          <w:sz w:val="24"/>
          <w:szCs w:val="24"/>
          <w:lang w:eastAsia="zh-CN"/>
        </w:rPr>
        <w:t>承包人无正当理由拒绝撤换主要施工管理人员的违约责任：</w:t>
      </w:r>
      <w:r>
        <w:rPr>
          <w:rFonts w:hint="eastAsia" w:ascii="宋体" w:hAnsi="宋体" w:eastAsia="宋体" w:cs="宋体"/>
          <w:color w:val="auto"/>
          <w:sz w:val="24"/>
          <w:szCs w:val="24"/>
          <w:u w:val="single"/>
          <w:lang w:val="en-US"/>
        </w:rPr>
        <w:t>承包人无正当理由拒绝更换项目负责人，发包人有权单方面责令其退场，中止合同、没收履约保函（保证金），并要求其赔偿发包人的一切损失</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3.3.4 </w:t>
      </w:r>
      <w:r>
        <w:rPr>
          <w:rFonts w:hint="eastAsia" w:ascii="宋体" w:hAnsi="宋体" w:eastAsia="宋体" w:cs="宋体"/>
          <w:color w:val="auto"/>
          <w:sz w:val="24"/>
          <w:szCs w:val="24"/>
          <w:lang w:eastAsia="zh-CN"/>
        </w:rPr>
        <w:t>承包人主要施工管理人员离开施工现场的批准要求：</w:t>
      </w:r>
      <w:r>
        <w:rPr>
          <w:rFonts w:hint="eastAsia" w:ascii="宋体" w:hAnsi="宋体" w:eastAsia="宋体" w:cs="宋体"/>
          <w:color w:val="auto"/>
          <w:sz w:val="24"/>
          <w:szCs w:val="24"/>
          <w:u w:val="single"/>
          <w:lang w:val="en-US"/>
        </w:rPr>
        <w:t>经发包人书面批准</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3.3.5</w:t>
      </w:r>
      <w:r>
        <w:rPr>
          <w:rFonts w:hint="eastAsia" w:ascii="宋体" w:hAnsi="宋体" w:eastAsia="宋体" w:cs="宋体"/>
          <w:color w:val="auto"/>
          <w:sz w:val="24"/>
          <w:szCs w:val="24"/>
          <w:lang w:eastAsia="zh-CN"/>
        </w:rPr>
        <w:t>承包人擅自更换主要施工管理人员的违约责任：</w:t>
      </w:r>
      <w:r>
        <w:rPr>
          <w:rFonts w:hint="eastAsia" w:ascii="宋体" w:hAnsi="宋体" w:eastAsia="宋体" w:cs="宋体"/>
          <w:color w:val="auto"/>
          <w:sz w:val="24"/>
          <w:szCs w:val="24"/>
          <w:u w:val="single"/>
          <w:lang w:val="en-US"/>
        </w:rPr>
        <w:t>承包人在投标文件中承诺的项目管理班子的技术负责人、施工员、安全员、材料员、质检员中途换人应按照本专用条款约定向发包人交纳赔偿金。更换项目负责人每人次壹拾万元人民币；更换项目技术负责人每人次壹拾万元人民币；更换其他人员每人每次叁万元。若承包人不能按组织上述人员到位，参照以上标准予以处罚，并责令承包人履行承诺，若承包人不履行承诺，发包人有权取消承包人中标资格，其全部责任和损失同承包人承担。（特殊情况经发包人同意除外）</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承包人主要施工管理人员擅自离开施工现场的违约责任：</w:t>
      </w:r>
      <w:r>
        <w:rPr>
          <w:rFonts w:hint="eastAsia" w:ascii="宋体" w:hAnsi="宋体" w:eastAsia="宋体" w:cs="宋体"/>
          <w:color w:val="auto"/>
          <w:sz w:val="24"/>
          <w:szCs w:val="24"/>
          <w:u w:val="single"/>
          <w:lang w:val="en-US"/>
        </w:rPr>
        <w:t>如在合同工期内，发包人点名发现不在岗，项目负责人缺岗按每天10000元进行罚款、其他人员缺岗按每人每天3000元进行罚款，其罚款由工程师签发、发包人批准后直接从承包人的工程款中扣除。承包人缺岗致使连续两个周每周被处罚款超过40000元的，发包人有权单方面取消承包人的中标资格，终止合同，由此产生的责任和损失均由承包人负责，发包人有权向承包人索赔</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3.5 </w:t>
      </w:r>
      <w:r>
        <w:rPr>
          <w:rFonts w:hint="eastAsia" w:ascii="宋体" w:hAnsi="宋体" w:eastAsia="宋体" w:cs="宋体"/>
          <w:color w:val="auto"/>
          <w:sz w:val="24"/>
          <w:szCs w:val="24"/>
          <w:lang w:eastAsia="zh-CN"/>
        </w:rPr>
        <w:t>分包</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3.5.1 </w:t>
      </w:r>
      <w:r>
        <w:rPr>
          <w:rFonts w:hint="eastAsia" w:ascii="宋体" w:hAnsi="宋体" w:eastAsia="宋体" w:cs="宋体"/>
          <w:color w:val="auto"/>
          <w:sz w:val="24"/>
          <w:szCs w:val="24"/>
          <w:lang w:eastAsia="zh-CN"/>
        </w:rPr>
        <w:t>分包的一般约定</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禁止分包的工程包括：</w:t>
      </w:r>
      <w:r>
        <w:rPr>
          <w:rFonts w:hint="eastAsia" w:ascii="宋体" w:hAnsi="宋体" w:eastAsia="宋体" w:cs="宋体"/>
          <w:color w:val="auto"/>
          <w:sz w:val="24"/>
          <w:szCs w:val="24"/>
          <w:u w:val="single"/>
          <w:lang w:val="en-US"/>
        </w:rPr>
        <w:t>本工程不允许分包</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主体结构、关键性工作的范围：</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3.5.2</w:t>
      </w:r>
      <w:r>
        <w:rPr>
          <w:rFonts w:hint="eastAsia" w:ascii="宋体" w:hAnsi="宋体" w:eastAsia="宋体" w:cs="宋体"/>
          <w:color w:val="auto"/>
          <w:sz w:val="24"/>
          <w:szCs w:val="24"/>
          <w:lang w:eastAsia="zh-CN"/>
        </w:rPr>
        <w:t>分包的确定</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允许分包的专业工程包括：</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rPr>
          <w:color w:val="auto"/>
        </w:rPr>
      </w:pPr>
      <w:r>
        <w:rPr>
          <w:rFonts w:hint="eastAsia" w:ascii="宋体" w:hAnsi="宋体" w:eastAsia="宋体" w:cs="宋体"/>
          <w:color w:val="auto"/>
          <w:sz w:val="24"/>
          <w:szCs w:val="24"/>
          <w:lang w:eastAsia="zh-CN"/>
        </w:rPr>
        <w:t>其他关于分包的约定：</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val="en-US"/>
        </w:rPr>
        <w:t xml:space="preserve">3.5.4 </w:t>
      </w:r>
      <w:r>
        <w:rPr>
          <w:rFonts w:hint="eastAsia" w:ascii="宋体" w:hAnsi="宋体" w:eastAsia="宋体" w:cs="宋体"/>
          <w:color w:val="auto"/>
          <w:sz w:val="24"/>
          <w:szCs w:val="24"/>
          <w:lang w:eastAsia="zh-CN"/>
        </w:rPr>
        <w:t>分包合同价款</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关于分包合同价款支付的约定：</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3.6 </w:t>
      </w:r>
      <w:r>
        <w:rPr>
          <w:rFonts w:hint="eastAsia" w:ascii="宋体" w:hAnsi="宋体" w:eastAsia="宋体" w:cs="宋体"/>
          <w:color w:val="auto"/>
          <w:sz w:val="24"/>
          <w:szCs w:val="24"/>
          <w:lang w:eastAsia="zh-CN"/>
        </w:rPr>
        <w:t>工程照管与成品、半成品保护</w:t>
      </w:r>
    </w:p>
    <w:p>
      <w:pPr>
        <w:keepNext w:val="0"/>
        <w:keepLines w:val="0"/>
        <w:widowControl/>
        <w:suppressLineNumbers w:val="0"/>
        <w:snapToGrid w:val="0"/>
        <w:spacing w:before="120" w:beforeAutospacing="0" w:after="120" w:afterAutospacing="0" w:line="300" w:lineRule="auto"/>
        <w:ind w:left="0" w:right="0" w:firstLine="480"/>
        <w:jc w:val="left"/>
        <w:rPr>
          <w:color w:val="auto"/>
        </w:rPr>
      </w:pPr>
      <w:r>
        <w:rPr>
          <w:rFonts w:hint="eastAsia" w:ascii="宋体" w:hAnsi="宋体" w:eastAsia="宋体" w:cs="宋体"/>
          <w:color w:val="auto"/>
          <w:sz w:val="24"/>
          <w:szCs w:val="24"/>
          <w:lang w:eastAsia="zh-CN"/>
        </w:rPr>
        <w:t>承包人负责照管工程及工程相关的材料、工程设备的起始时间：</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3.7 </w:t>
      </w:r>
      <w:r>
        <w:rPr>
          <w:rFonts w:hint="eastAsia" w:ascii="宋体" w:hAnsi="宋体" w:eastAsia="宋体" w:cs="宋体"/>
          <w:color w:val="auto"/>
          <w:sz w:val="24"/>
          <w:szCs w:val="24"/>
          <w:lang w:eastAsia="zh-CN"/>
        </w:rPr>
        <w:t>履约担保</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承包人是否提供履约担保：</w:t>
      </w:r>
      <w:r>
        <w:rPr>
          <w:rFonts w:hint="eastAsia" w:ascii="宋体" w:hAnsi="宋体" w:eastAsia="宋体" w:cs="宋体"/>
          <w:color w:val="auto"/>
          <w:sz w:val="24"/>
          <w:szCs w:val="24"/>
          <w:u w:val="single"/>
          <w:lang w:val="en-US"/>
        </w:rPr>
        <w:t>是</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承包人提供履约担保的形式、金额及期限的：</w:t>
      </w:r>
      <w:r>
        <w:rPr>
          <w:rFonts w:hint="eastAsia" w:ascii="宋体" w:hAnsi="宋体" w:eastAsia="宋体" w:cs="宋体"/>
          <w:color w:val="auto"/>
          <w:sz w:val="24"/>
          <w:szCs w:val="24"/>
          <w:u w:val="single"/>
          <w:lang w:val="en-US"/>
        </w:rPr>
        <w:t>投标人提供的履约担保金金额为合同价款的</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u w:val="single"/>
          <w:lang w:val="en-US"/>
        </w:rPr>
        <w:t>%，</w:t>
      </w:r>
      <w:r>
        <w:rPr>
          <w:rFonts w:hint="eastAsia" w:ascii="宋体" w:hAnsi="宋体" w:cs="宋体"/>
          <w:color w:val="auto"/>
          <w:spacing w:val="0"/>
          <w:position w:val="0"/>
          <w:sz w:val="24"/>
          <w:szCs w:val="24"/>
          <w:highlight w:val="none"/>
          <w:u w:val="single" w:color="000000"/>
        </w:rPr>
        <w:t>以现金（电汇或者转账）或银行保函的形式提交</w:t>
      </w:r>
      <w:r>
        <w:rPr>
          <w:rFonts w:hint="eastAsia" w:ascii="宋体" w:hAnsi="宋体" w:eastAsia="宋体" w:cs="宋体"/>
          <w:color w:val="auto"/>
          <w:sz w:val="24"/>
          <w:szCs w:val="24"/>
          <w:u w:val="single"/>
          <w:lang w:val="en-US"/>
        </w:rPr>
        <w:t>。在接到中标通知书后7天内，在签订合同之前，承包人应向发包人提交履约保证金。履约担保有效期截止时间为工程建设合同约定的工程竣工验收备案之日后至少30天。（履约担保退还时不计利息）</w:t>
      </w:r>
      <w:r>
        <w:rPr>
          <w:rFonts w:hint="eastAsia" w:ascii="宋体" w:hAnsi="宋体" w:eastAsia="宋体" w:cs="宋体"/>
          <w:color w:val="auto"/>
          <w:sz w:val="24"/>
          <w:szCs w:val="24"/>
          <w:lang w:eastAsia="zh-CN"/>
        </w:rPr>
        <w:t>。</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4. </w:t>
      </w:r>
      <w:r>
        <w:rPr>
          <w:rFonts w:hint="eastAsia" w:ascii="宋体" w:hAnsi="宋体" w:eastAsia="宋体" w:cs="宋体"/>
          <w:color w:val="auto"/>
          <w:lang w:eastAsia="zh-CN"/>
        </w:rPr>
        <w:t>监理人</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4.1</w:t>
      </w:r>
      <w:r>
        <w:rPr>
          <w:rFonts w:hint="eastAsia" w:ascii="宋体" w:hAnsi="宋体" w:eastAsia="宋体" w:cs="宋体"/>
          <w:color w:val="auto"/>
          <w:sz w:val="24"/>
          <w:szCs w:val="24"/>
          <w:lang w:eastAsia="zh-CN"/>
        </w:rPr>
        <w:t>监理人的一般规定</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关于监理人的监理内容：</w:t>
      </w:r>
      <w:r>
        <w:rPr>
          <w:rFonts w:hint="eastAsia" w:ascii="宋体" w:hAnsi="宋体" w:eastAsia="宋体" w:cs="宋体"/>
          <w:color w:val="auto"/>
          <w:sz w:val="24"/>
          <w:szCs w:val="24"/>
          <w:u w:val="single"/>
          <w:lang w:val="en-US"/>
        </w:rPr>
        <w:t>工程建设的投资控制、建设工期控制、工程质量控制、安全控制；进行信息管理、工程建设合同管理；协调有关单位之间的工作关系</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关于监理人的监理权限：</w:t>
      </w:r>
      <w:r>
        <w:rPr>
          <w:rFonts w:hint="eastAsia" w:ascii="宋体" w:hAnsi="宋体" w:eastAsia="宋体" w:cs="宋体"/>
          <w:color w:val="auto"/>
          <w:sz w:val="24"/>
          <w:szCs w:val="24"/>
          <w:u w:val="single"/>
          <w:lang w:val="en-US"/>
        </w:rPr>
        <w:t>《建设工程监理规范》中规定的监理工程师本身具有的权力，但下列九项必须取得发包人批准才能行使； 1、设计变更； 2、工期延误索赔或签证，工程量及费用增减的索赔或签证； 3、工程款支付； 4、停工通知； 5、分包商的确定； 6、主要材料的确定； 7、施工组织设计、施工总进度计划的审定； 8、其他重要突发事件处理决定见工程建设监理合同约定的权限，以及发包人以书面形式委托监理工程师的其它权限</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关于监理人在施工现场的办公场所、生活场所的提供和费用承担的约定：</w:t>
      </w:r>
      <w:r>
        <w:rPr>
          <w:rFonts w:hint="eastAsia" w:ascii="宋体" w:hAnsi="宋体" w:eastAsia="宋体" w:cs="宋体"/>
          <w:color w:val="auto"/>
          <w:sz w:val="24"/>
          <w:szCs w:val="24"/>
          <w:u w:val="single"/>
          <w:lang w:val="en-US"/>
        </w:rPr>
        <w:t>监理人在施工现场的办公场所、生活场所由承包人提供</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4.2 </w:t>
      </w:r>
      <w:r>
        <w:rPr>
          <w:rFonts w:hint="eastAsia" w:ascii="宋体" w:hAnsi="宋体" w:eastAsia="宋体" w:cs="宋体"/>
          <w:color w:val="auto"/>
          <w:sz w:val="24"/>
          <w:szCs w:val="24"/>
          <w:lang w:eastAsia="zh-CN"/>
        </w:rPr>
        <w:t>监理人员</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总监理工程师：</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姓</w:t>
      </w:r>
      <w:r>
        <w:rPr>
          <w:rFonts w:hint="eastAsia" w:ascii="宋体" w:hAnsi="宋体" w:eastAsia="宋体" w:cs="宋体"/>
          <w:color w:val="auto"/>
          <w:sz w:val="24"/>
          <w:szCs w:val="24"/>
          <w:lang w:val="en-US"/>
        </w:rPr>
        <w:t>  </w:t>
      </w:r>
      <w:r>
        <w:rPr>
          <w:rFonts w:hint="eastAsia" w:ascii="宋体" w:hAnsi="宋体" w:eastAsia="宋体" w:cs="宋体"/>
          <w:color w:val="auto"/>
          <w:sz w:val="24"/>
          <w:szCs w:val="24"/>
          <w:lang w:eastAsia="zh-CN"/>
        </w:rPr>
        <w:t>名：</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职</w:t>
      </w:r>
      <w:r>
        <w:rPr>
          <w:rFonts w:hint="eastAsia" w:ascii="宋体" w:hAnsi="宋体" w:eastAsia="宋体" w:cs="宋体"/>
          <w:color w:val="auto"/>
          <w:sz w:val="24"/>
          <w:szCs w:val="24"/>
          <w:lang w:val="en-US"/>
        </w:rPr>
        <w:t>  </w:t>
      </w:r>
      <w:r>
        <w:rPr>
          <w:rFonts w:hint="eastAsia" w:ascii="宋体" w:hAnsi="宋体" w:eastAsia="宋体" w:cs="宋体"/>
          <w:color w:val="auto"/>
          <w:sz w:val="24"/>
          <w:szCs w:val="24"/>
          <w:lang w:eastAsia="zh-CN"/>
        </w:rPr>
        <w:t>务：</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监理工程师执业资格证书号：</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联系电话：</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电子信箱：</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通信地址：</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关于监理人的其他约定：</w:t>
      </w:r>
      <w:r>
        <w:rPr>
          <w:rFonts w:hint="eastAsia" w:ascii="宋体" w:hAnsi="宋体" w:eastAsia="宋体" w:cs="宋体"/>
          <w:color w:val="auto"/>
          <w:sz w:val="24"/>
          <w:szCs w:val="24"/>
          <w:u w:val="single"/>
          <w:lang w:val="en-US"/>
        </w:rPr>
        <w:t>（签订合同时由发包人填写）</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4.4 </w:t>
      </w:r>
      <w:r>
        <w:rPr>
          <w:rFonts w:hint="eastAsia" w:ascii="宋体" w:hAnsi="宋体" w:eastAsia="宋体" w:cs="宋体"/>
          <w:color w:val="auto"/>
          <w:sz w:val="24"/>
          <w:szCs w:val="24"/>
          <w:lang w:eastAsia="zh-CN"/>
        </w:rPr>
        <w:t>商定或确定</w:t>
      </w:r>
    </w:p>
    <w:p>
      <w:pPr>
        <w:keepNext w:val="0"/>
        <w:keepLines w:val="0"/>
        <w:widowControl/>
        <w:suppressLineNumbers w:val="0"/>
        <w:snapToGrid w:val="0"/>
        <w:spacing w:line="300" w:lineRule="auto"/>
        <w:ind w:left="0" w:firstLine="480"/>
        <w:rPr>
          <w:color w:val="auto"/>
        </w:rPr>
      </w:pPr>
      <w:r>
        <w:rPr>
          <w:rFonts w:hint="eastAsia" w:ascii="宋体" w:hAnsi="宋体" w:eastAsia="宋体" w:cs="宋体"/>
          <w:color w:val="auto"/>
          <w:sz w:val="24"/>
          <w:szCs w:val="24"/>
          <w:lang w:eastAsia="zh-CN"/>
        </w:rPr>
        <w:t>在发包人和承包人不能通过协商达成一致意见时，发包人授权监理人对以下事项进行确定：</w:t>
      </w:r>
    </w:p>
    <w:tbl>
      <w:tblPr>
        <w:tblStyle w:val="24"/>
        <w:tblW w:w="0" w:type="auto"/>
        <w:tblInd w:w="594"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45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75" w:hRule="atLeast"/>
        </w:trPr>
        <w:tc>
          <w:tcPr>
            <w:tcW w:w="7455" w:type="dxa"/>
            <w:tcBorders>
              <w:top w:val="nil"/>
              <w:left w:val="nil"/>
              <w:bottom w:val="single" w:color="auto" w:sz="8" w:space="0"/>
              <w:right w:val="nil"/>
            </w:tcBorders>
            <w:noWrap w:val="0"/>
            <w:tcMar>
              <w:left w:w="108" w:type="dxa"/>
              <w:right w:w="108" w:type="dxa"/>
            </w:tcMar>
            <w:vAlign w:val="top"/>
          </w:tcPr>
          <w:p>
            <w:pPr>
              <w:keepNext w:val="0"/>
              <w:keepLines w:val="0"/>
              <w:widowControl/>
              <w:suppressLineNumbers w:val="0"/>
              <w:spacing w:line="300" w:lineRule="auto"/>
              <w:rPr>
                <w:color w:val="auto"/>
              </w:rPr>
            </w:pPr>
            <w:r>
              <w:rPr>
                <w:rFonts w:hint="eastAsia" w:ascii="宋体" w:hAnsi="宋体" w:eastAsia="宋体" w:cs="宋体"/>
                <w:color w:val="auto"/>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455" w:type="dxa"/>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line="300" w:lineRule="auto"/>
              <w:rPr>
                <w:color w:val="auto"/>
              </w:rPr>
            </w:pPr>
            <w:r>
              <w:rPr>
                <w:rFonts w:hint="eastAsia" w:ascii="宋体" w:hAnsi="宋体" w:eastAsia="宋体" w:cs="宋体"/>
                <w:color w:val="auto"/>
                <w:sz w:val="24"/>
                <w:szCs w:val="24"/>
                <w:lang w:val="en-US"/>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455" w:type="dxa"/>
            <w:tcBorders>
              <w:top w:val="nil"/>
              <w:left w:val="nil"/>
              <w:bottom w:val="nil"/>
              <w:right w:val="nil"/>
            </w:tcBorders>
            <w:noWrap w:val="0"/>
            <w:tcMar>
              <w:left w:w="108" w:type="dxa"/>
              <w:right w:w="108" w:type="dxa"/>
            </w:tcMar>
            <w:vAlign w:val="top"/>
          </w:tcPr>
          <w:p>
            <w:pPr>
              <w:keepNext w:val="0"/>
              <w:keepLines w:val="0"/>
              <w:widowControl/>
              <w:suppressLineNumbers w:val="0"/>
              <w:spacing w:line="300" w:lineRule="auto"/>
              <w:jc w:val="center"/>
              <w:rPr>
                <w:color w:val="auto"/>
              </w:rPr>
            </w:pPr>
            <w:r>
              <w:rPr>
                <w:rFonts w:hint="eastAsia" w:ascii="宋体" w:hAnsi="宋体" w:eastAsia="宋体" w:cs="宋体"/>
                <w:color w:val="auto"/>
                <w:sz w:val="24"/>
                <w:szCs w:val="24"/>
                <w:lang w:val="en-US"/>
              </w:rPr>
              <w:t xml:space="preserve">   </w:t>
            </w:r>
          </w:p>
        </w:tc>
      </w:tr>
    </w:tbl>
    <w:p>
      <w:pPr>
        <w:keepNext w:val="0"/>
        <w:keepLines w:val="0"/>
        <w:widowControl/>
        <w:suppressLineNumbers w:val="0"/>
        <w:snapToGrid w:val="0"/>
        <w:spacing w:line="300" w:lineRule="auto"/>
        <w:rPr>
          <w:color w:val="auto"/>
        </w:rPr>
      </w:pP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5. </w:t>
      </w:r>
      <w:r>
        <w:rPr>
          <w:rFonts w:hint="eastAsia" w:ascii="宋体" w:hAnsi="宋体" w:eastAsia="宋体" w:cs="宋体"/>
          <w:color w:val="auto"/>
          <w:lang w:eastAsia="zh-CN"/>
        </w:rPr>
        <w:t>工程质量</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5.1 </w:t>
      </w:r>
      <w:r>
        <w:rPr>
          <w:rFonts w:hint="eastAsia" w:ascii="宋体" w:hAnsi="宋体" w:eastAsia="宋体" w:cs="宋体"/>
          <w:color w:val="auto"/>
          <w:sz w:val="24"/>
          <w:szCs w:val="24"/>
          <w:lang w:eastAsia="zh-CN"/>
        </w:rPr>
        <w:t>质量要求</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val="en-US"/>
        </w:rPr>
        <w:t xml:space="preserve">5.1.1 </w:t>
      </w:r>
      <w:r>
        <w:rPr>
          <w:rFonts w:hint="eastAsia" w:ascii="宋体" w:hAnsi="宋体" w:eastAsia="宋体" w:cs="宋体"/>
          <w:color w:val="auto"/>
          <w:sz w:val="24"/>
          <w:szCs w:val="24"/>
          <w:lang w:eastAsia="zh-CN"/>
        </w:rPr>
        <w:t>特殊质量标准和要求：</w:t>
      </w:r>
      <w:r>
        <w:rPr>
          <w:rFonts w:hint="eastAsia" w:ascii="宋体" w:hAnsi="宋体" w:eastAsia="宋体" w:cs="宋体"/>
          <w:color w:val="auto"/>
          <w:sz w:val="24"/>
          <w:szCs w:val="24"/>
          <w:u w:val="single"/>
          <w:lang w:val="en-US"/>
        </w:rPr>
        <w:t>⑴主要原材料、构配件、半成品必须持有关规定提供质量合格证，或进行检验合格后方可用于工程。推行预拌砼质量责任保险制度和不合格砼现场报废制度。鼓励采用新材料、新工艺、新方法进行施工。 ⑵省优质工程应严格执行国家和本省现行有关工程标准规范，评价标准按国家标准和本省相关规定执行。创建省优质工程的质量控制重点应突出原材料、过程工序质量控制及功能效果测试。省优质工程应当采用性能优良的材料和设备，或经双方认可的样板材料。 ⑶严格施工工序管理，做好隐蔽工程的质量检查和记录并即时取得相关人员的验收及签认。隐蔽工程必须经发包人派驻代表和监理检查、验收签章后，方可进行下一道工序。承包人应指派专人对质量检查、隐蔽验收和工程签认材料进行收集整理并及时汇总，做到即签、日报、周结、月清。凡不能及时提供签认手续而产生清、决算结帐纠纷的，不得以此为由阻挠或影响发包人、监理单位的工程实施安排及工程建设进度、清退场移交和竣工验收移交。 ⑷承包人在施工中发生质量事故应及时报告，一般质量事故的处理结果应送发包人和质量监督管理部门备案；重大质量事故的处理方案，应经设计、发包人等共同研究，并经设计单位签证后实施。双方对工程质量有争议，由双方同意的工程质量检测机构鉴定，所需费用及因此造成的损失，由责任方承担。双方均有责任，由双方根据其责任分别承担</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关于工程奖项的约定：</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5.3 </w:t>
      </w:r>
      <w:r>
        <w:rPr>
          <w:rFonts w:hint="eastAsia" w:ascii="宋体" w:hAnsi="宋体" w:eastAsia="宋体" w:cs="宋体"/>
          <w:color w:val="auto"/>
          <w:sz w:val="24"/>
          <w:szCs w:val="24"/>
          <w:lang w:eastAsia="zh-CN"/>
        </w:rPr>
        <w:t>隐蔽工程检查</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val="en-US"/>
        </w:rPr>
        <w:t>5.3.2</w:t>
      </w:r>
      <w:r>
        <w:rPr>
          <w:rFonts w:hint="eastAsia" w:ascii="宋体" w:hAnsi="宋体" w:eastAsia="宋体" w:cs="宋体"/>
          <w:color w:val="auto"/>
          <w:sz w:val="24"/>
          <w:szCs w:val="24"/>
          <w:lang w:eastAsia="zh-CN"/>
        </w:rPr>
        <w:t>承包人提前通知监理人隐蔽工程检查的期限的约定：</w:t>
      </w:r>
      <w:r>
        <w:rPr>
          <w:rFonts w:hint="eastAsia" w:ascii="宋体" w:hAnsi="宋体" w:eastAsia="宋体" w:cs="宋体"/>
          <w:color w:val="auto"/>
          <w:sz w:val="24"/>
          <w:szCs w:val="24"/>
          <w:u w:val="single"/>
          <w:lang w:val="en-US"/>
        </w:rPr>
        <w:t>承包人应在共同检查前 48 小时书面通知监理人检查，通知中应载明隐蔽检查的内容、时间和地点，并应附有自检记录和必要的检查资料</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监理人不能按时进行检查时，应提前</w:t>
      </w:r>
      <w:r>
        <w:rPr>
          <w:rFonts w:hint="eastAsia" w:ascii="宋体" w:hAnsi="宋体" w:eastAsia="宋体" w:cs="宋体"/>
          <w:color w:val="auto"/>
          <w:sz w:val="24"/>
          <w:szCs w:val="24"/>
          <w:u w:val="single"/>
          <w:lang w:val="en-US"/>
        </w:rPr>
        <w:t>24</w:t>
      </w:r>
      <w:r>
        <w:rPr>
          <w:rFonts w:hint="eastAsia" w:ascii="宋体" w:hAnsi="宋体" w:eastAsia="宋体" w:cs="宋体"/>
          <w:color w:val="auto"/>
          <w:sz w:val="24"/>
          <w:szCs w:val="24"/>
          <w:lang w:eastAsia="zh-CN"/>
        </w:rPr>
        <w:t>小时提交书面延期要求。</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关于延期最长不得超过：</w:t>
      </w:r>
      <w:r>
        <w:rPr>
          <w:rFonts w:hint="eastAsia" w:ascii="宋体" w:hAnsi="宋体" w:eastAsia="宋体" w:cs="宋体"/>
          <w:color w:val="auto"/>
          <w:sz w:val="24"/>
          <w:szCs w:val="24"/>
          <w:u w:val="single"/>
          <w:lang w:val="en-US"/>
        </w:rPr>
        <w:t>48</w:t>
      </w:r>
      <w:r>
        <w:rPr>
          <w:rFonts w:hint="eastAsia" w:ascii="宋体" w:hAnsi="宋体" w:eastAsia="宋体" w:cs="宋体"/>
          <w:color w:val="auto"/>
          <w:sz w:val="24"/>
          <w:szCs w:val="24"/>
          <w:lang w:eastAsia="zh-CN"/>
        </w:rPr>
        <w:t>小时。</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6. </w:t>
      </w:r>
      <w:r>
        <w:rPr>
          <w:rFonts w:hint="eastAsia" w:ascii="宋体" w:hAnsi="宋体" w:eastAsia="宋体" w:cs="宋体"/>
          <w:color w:val="auto"/>
          <w:lang w:eastAsia="zh-CN"/>
        </w:rPr>
        <w:t>安全文明施工与环境保护</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6.1</w:t>
      </w:r>
      <w:r>
        <w:rPr>
          <w:rFonts w:hint="eastAsia" w:ascii="宋体" w:hAnsi="宋体" w:eastAsia="宋体" w:cs="宋体"/>
          <w:color w:val="auto"/>
          <w:sz w:val="24"/>
          <w:szCs w:val="24"/>
          <w:lang w:eastAsia="zh-CN"/>
        </w:rPr>
        <w:t>安全文明施工</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val="en-US"/>
        </w:rPr>
        <w:t xml:space="preserve">6.1.1 </w:t>
      </w:r>
      <w:r>
        <w:rPr>
          <w:rFonts w:hint="eastAsia" w:ascii="宋体" w:hAnsi="宋体" w:eastAsia="宋体" w:cs="宋体"/>
          <w:color w:val="auto"/>
          <w:sz w:val="24"/>
          <w:szCs w:val="24"/>
          <w:lang w:eastAsia="zh-CN"/>
        </w:rPr>
        <w:t>项目安全生产的达标目标及相应事项的约定：</w:t>
      </w:r>
      <w:r>
        <w:rPr>
          <w:rFonts w:hint="eastAsia" w:ascii="宋体" w:hAnsi="宋体" w:eastAsia="宋体" w:cs="宋体"/>
          <w:color w:val="auto"/>
          <w:sz w:val="24"/>
          <w:szCs w:val="24"/>
          <w:u w:val="single"/>
          <w:lang w:val="en-US"/>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val="en-US"/>
        </w:rPr>
        <w:t xml:space="preserve">6.1.4 </w:t>
      </w:r>
      <w:r>
        <w:rPr>
          <w:rFonts w:hint="eastAsia" w:ascii="宋体" w:hAnsi="宋体" w:eastAsia="宋体" w:cs="宋体"/>
          <w:color w:val="auto"/>
          <w:sz w:val="24"/>
          <w:szCs w:val="24"/>
          <w:lang w:eastAsia="zh-CN"/>
        </w:rPr>
        <w:t>关于治安保卫的特别约定：</w:t>
      </w:r>
      <w:r>
        <w:rPr>
          <w:rFonts w:hint="eastAsia" w:ascii="宋体" w:hAnsi="宋体" w:eastAsia="宋体" w:cs="宋体"/>
          <w:color w:val="auto"/>
          <w:sz w:val="24"/>
          <w:szCs w:val="24"/>
          <w:u w:val="single"/>
          <w:lang w:val="en-US"/>
        </w:rPr>
        <w:t>（1）承包人应根据现场情况做好对周边建筑物、行人、车辆等的防护措施，施工过程中所有安全责任由承包人承担；（2）承包人必须配备专职的安全检查人员和质检员；（3）为安全工作所需的全部费用由承包人一并计入安全防护、文明施工措施费中，此项费用已包含在投标报价中。（4）安全防护、文明施工措施费是发包人按照有关规定给承包人的专项费用，承包人应当确保专款专用；承包人的此项费用开支应接受发包人和监理人的监督；承包人未按照有关规范、标准和合同要求做好安全工作的，发包人有权不予支付费用。（5）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6）承担施工安全保卫工作及非夜间施工照明的责任和要求：在实施和完成本合同工程过程中，承包人应：①时刻关注和采取适当措施保障所有在场工作人员的安全，保证工程施工安全，现场施工应当保持有条不紊，避免上述人员的安全受到威胁；②为了保护本合同工程免遭损坏，或为了现场附近和过往群众的安全与方便，在必要的时候和地方，或当监理工程师或有关主管部门要求时，应负责提供照明、警卫、护栅、警告标志等安全防护措施，并承担责任。③施工期间，工地发生的一切安全、违法、违规事件，承包人负责处理并承担因承包人原因造成的责任。（7）施工场地清洁卫生的要求：承包人应负责整个场地的安全文明卫生管理，做到文明施工、保持施工场地清洁。本工程所存施工建筑垃圾均应全部清运出现场。场地平整、场地道路、场地排水排污附属设等，均由承包人自行负责施工，施工费用均包括在合同总价中。本工程的施工过程中发生的各项清理费用、临时性收费、临时性占用场地费、临时设施费和不可预见费用，均包括在合同总价中。承包人在本工程竣工验收后15日内完成现场清理并退出施工现场：包括一切施工机械、设备、人员、临时搭盖等。若不按发包人工程师的要求及时完成清理，发包人工程师有权雇请他人完成，因此发生的一切费用从工程款中扣除，且可不进行工程验收</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关于编制施工场地治安管理计划的约定：</w:t>
      </w:r>
      <w:r>
        <w:rPr>
          <w:rFonts w:hint="eastAsia" w:ascii="宋体" w:hAnsi="宋体" w:eastAsia="宋体" w:cs="宋体"/>
          <w:color w:val="auto"/>
          <w:sz w:val="24"/>
          <w:szCs w:val="24"/>
          <w:u w:val="single"/>
          <w:lang w:val="en-US"/>
        </w:rPr>
        <w:t>承包人应在签订施工合同后7天内制定《施工场地治安管理计划和突发治安事件紧急预案》送交监理人审批后执行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6.1.5 </w:t>
      </w:r>
      <w:r>
        <w:rPr>
          <w:rFonts w:hint="eastAsia" w:ascii="宋体" w:hAnsi="宋体" w:eastAsia="宋体" w:cs="宋体"/>
          <w:color w:val="auto"/>
          <w:sz w:val="24"/>
          <w:szCs w:val="24"/>
          <w:lang w:eastAsia="zh-CN"/>
        </w:rPr>
        <w:t>文明施工</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合同当事人对文明施工的要求：</w:t>
      </w:r>
      <w:r>
        <w:rPr>
          <w:rFonts w:hint="eastAsia" w:ascii="宋体" w:hAnsi="宋体" w:eastAsia="宋体" w:cs="宋体"/>
          <w:color w:val="auto"/>
          <w:sz w:val="24"/>
          <w:szCs w:val="24"/>
          <w:u w:val="single"/>
          <w:lang w:val="en-US"/>
        </w:rPr>
        <w:t>本工程须严格</w:t>
      </w:r>
      <w:r>
        <w:rPr>
          <w:rFonts w:hint="eastAsia" w:ascii="宋体" w:hAnsi="宋体" w:eastAsia="宋体" w:cs="宋体"/>
          <w:color w:val="auto"/>
          <w:sz w:val="24"/>
          <w:szCs w:val="24"/>
          <w:u w:val="single"/>
          <w:lang w:val="en-US" w:eastAsia="zh-CN"/>
        </w:rPr>
        <w:t>参</w:t>
      </w:r>
      <w:r>
        <w:rPr>
          <w:rFonts w:hint="eastAsia" w:ascii="宋体" w:hAnsi="宋体" w:eastAsia="宋体" w:cs="宋体"/>
          <w:color w:val="auto"/>
          <w:sz w:val="24"/>
          <w:szCs w:val="24"/>
          <w:u w:val="single"/>
          <w:lang w:val="en-US"/>
        </w:rPr>
        <w:t>照《泉州市住房和城乡建设局关于加强泉州市区建设工程安全文明施工标准化管理》（泉建建【2011】1号文件）的要求及业主相关要求执行。若发包人</w:t>
      </w:r>
      <w:r>
        <w:rPr>
          <w:rFonts w:hint="eastAsia" w:ascii="宋体" w:hAnsi="宋体" w:eastAsia="宋体" w:cs="宋体"/>
          <w:color w:val="auto"/>
          <w:sz w:val="24"/>
          <w:szCs w:val="24"/>
          <w:u w:val="single"/>
          <w:lang w:val="en-US" w:eastAsia="zh-CN"/>
        </w:rPr>
        <w:t>、监理</w:t>
      </w:r>
      <w:r>
        <w:rPr>
          <w:rFonts w:hint="eastAsia" w:ascii="宋体" w:hAnsi="宋体" w:eastAsia="宋体" w:cs="宋体"/>
          <w:color w:val="auto"/>
          <w:sz w:val="24"/>
          <w:szCs w:val="24"/>
          <w:u w:val="single"/>
          <w:lang w:val="en-US"/>
        </w:rPr>
        <w:t>等相关监督部门发现承包人施工未按《管理》的要求执行，或发包人、</w:t>
      </w:r>
      <w:r>
        <w:rPr>
          <w:rFonts w:hint="eastAsia" w:ascii="宋体" w:hAnsi="宋体" w:eastAsia="宋体" w:cs="宋体"/>
          <w:color w:val="auto"/>
          <w:sz w:val="24"/>
          <w:szCs w:val="24"/>
          <w:u w:val="single"/>
          <w:lang w:val="en-US" w:eastAsia="zh-CN"/>
        </w:rPr>
        <w:t>监理</w:t>
      </w:r>
      <w:r>
        <w:rPr>
          <w:rFonts w:hint="eastAsia" w:ascii="宋体" w:hAnsi="宋体" w:eastAsia="宋体" w:cs="宋体"/>
          <w:color w:val="auto"/>
          <w:sz w:val="24"/>
          <w:szCs w:val="24"/>
          <w:u w:val="single"/>
          <w:lang w:val="en-US"/>
        </w:rPr>
        <w:t>等相关监督部门，发现施工现场安全文明相关措施不到位、不配合、不整改等问题，并下达整改通知单，发包人有权按每份整改通知单5000元人民币给予承包人处罚，罚款交至发包人指定帐号</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val="en-US"/>
        </w:rPr>
        <w:t xml:space="preserve">6.1.6 </w:t>
      </w:r>
      <w:r>
        <w:rPr>
          <w:rFonts w:hint="eastAsia" w:ascii="宋体" w:hAnsi="宋体" w:eastAsia="宋体" w:cs="宋体"/>
          <w:color w:val="auto"/>
          <w:sz w:val="24"/>
          <w:szCs w:val="24"/>
          <w:lang w:eastAsia="zh-CN"/>
        </w:rPr>
        <w:t>关于安全文明施工费支付比例和支付期限的约定：</w:t>
      </w:r>
      <w:r>
        <w:rPr>
          <w:rFonts w:hint="eastAsia" w:ascii="宋体" w:hAnsi="宋体" w:eastAsia="宋体" w:cs="宋体"/>
          <w:color w:val="auto"/>
          <w:sz w:val="24"/>
          <w:szCs w:val="24"/>
          <w:u w:val="single"/>
          <w:lang w:val="en-US"/>
        </w:rPr>
        <w:t>与进度款同期支付</w:t>
      </w:r>
      <w:r>
        <w:rPr>
          <w:rFonts w:hint="eastAsia" w:ascii="宋体" w:hAnsi="宋体" w:eastAsia="宋体" w:cs="宋体"/>
          <w:color w:val="auto"/>
          <w:sz w:val="24"/>
          <w:szCs w:val="24"/>
          <w:lang w:eastAsia="zh-CN"/>
        </w:rPr>
        <w:t>。</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7. </w:t>
      </w:r>
      <w:r>
        <w:rPr>
          <w:rFonts w:hint="eastAsia" w:ascii="宋体" w:hAnsi="宋体" w:eastAsia="宋体" w:cs="宋体"/>
          <w:color w:val="auto"/>
          <w:lang w:eastAsia="zh-CN"/>
        </w:rPr>
        <w:t>工期和进度</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7.1 </w:t>
      </w:r>
      <w:r>
        <w:rPr>
          <w:rFonts w:hint="eastAsia" w:ascii="宋体" w:hAnsi="宋体" w:eastAsia="宋体" w:cs="宋体"/>
          <w:color w:val="auto"/>
          <w:sz w:val="24"/>
          <w:szCs w:val="24"/>
          <w:lang w:eastAsia="zh-CN"/>
        </w:rPr>
        <w:t>施工组织设计</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val="en-US"/>
        </w:rPr>
        <w:t xml:space="preserve">7.1.1 </w:t>
      </w:r>
      <w:r>
        <w:rPr>
          <w:rFonts w:hint="eastAsia" w:ascii="宋体" w:hAnsi="宋体" w:eastAsia="宋体" w:cs="宋体"/>
          <w:color w:val="auto"/>
          <w:sz w:val="24"/>
          <w:szCs w:val="24"/>
          <w:lang w:eastAsia="zh-CN"/>
        </w:rPr>
        <w:t>合同当事人约定的施工组织设计应包括的其他内容：</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7.1.2 </w:t>
      </w:r>
      <w:r>
        <w:rPr>
          <w:rFonts w:hint="eastAsia" w:ascii="宋体" w:hAnsi="宋体" w:eastAsia="宋体" w:cs="宋体"/>
          <w:color w:val="auto"/>
          <w:sz w:val="24"/>
          <w:szCs w:val="24"/>
          <w:lang w:eastAsia="zh-CN"/>
        </w:rPr>
        <w:t>施工组织设计的提交和修改</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承包人提交详细施工组织设计的期限的约定：</w:t>
      </w:r>
      <w:r>
        <w:rPr>
          <w:rFonts w:hint="eastAsia" w:ascii="宋体" w:hAnsi="宋体" w:eastAsia="宋体" w:cs="宋体"/>
          <w:color w:val="auto"/>
          <w:sz w:val="24"/>
          <w:szCs w:val="24"/>
          <w:u w:val="single"/>
          <w:lang w:val="en-US"/>
        </w:rPr>
        <w:t>开工前7天承包人须向监理人及发包人提供施工组织设计壹式叁份</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发包人和监理人在收到详细的施工组织设计后确认或提出修改意见的期限：</w:t>
      </w:r>
      <w:r>
        <w:rPr>
          <w:rFonts w:hint="eastAsia" w:ascii="宋体" w:hAnsi="宋体" w:eastAsia="宋体" w:cs="宋体"/>
          <w:color w:val="auto"/>
          <w:sz w:val="24"/>
          <w:szCs w:val="24"/>
          <w:u w:val="single"/>
          <w:lang w:val="en-US"/>
        </w:rPr>
        <w:t>接到相关文件后7天内审定确认</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7.2 </w:t>
      </w:r>
      <w:r>
        <w:rPr>
          <w:rFonts w:hint="eastAsia" w:ascii="宋体" w:hAnsi="宋体" w:eastAsia="宋体" w:cs="宋体"/>
          <w:color w:val="auto"/>
          <w:sz w:val="24"/>
          <w:szCs w:val="24"/>
          <w:lang w:eastAsia="zh-CN"/>
        </w:rPr>
        <w:t>施工进度计划</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7.2.2 </w:t>
      </w:r>
      <w:r>
        <w:rPr>
          <w:rFonts w:hint="eastAsia" w:ascii="宋体" w:hAnsi="宋体" w:eastAsia="宋体" w:cs="宋体"/>
          <w:color w:val="auto"/>
          <w:sz w:val="24"/>
          <w:szCs w:val="24"/>
          <w:lang w:eastAsia="zh-CN"/>
        </w:rPr>
        <w:t>施工进度计划的修订</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发包人和监理人在收到修订的施工进度计划后确认或提出修改意见的期限：</w:t>
      </w:r>
      <w:r>
        <w:rPr>
          <w:rFonts w:hint="eastAsia" w:ascii="宋体" w:hAnsi="宋体" w:eastAsia="宋体" w:cs="宋体"/>
          <w:color w:val="auto"/>
          <w:sz w:val="24"/>
          <w:szCs w:val="24"/>
          <w:u w:val="single"/>
          <w:lang w:val="en-US"/>
        </w:rPr>
        <w:t>接到相关文件后7天内审定确认</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7.3 </w:t>
      </w:r>
      <w:r>
        <w:rPr>
          <w:rFonts w:hint="eastAsia" w:ascii="宋体" w:hAnsi="宋体" w:eastAsia="宋体" w:cs="宋体"/>
          <w:color w:val="auto"/>
          <w:sz w:val="24"/>
          <w:szCs w:val="24"/>
          <w:lang w:eastAsia="zh-CN"/>
        </w:rPr>
        <w:t>开工</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7.3.1 </w:t>
      </w:r>
      <w:r>
        <w:rPr>
          <w:rFonts w:hint="eastAsia" w:ascii="宋体" w:hAnsi="宋体" w:eastAsia="宋体" w:cs="宋体"/>
          <w:color w:val="auto"/>
          <w:sz w:val="24"/>
          <w:szCs w:val="24"/>
          <w:lang w:eastAsia="zh-CN"/>
        </w:rPr>
        <w:t>开工准备</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关于承包人提交工程开工报审表的期限：</w:t>
      </w:r>
      <w:r>
        <w:rPr>
          <w:rFonts w:hint="eastAsia" w:ascii="宋体" w:hAnsi="宋体" w:eastAsia="宋体" w:cs="宋体"/>
          <w:color w:val="auto"/>
          <w:sz w:val="24"/>
          <w:szCs w:val="24"/>
          <w:u w:val="single"/>
          <w:lang w:val="en-US"/>
        </w:rPr>
        <w:t>承包人在签订施工承包合同后7天内</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关于发包人应完成的其他开工准备工作及期限：</w:t>
      </w:r>
      <w:r>
        <w:rPr>
          <w:rFonts w:hint="eastAsia" w:ascii="宋体" w:hAnsi="宋体" w:eastAsia="宋体" w:cs="宋体"/>
          <w:color w:val="auto"/>
          <w:sz w:val="24"/>
          <w:szCs w:val="24"/>
          <w:u w:val="single"/>
          <w:lang w:val="en-US"/>
        </w:rPr>
        <w:t>承包人在签订施工承包合同后7天内</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关于承包人应完成的其他开工准备工作及期限：</w:t>
      </w:r>
      <w:r>
        <w:rPr>
          <w:rFonts w:hint="eastAsia" w:ascii="宋体" w:hAnsi="宋体" w:eastAsia="宋体" w:cs="宋体"/>
          <w:color w:val="auto"/>
          <w:sz w:val="24"/>
          <w:szCs w:val="24"/>
          <w:u w:val="single"/>
          <w:lang w:val="en-US"/>
        </w:rPr>
        <w:t>承包人在签订施工承包合同后7天内</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7.3.2</w:t>
      </w:r>
      <w:r>
        <w:rPr>
          <w:rFonts w:hint="eastAsia" w:ascii="宋体" w:hAnsi="宋体" w:eastAsia="宋体" w:cs="宋体"/>
          <w:color w:val="auto"/>
          <w:sz w:val="24"/>
          <w:szCs w:val="24"/>
          <w:lang w:eastAsia="zh-CN"/>
        </w:rPr>
        <w:t>开工通知</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因发包人原因造成监理人未能在计划开工日期之日起</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天内发出开工通知的，承包人有权提出价格调整要求，或者解除合同。</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7.4 </w:t>
      </w:r>
      <w:r>
        <w:rPr>
          <w:rFonts w:hint="eastAsia" w:ascii="宋体" w:hAnsi="宋体" w:eastAsia="宋体" w:cs="宋体"/>
          <w:color w:val="auto"/>
          <w:sz w:val="24"/>
          <w:szCs w:val="24"/>
          <w:lang w:eastAsia="zh-CN"/>
        </w:rPr>
        <w:t>测量放线</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7.4.1</w:t>
      </w:r>
      <w:r>
        <w:rPr>
          <w:rFonts w:hint="eastAsia" w:ascii="宋体" w:hAnsi="宋体" w:eastAsia="宋体" w:cs="宋体"/>
          <w:color w:val="auto"/>
          <w:sz w:val="24"/>
          <w:szCs w:val="24"/>
          <w:lang w:eastAsia="zh-CN"/>
        </w:rPr>
        <w:t>发包人通过监理人向承包人提供测量基准点、基准线和水准点及其书面资料的期限：</w:t>
      </w:r>
      <w:r>
        <w:rPr>
          <w:rFonts w:hint="eastAsia" w:ascii="宋体" w:hAnsi="宋体" w:eastAsia="宋体" w:cs="宋体"/>
          <w:color w:val="auto"/>
          <w:sz w:val="24"/>
          <w:szCs w:val="24"/>
          <w:u w:val="single"/>
          <w:lang w:val="en-US"/>
        </w:rPr>
        <w:t>开工前将水准点与座标以书面形式交给承包人，双方进行现场交验，承包人接收后应对交验的坐标控制点与水准点进行复核报监理审核。如承包人对施工现场地表面高程不重新测量，则表示承包人对发包人提供的高程无异议。水准点、座标控制点交验完毕，即由承包人自费负责保护，此后由于破坏或失准带来的重新测量、放点费用及由此造成的其他损失均由承包人承担</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7.5 </w:t>
      </w:r>
      <w:r>
        <w:rPr>
          <w:rFonts w:hint="eastAsia" w:ascii="宋体" w:hAnsi="宋体" w:eastAsia="宋体" w:cs="宋体"/>
          <w:color w:val="auto"/>
          <w:sz w:val="24"/>
          <w:szCs w:val="24"/>
          <w:lang w:eastAsia="zh-CN"/>
        </w:rPr>
        <w:t>工期延误</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7.5.1 </w:t>
      </w:r>
      <w:r>
        <w:rPr>
          <w:rFonts w:hint="eastAsia" w:ascii="宋体" w:hAnsi="宋体" w:eastAsia="宋体" w:cs="宋体"/>
          <w:color w:val="auto"/>
          <w:sz w:val="24"/>
          <w:szCs w:val="24"/>
          <w:lang w:eastAsia="zh-CN"/>
        </w:rPr>
        <w:t>因发包人原因导致工期延误</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7</w:t>
      </w:r>
      <w:r>
        <w:rPr>
          <w:rFonts w:hint="eastAsia" w:ascii="宋体" w:hAnsi="宋体" w:eastAsia="宋体" w:cs="宋体"/>
          <w:color w:val="auto"/>
          <w:sz w:val="24"/>
          <w:szCs w:val="24"/>
          <w:lang w:eastAsia="zh-CN"/>
        </w:rPr>
        <w:t>）因发包人原因导致工期延误的其他情形：</w:t>
      </w:r>
      <w:r>
        <w:rPr>
          <w:rFonts w:hint="eastAsia" w:ascii="宋体" w:hAnsi="宋体" w:eastAsia="宋体" w:cs="宋体"/>
          <w:color w:val="auto"/>
          <w:sz w:val="24"/>
          <w:szCs w:val="24"/>
          <w:u w:val="single"/>
          <w:lang w:val="en-US"/>
        </w:rPr>
        <w:t>无</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7.5.2 </w:t>
      </w:r>
      <w:r>
        <w:rPr>
          <w:rFonts w:hint="eastAsia" w:ascii="宋体" w:hAnsi="宋体" w:eastAsia="宋体" w:cs="宋体"/>
          <w:color w:val="auto"/>
          <w:sz w:val="24"/>
          <w:szCs w:val="24"/>
          <w:lang w:eastAsia="zh-CN"/>
        </w:rPr>
        <w:t>因承包人原因导致工期延误</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因承包人原因造成工期延误，逾期竣工违约金的计算方法为：</w:t>
      </w:r>
      <w:r>
        <w:rPr>
          <w:rFonts w:hint="eastAsia" w:ascii="宋体" w:hAnsi="宋体" w:eastAsia="宋体" w:cs="宋体"/>
          <w:color w:val="auto"/>
          <w:sz w:val="24"/>
          <w:szCs w:val="24"/>
          <w:u w:val="single"/>
          <w:lang w:val="en-US"/>
        </w:rPr>
        <w:t>在总工期延误每延期壹日历天按</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lang w:val="en-US"/>
        </w:rPr>
        <w:t>000元向发包人支付违约金，如确因为不可抗力的原因按本合同专用条款约定执行。本工程竣工日期以中标人送交审核确认符合要求且发包人签认的竣工报告日期为准，但需要修改或经补充有关资料才能达到验收要求的，应为中标人修改或经补充有关资料后提供招标人和有关部门通过的日期为准</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因承包人原因造成工期延误，逾期竣工违约金的上限：</w:t>
      </w:r>
      <w:r>
        <w:rPr>
          <w:rFonts w:hint="eastAsia" w:ascii="宋体" w:hAnsi="宋体" w:eastAsia="宋体" w:cs="宋体"/>
          <w:color w:val="auto"/>
          <w:sz w:val="24"/>
          <w:szCs w:val="24"/>
          <w:u w:val="single"/>
          <w:lang w:val="en-US"/>
        </w:rPr>
        <w:t>合同金额的10%</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7.6 </w:t>
      </w:r>
      <w:r>
        <w:rPr>
          <w:rFonts w:hint="eastAsia" w:ascii="宋体" w:hAnsi="宋体" w:eastAsia="宋体" w:cs="宋体"/>
          <w:color w:val="auto"/>
          <w:sz w:val="24"/>
          <w:szCs w:val="24"/>
          <w:lang w:eastAsia="zh-CN"/>
        </w:rPr>
        <w:t>不利物质条件</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不利物质条件的其他情形和有关约定：</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7.7</w:t>
      </w:r>
      <w:r>
        <w:rPr>
          <w:rFonts w:hint="eastAsia" w:ascii="宋体" w:hAnsi="宋体" w:eastAsia="宋体" w:cs="宋体"/>
          <w:color w:val="auto"/>
          <w:sz w:val="24"/>
          <w:szCs w:val="24"/>
          <w:lang w:eastAsia="zh-CN"/>
        </w:rPr>
        <w:t>异常恶劣的气候条件</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发包人和承包人同意以下情形视为异常恶劣的气候条件：</w:t>
      </w:r>
    </w:p>
    <w:tbl>
      <w:tblPr>
        <w:tblStyle w:val="24"/>
        <w:tblW w:w="0" w:type="auto"/>
        <w:tblInd w:w="594"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45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5" w:hRule="atLeast"/>
        </w:trPr>
        <w:tc>
          <w:tcPr>
            <w:tcW w:w="7455" w:type="dxa"/>
            <w:tcBorders>
              <w:top w:val="nil"/>
              <w:left w:val="nil"/>
              <w:bottom w:val="single" w:color="auto" w:sz="8" w:space="0"/>
              <w:right w:val="nil"/>
            </w:tcBorders>
            <w:noWrap w:val="0"/>
            <w:tcMar>
              <w:left w:w="108" w:type="dxa"/>
              <w:right w:w="108" w:type="dxa"/>
            </w:tcMar>
            <w:vAlign w:val="top"/>
          </w:tcPr>
          <w:p>
            <w:pPr>
              <w:keepNext w:val="0"/>
              <w:keepLines w:val="0"/>
              <w:widowControl/>
              <w:suppressLineNumbers w:val="0"/>
              <w:spacing w:line="300" w:lineRule="auto"/>
              <w:rPr>
                <w:color w:val="auto"/>
              </w:rPr>
            </w:pPr>
            <w:r>
              <w:rPr>
                <w:rFonts w:hint="eastAsia" w:ascii="宋体" w:hAnsi="宋体" w:eastAsia="宋体" w:cs="宋体"/>
                <w:color w:val="auto"/>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455" w:type="dxa"/>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line="300" w:lineRule="auto"/>
              <w:rPr>
                <w:color w:val="auto"/>
              </w:rPr>
            </w:pPr>
            <w:r>
              <w:rPr>
                <w:rFonts w:hint="eastAsia" w:ascii="宋体" w:hAnsi="宋体" w:eastAsia="宋体" w:cs="宋体"/>
                <w:color w:val="auto"/>
                <w:sz w:val="24"/>
                <w:szCs w:val="24"/>
                <w:lang w:val="en-US"/>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455" w:type="dxa"/>
            <w:tcBorders>
              <w:top w:val="nil"/>
              <w:left w:val="nil"/>
              <w:bottom w:val="nil"/>
              <w:right w:val="nil"/>
            </w:tcBorders>
            <w:noWrap w:val="0"/>
            <w:tcMar>
              <w:left w:w="108" w:type="dxa"/>
              <w:right w:w="108" w:type="dxa"/>
            </w:tcMar>
            <w:vAlign w:val="top"/>
          </w:tcPr>
          <w:p>
            <w:pPr>
              <w:keepNext w:val="0"/>
              <w:keepLines w:val="0"/>
              <w:widowControl/>
              <w:suppressLineNumbers w:val="0"/>
              <w:spacing w:line="300" w:lineRule="auto"/>
              <w:jc w:val="center"/>
              <w:rPr>
                <w:color w:val="auto"/>
              </w:rPr>
            </w:pPr>
            <w:r>
              <w:rPr>
                <w:rFonts w:hint="eastAsia" w:ascii="宋体" w:hAnsi="宋体" w:eastAsia="宋体" w:cs="宋体"/>
                <w:color w:val="auto"/>
                <w:sz w:val="24"/>
                <w:szCs w:val="24"/>
                <w:lang w:val="en-US"/>
              </w:rPr>
              <w:t xml:space="preserve">   </w:t>
            </w:r>
          </w:p>
        </w:tc>
      </w:tr>
    </w:tbl>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7.9 </w:t>
      </w:r>
      <w:r>
        <w:rPr>
          <w:rFonts w:hint="eastAsia" w:ascii="宋体" w:hAnsi="宋体" w:eastAsia="宋体" w:cs="宋体"/>
          <w:color w:val="auto"/>
          <w:sz w:val="24"/>
          <w:szCs w:val="24"/>
          <w:lang w:eastAsia="zh-CN"/>
        </w:rPr>
        <w:t>提前竣工的奖励</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7.9.2</w:t>
      </w:r>
      <w:r>
        <w:rPr>
          <w:rFonts w:hint="eastAsia" w:ascii="宋体" w:hAnsi="宋体" w:eastAsia="宋体" w:cs="宋体"/>
          <w:color w:val="auto"/>
          <w:sz w:val="24"/>
          <w:szCs w:val="24"/>
          <w:lang w:eastAsia="zh-CN"/>
        </w:rPr>
        <w:t>提前竣工的奖励：</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8. </w:t>
      </w:r>
      <w:r>
        <w:rPr>
          <w:rFonts w:hint="eastAsia" w:ascii="宋体" w:hAnsi="宋体" w:eastAsia="宋体" w:cs="宋体"/>
          <w:color w:val="auto"/>
          <w:lang w:eastAsia="zh-CN"/>
        </w:rPr>
        <w:t>材料与设备</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8.4</w:t>
      </w:r>
      <w:r>
        <w:rPr>
          <w:rFonts w:hint="eastAsia" w:ascii="宋体" w:hAnsi="宋体" w:eastAsia="宋体" w:cs="宋体"/>
          <w:color w:val="auto"/>
          <w:sz w:val="24"/>
          <w:szCs w:val="24"/>
          <w:lang w:eastAsia="zh-CN"/>
        </w:rPr>
        <w:t>材料与工程设备的保管与使用</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val="en-US"/>
        </w:rPr>
        <w:t>8.4.1</w:t>
      </w:r>
      <w:r>
        <w:rPr>
          <w:rFonts w:hint="eastAsia" w:ascii="宋体" w:hAnsi="宋体" w:eastAsia="宋体" w:cs="宋体"/>
          <w:color w:val="auto"/>
          <w:sz w:val="24"/>
          <w:szCs w:val="24"/>
          <w:lang w:eastAsia="zh-CN"/>
        </w:rPr>
        <w:t>发包人供应的材料设备的保管费用的承担：</w:t>
      </w:r>
      <w:r>
        <w:rPr>
          <w:rFonts w:hint="eastAsia" w:ascii="宋体" w:hAnsi="宋体" w:eastAsia="宋体" w:cs="宋体"/>
          <w:color w:val="auto"/>
          <w:sz w:val="24"/>
          <w:szCs w:val="24"/>
          <w:u w:val="single"/>
          <w:lang w:val="en-US"/>
        </w:rPr>
        <w:t>到达施工现场后由承包人承担</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8.6 </w:t>
      </w:r>
      <w:r>
        <w:rPr>
          <w:rFonts w:hint="eastAsia" w:ascii="宋体" w:hAnsi="宋体" w:eastAsia="宋体" w:cs="宋体"/>
          <w:color w:val="auto"/>
          <w:sz w:val="24"/>
          <w:szCs w:val="24"/>
          <w:lang w:eastAsia="zh-CN"/>
        </w:rPr>
        <w:t>样品</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8.6.1 </w:t>
      </w:r>
      <w:r>
        <w:rPr>
          <w:rFonts w:hint="eastAsia" w:ascii="宋体" w:hAnsi="宋体" w:eastAsia="宋体" w:cs="宋体"/>
          <w:color w:val="auto"/>
          <w:sz w:val="24"/>
          <w:szCs w:val="24"/>
          <w:lang w:eastAsia="zh-CN"/>
        </w:rPr>
        <w:t>样品的报送与封存</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需要承包人报送样品的材料或工程设备，样品的种类、名称、规格、数量要求：</w:t>
      </w:r>
      <w:r>
        <w:rPr>
          <w:rFonts w:hint="eastAsia" w:ascii="宋体" w:hAnsi="宋体" w:eastAsia="宋体" w:cs="宋体"/>
          <w:color w:val="auto"/>
          <w:sz w:val="24"/>
          <w:szCs w:val="24"/>
          <w:u w:val="single"/>
          <w:lang w:val="en-US"/>
        </w:rPr>
        <w:t>①承包人提供所需材料设备应按招标文件的规定和投标人的投标承诺以及工程师和发包人确定的规格、品牌、质量等级要求，并应按照工程师和发包人要求提前15天向发包人提供样品、有关资料和采购计划，经发包人、监理、设计单位共同书面确认后，方可采购进场。 ②本工程所采用的所有建筑材料、装修材料、设备、安装材料等到货时，应由发包人及承包人双方及监理工程师就材料设备的种类、产地、品牌、数量、规格、单价、技术参数、质量等级等，按发包人规定的统一品牌项目和国家制定的有关产品质量标准规范要求进行验收或抽查试验，承包人并应由验收人员提供有关产品合格证、许可证、准用证等证明和出厂日期等以供核对。承包人按照审核确认后的品牌进行采购,如材料设备供应商(或商行等)有垄断经营本工程中所用三个品牌以上的(含三个品牌),或工程有关人员事先与材料设备供应商(或商行等)串通后再列入工程预算书中品牌的,或工程有关人员与材料设备供应商(或商行等)串通抬高材料品牌价格的,承包人有权自行另选品牌,经所选的品牌的技术标准、质量等级和价位应当相当于或不低于招标文件规定的品牌,并把样品、检验合格证和有关资料报经发包人、设计人员和监理工程师共同认定,经批准后可采购和使用。发包人、设计人员和监理工程师应予支持,如有刁难行为的,承包人可以向纪检监察部门反映,有影响工程进展的由责任方负责。 ③承包人应于每月25日向发包人提交《供应材料设备—览表》，详细填报如下数据：材料设备名称、规格型号、品牌、计量单位、数量、单价、供应时间、送达地点，附送产品合格证（复印件）。 ④由承包人采购的建筑装修材料、大宗设备须向发包人提供正式发票复印件。 ⑤承包人采购的进口材料设备产品必须是从国家规定的正规渠道进口的产品，具有合法手续，其所发生的一切法律责任由承包人负责。 ⑥如果发包人认为本工程部分材料设备需由发包人采购或进行调整，发包人应提前30日通知承包人，或在承包人提交订货书面报告后3天内通知承包人。有关调整变更项目的价款从承包人投标报价的相应部分扣除。 ⑦如果运至工地的材料或构件不符合有关标准，承包人必须根据现场工程师书面意见立即把这些不合格的材料及构件从工地搬走。否则发包人可以把这些不合格材料及构件从工地搬走，并从应付给承包人的款项扣除其运杂费。 ⑧承包人应负责材料的保管及成品半成品的保管工作。 ⑨承包人提供的材料设备产品的质量必须符合国家建材行业和机电行业等标准要求</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8.8 </w:t>
      </w:r>
      <w:r>
        <w:rPr>
          <w:rFonts w:hint="eastAsia" w:ascii="宋体" w:hAnsi="宋体" w:eastAsia="宋体" w:cs="宋体"/>
          <w:color w:val="auto"/>
          <w:sz w:val="24"/>
          <w:szCs w:val="24"/>
          <w:lang w:eastAsia="zh-CN"/>
        </w:rPr>
        <w:t>施工设备和临时设施</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8.8.1 </w:t>
      </w:r>
      <w:r>
        <w:rPr>
          <w:rFonts w:hint="eastAsia" w:ascii="宋体" w:hAnsi="宋体" w:eastAsia="宋体" w:cs="宋体"/>
          <w:color w:val="auto"/>
          <w:sz w:val="24"/>
          <w:szCs w:val="24"/>
          <w:lang w:eastAsia="zh-CN"/>
        </w:rPr>
        <w:t>承包人提供的施工设备和临时设施</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关于修建临时设施费用承担的约定：</w:t>
      </w:r>
      <w:r>
        <w:rPr>
          <w:rFonts w:hint="eastAsia" w:ascii="宋体" w:hAnsi="宋体" w:eastAsia="宋体" w:cs="宋体"/>
          <w:color w:val="auto"/>
          <w:sz w:val="24"/>
          <w:szCs w:val="24"/>
          <w:u w:val="single"/>
          <w:lang w:val="en-US"/>
        </w:rPr>
        <w:t>本工程的施工过程中发生的各项清理费用、临时性收费、临时性占用场地费用、临时设施费和不可预见费用，均包括在合同总价中。如不按发包人或监理工程师的要求及时完成清理，发包人有权雇请他人完成，因此发生的一切费用从工程款中扣除</w:t>
      </w:r>
      <w:r>
        <w:rPr>
          <w:rFonts w:hint="eastAsia" w:ascii="宋体" w:hAnsi="宋体" w:eastAsia="宋体" w:cs="宋体"/>
          <w:color w:val="auto"/>
          <w:sz w:val="24"/>
          <w:szCs w:val="24"/>
          <w:lang w:eastAsia="zh-CN"/>
        </w:rPr>
        <w:t>。</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9. </w:t>
      </w:r>
      <w:r>
        <w:rPr>
          <w:rFonts w:hint="eastAsia" w:ascii="宋体" w:hAnsi="宋体" w:eastAsia="宋体" w:cs="宋体"/>
          <w:color w:val="auto"/>
          <w:lang w:eastAsia="zh-CN"/>
        </w:rPr>
        <w:t>试验与检验</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9.1</w:t>
      </w:r>
      <w:r>
        <w:rPr>
          <w:rFonts w:hint="eastAsia" w:ascii="宋体" w:hAnsi="宋体" w:eastAsia="宋体" w:cs="宋体"/>
          <w:color w:val="auto"/>
          <w:sz w:val="24"/>
          <w:szCs w:val="24"/>
          <w:lang w:eastAsia="zh-CN"/>
        </w:rPr>
        <w:t>试验设备与试验人员</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9.1.2 </w:t>
      </w:r>
      <w:r>
        <w:rPr>
          <w:rFonts w:hint="eastAsia" w:ascii="宋体" w:hAnsi="宋体" w:eastAsia="宋体" w:cs="宋体"/>
          <w:color w:val="auto"/>
          <w:sz w:val="24"/>
          <w:szCs w:val="24"/>
          <w:lang w:eastAsia="zh-CN"/>
        </w:rPr>
        <w:t>试验设备</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施工现场需要配置的试验场所：</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施工现场需要配备的试验设备：</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施工现场需要具备的其他试验条件：</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9.4 </w:t>
      </w:r>
      <w:r>
        <w:rPr>
          <w:rFonts w:hint="eastAsia" w:ascii="宋体" w:hAnsi="宋体" w:eastAsia="宋体" w:cs="宋体"/>
          <w:color w:val="auto"/>
          <w:sz w:val="24"/>
          <w:szCs w:val="24"/>
          <w:lang w:eastAsia="zh-CN"/>
        </w:rPr>
        <w:t xml:space="preserve">现场工艺试验 </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现场工艺试验的有关约定：</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10. </w:t>
      </w:r>
      <w:r>
        <w:rPr>
          <w:rFonts w:hint="eastAsia" w:ascii="宋体" w:hAnsi="宋体" w:eastAsia="宋体" w:cs="宋体"/>
          <w:color w:val="auto"/>
          <w:lang w:eastAsia="zh-CN"/>
        </w:rPr>
        <w:t>变更</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10.1</w:t>
      </w:r>
      <w:r>
        <w:rPr>
          <w:rFonts w:hint="eastAsia" w:ascii="宋体" w:hAnsi="宋体" w:eastAsia="宋体" w:cs="宋体"/>
          <w:color w:val="auto"/>
          <w:sz w:val="24"/>
          <w:szCs w:val="24"/>
          <w:lang w:eastAsia="zh-CN"/>
        </w:rPr>
        <w:t>变更的范围</w:t>
      </w:r>
    </w:p>
    <w:p>
      <w:pPr>
        <w:keepNext w:val="0"/>
        <w:keepLines w:val="0"/>
        <w:widowControl/>
        <w:suppressLineNumbers w:val="0"/>
        <w:snapToGrid w:val="0"/>
        <w:spacing w:line="300" w:lineRule="auto"/>
        <w:ind w:left="0" w:firstLine="42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关于变更的范围的约定：</w:t>
      </w:r>
      <w:r>
        <w:rPr>
          <w:rFonts w:hint="eastAsia" w:ascii="宋体" w:hAnsi="宋体" w:eastAsia="宋体" w:cs="宋体"/>
          <w:i w:val="0"/>
          <w:iCs w:val="0"/>
          <w:color w:val="auto"/>
          <w:sz w:val="24"/>
          <w:szCs w:val="24"/>
          <w:u w:val="single"/>
          <w:lang w:eastAsia="zh-CN"/>
        </w:rPr>
        <w:t>建设项目应严格按批准的施工图设计文件组织实施，不得随意进行工程变更（指设计变更及现场签证）。项目实施过程中，由于水文地质、技术问题、不可抗力或其他原因确需变更的，按发包人规定执行</w:t>
      </w:r>
      <w:r>
        <w:rPr>
          <w:rFonts w:hint="eastAsia" w:ascii="宋体" w:hAnsi="宋体" w:eastAsia="宋体" w:cs="宋体"/>
          <w:color w:val="auto"/>
          <w:sz w:val="24"/>
          <w:szCs w:val="24"/>
          <w:lang w:eastAsia="zh-CN"/>
        </w:rPr>
        <w:t>。</w:t>
      </w:r>
    </w:p>
    <w:p>
      <w:pPr>
        <w:keepNext w:val="0"/>
        <w:keepLines w:val="0"/>
        <w:widowControl/>
        <w:numPr>
          <w:ilvl w:val="0"/>
          <w:numId w:val="18"/>
        </w:numPr>
        <w:suppressLineNumbers w:val="0"/>
        <w:snapToGrid w:val="0"/>
        <w:spacing w:line="300" w:lineRule="auto"/>
        <w:ind w:left="0" w:firstLine="420"/>
        <w:jc w:val="left"/>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u w:val="single"/>
          <w:lang w:val="en-US"/>
        </w:rPr>
        <w:t>涉及变更项目应按照泉政文〔2003〕352 号、353 号文，泉丰政综[2006]1</w:t>
      </w:r>
      <w:bookmarkStart w:id="516" w:name="_GoBack"/>
      <w:r>
        <w:rPr>
          <w:rFonts w:hint="eastAsia" w:ascii="宋体" w:hAnsi="宋体" w:eastAsia="宋体" w:cs="宋体"/>
          <w:color w:val="auto"/>
          <w:sz w:val="24"/>
          <w:szCs w:val="24"/>
          <w:u w:val="single"/>
          <w:lang w:val="en-US"/>
        </w:rPr>
        <w:t>17</w:t>
      </w:r>
      <w:bookmarkEnd w:id="516"/>
      <w:r>
        <w:rPr>
          <w:rFonts w:hint="eastAsia" w:ascii="宋体" w:hAnsi="宋体" w:eastAsia="宋体" w:cs="宋体"/>
          <w:color w:val="auto"/>
          <w:sz w:val="24"/>
          <w:szCs w:val="24"/>
          <w:u w:val="single"/>
          <w:lang w:val="en-US"/>
        </w:rPr>
        <w:t>号,泉丰政办综[2008]49 号、泉丰政综[2008]133号等文件及招标文件中有关条款规定执行。</w:t>
      </w:r>
    </w:p>
    <w:p>
      <w:pPr>
        <w:keepNext w:val="0"/>
        <w:keepLines w:val="0"/>
        <w:widowControl/>
        <w:numPr>
          <w:ilvl w:val="0"/>
          <w:numId w:val="18"/>
        </w:numPr>
        <w:suppressLineNumbers w:val="0"/>
        <w:snapToGrid w:val="0"/>
        <w:spacing w:line="300" w:lineRule="auto"/>
        <w:ind w:left="0" w:firstLine="420"/>
        <w:jc w:val="left"/>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u w:val="single"/>
          <w:lang w:val="en-US"/>
        </w:rPr>
        <w:t>（2）承包人应严把设计变更，对确需设计变更的应由提出变更单位说明理由。设计变更不得降低原设计标准。设计变更应经建设、监理、施工和设计单位四家共同确认签章，并经施工图审查通过（若需）。</w:t>
      </w:r>
    </w:p>
    <w:p>
      <w:pPr>
        <w:keepNext w:val="0"/>
        <w:keepLines w:val="0"/>
        <w:widowControl/>
        <w:suppressLineNumbers w:val="0"/>
        <w:snapToGrid w:val="0"/>
        <w:spacing w:after="120" w:afterAutospacing="0" w:line="300" w:lineRule="auto"/>
        <w:ind w:left="0" w:firstLine="480"/>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u w:val="single"/>
          <w:lang w:val="en-US"/>
        </w:rPr>
        <w:t>（3）设计变更文件需要由相关专业的设计人员签字和加盖专用章，并盖有设计单位的出图专用章。所有设计变更文件须报施工图审查机构审查备案（若需）。</w:t>
      </w:r>
    </w:p>
    <w:p>
      <w:pPr>
        <w:keepNext w:val="0"/>
        <w:keepLines w:val="0"/>
        <w:widowControl/>
        <w:suppressLineNumbers w:val="0"/>
        <w:snapToGrid w:val="0"/>
        <w:spacing w:after="120" w:afterAutospacing="0" w:line="300" w:lineRule="auto"/>
        <w:ind w:left="0" w:firstLine="480"/>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u w:val="single"/>
          <w:lang w:val="en-US"/>
        </w:rPr>
        <w:t>（4）施工图审查机构应将审查合格的施工图和设计变更文件及审查书面意见提供一份给工程质量安全监督机构进行跟踪监督。</w:t>
      </w:r>
    </w:p>
    <w:p>
      <w:pPr>
        <w:keepNext w:val="0"/>
        <w:keepLines w:val="0"/>
        <w:widowControl/>
        <w:suppressLineNumbers w:val="0"/>
        <w:snapToGrid w:val="0"/>
        <w:spacing w:after="120" w:afterAutospacing="0" w:line="300" w:lineRule="auto"/>
        <w:ind w:left="0" w:firstLine="480"/>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u w:val="single"/>
          <w:lang w:val="en-US"/>
        </w:rPr>
        <w:t>（5）施工过程中涉及设计变更和现场签证增加工程量及价格不与进度拨付。待工程结算报送区财政部门审核出具工程竣工结算报告后拨付。</w:t>
      </w:r>
    </w:p>
    <w:p>
      <w:pPr>
        <w:keepNext w:val="0"/>
        <w:keepLines w:val="0"/>
        <w:widowControl/>
        <w:suppressLineNumbers w:val="0"/>
        <w:snapToGrid w:val="0"/>
        <w:spacing w:after="120" w:afterAutospacing="0" w:line="300" w:lineRule="auto"/>
        <w:ind w:left="0" w:firstLine="480"/>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u w:val="single"/>
          <w:lang w:val="en-US"/>
        </w:rPr>
        <w:t>（6）工程签证程序：签证原则上应先批准后实施，签证前承包人应提交相关资料包括签证说明、附简图、标明几何尺寸、工程量计算式、必要时附相关照片，报监理、发包人审核批准同意后实施。如遇特殊紧急情况，无法事先批准的，承包人应在前述情况发生后 14 天内严格按照签证程序进行签证，否则签证无效：</w:t>
      </w:r>
    </w:p>
    <w:p>
      <w:pPr>
        <w:keepNext w:val="0"/>
        <w:keepLines w:val="0"/>
        <w:widowControl/>
        <w:suppressLineNumbers w:val="0"/>
        <w:snapToGrid w:val="0"/>
        <w:spacing w:after="120" w:afterAutospacing="0" w:line="300" w:lineRule="auto"/>
        <w:ind w:left="0" w:firstLine="480"/>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u w:val="single"/>
          <w:lang w:val="en-US"/>
        </w:rPr>
        <w:t>注：监理单位对工程任何签证事项并不具有签证权利，监理单位仅对承包人提出签证事项负责协助审核，发包人派驻现场的工程师代表仅享有对现场工程量确认的权利但并不享有对工程量增减最终批准确认的签证权利。</w:t>
      </w:r>
    </w:p>
    <w:p>
      <w:pPr>
        <w:keepNext w:val="0"/>
        <w:keepLines w:val="0"/>
        <w:widowControl/>
        <w:suppressLineNumbers w:val="0"/>
        <w:snapToGrid w:val="0"/>
        <w:spacing w:after="120" w:afterAutospacing="0" w:line="300" w:lineRule="auto"/>
        <w:ind w:left="0" w:firstLine="480"/>
        <w:rPr>
          <w:rFonts w:hint="eastAsia" w:ascii="宋体" w:hAnsi="宋体" w:eastAsia="宋体" w:cs="宋体"/>
          <w:color w:val="auto"/>
          <w:sz w:val="24"/>
          <w:szCs w:val="24"/>
          <w:lang w:val="en-US"/>
        </w:rPr>
      </w:pPr>
      <w:r>
        <w:rPr>
          <w:rFonts w:hint="eastAsia" w:ascii="宋体" w:hAnsi="宋体" w:eastAsia="宋体" w:cs="宋体"/>
          <w:color w:val="auto"/>
          <w:sz w:val="24"/>
          <w:szCs w:val="24"/>
          <w:u w:val="single"/>
          <w:lang w:val="en-US"/>
        </w:rPr>
        <w:t>未按上述规定规范审批的设计变更或现场签证，该部分工程进度款不予计量及支付，相关变更及签证材料不得作为工程结算的依据</w:t>
      </w:r>
      <w:r>
        <w:rPr>
          <w:rFonts w:hint="eastAsia" w:ascii="宋体" w:hAnsi="宋体" w:eastAsia="宋体" w:cs="宋体"/>
          <w:color w:val="auto"/>
          <w:sz w:val="24"/>
          <w:szCs w:val="24"/>
          <w:lang w:val="en-US"/>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10.4 </w:t>
      </w:r>
      <w:r>
        <w:rPr>
          <w:rFonts w:hint="eastAsia" w:ascii="宋体" w:hAnsi="宋体" w:eastAsia="宋体" w:cs="宋体"/>
          <w:color w:val="auto"/>
          <w:sz w:val="24"/>
          <w:szCs w:val="24"/>
          <w:lang w:eastAsia="zh-CN"/>
        </w:rPr>
        <w:t>变更估价</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10.4.1 </w:t>
      </w:r>
      <w:r>
        <w:rPr>
          <w:rFonts w:hint="eastAsia" w:ascii="宋体" w:hAnsi="宋体" w:eastAsia="宋体" w:cs="宋体"/>
          <w:color w:val="auto"/>
          <w:sz w:val="24"/>
          <w:szCs w:val="24"/>
          <w:lang w:eastAsia="zh-CN"/>
        </w:rPr>
        <w:t>变更估价原则</w:t>
      </w:r>
    </w:p>
    <w:p>
      <w:pPr>
        <w:keepNext w:val="0"/>
        <w:keepLines w:val="0"/>
        <w:widowControl/>
        <w:suppressLineNumbers w:val="0"/>
        <w:snapToGrid w:val="0"/>
        <w:spacing w:line="300" w:lineRule="auto"/>
        <w:ind w:left="0" w:firstLine="42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关于变更估价的约定</w:t>
      </w:r>
      <w:r>
        <w:rPr>
          <w:rFonts w:hint="eastAsia" w:ascii="宋体" w:hAnsi="宋体" w:eastAsia="宋体" w:cs="宋体"/>
          <w:color w:val="auto"/>
          <w:sz w:val="24"/>
          <w:szCs w:val="24"/>
          <w:lang w:val="en-US"/>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rPr>
        <w:t>增减工程量的单价确定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1）不在工程量清单之内的项目，按照省市造价主管部门颁布的施工期间的定额、费用标准、价格信息及中标价降幅系数计算。若定额缺项的，由承包人提出适当的单价，经发包人会同监理工程师、工程预结算审核部门审核后确定。</w:t>
      </w:r>
    </w:p>
    <w:p>
      <w:pPr>
        <w:keepNext w:val="0"/>
        <w:keepLines w:val="0"/>
        <w:widowControl/>
        <w:suppressLineNumbers w:val="0"/>
        <w:snapToGrid w:val="0"/>
        <w:spacing w:line="300" w:lineRule="auto"/>
        <w:ind w:left="0" w:firstLine="420"/>
        <w:jc w:val="lef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备注：中标价降幅系数=1-[（中标价-暂列金额-专业工程暂估价-甲供材料费）/(招标时发布的招标控制价-暂列金额-专业工程暂估价-甲供材料费))×100%。中标价降幅系数按四舍五入规则保留百分数小数点后二位数字。其中上述的暂列金额 0 元、专业工程暂估价0元、甲供材料费0元。</w:t>
      </w:r>
    </w:p>
    <w:p>
      <w:pPr>
        <w:keepNext w:val="0"/>
        <w:keepLines w:val="0"/>
        <w:widowControl/>
        <w:suppressLineNumbers w:val="0"/>
        <w:snapToGrid w:val="0"/>
        <w:spacing w:line="300" w:lineRule="auto"/>
        <w:ind w:left="0" w:firstLine="420"/>
        <w:jc w:val="lef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材料变更时单价确定</w:t>
      </w:r>
    </w:p>
    <w:p>
      <w:pPr>
        <w:keepNext w:val="0"/>
        <w:keepLines w:val="0"/>
        <w:widowControl/>
        <w:suppressLineNumbers w:val="0"/>
        <w:snapToGrid w:val="0"/>
        <w:spacing w:line="300" w:lineRule="auto"/>
        <w:ind w:left="0" w:firstLine="420"/>
        <w:jc w:val="lef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（1）材料价格明细表已有的材料，根据生态环境局审核批准的预算造价中材料价格明细表所列的材料单价×(1-中标价降幅系数)计算。</w:t>
      </w:r>
    </w:p>
    <w:p>
      <w:pPr>
        <w:keepNext w:val="0"/>
        <w:keepLines w:val="0"/>
        <w:widowControl/>
        <w:suppressLineNumbers w:val="0"/>
        <w:snapToGrid w:val="0"/>
        <w:spacing w:line="300" w:lineRule="auto"/>
        <w:ind w:left="0" w:firstLine="420"/>
        <w:jc w:val="lef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（2）材料价格明细表中没有的材料，按照《泉州市工程造价管理》施工期间公布的材料单价及中标价降幅系数计算。</w:t>
      </w:r>
    </w:p>
    <w:p>
      <w:pPr>
        <w:keepNext w:val="0"/>
        <w:keepLines w:val="0"/>
        <w:widowControl/>
        <w:suppressLineNumbers w:val="0"/>
        <w:snapToGrid w:val="0"/>
        <w:spacing w:line="300" w:lineRule="auto"/>
        <w:ind w:left="0" w:firstLine="420"/>
        <w:jc w:val="left"/>
        <w:rPr>
          <w:color w:val="auto"/>
          <w:u w:val="single"/>
        </w:rPr>
      </w:pPr>
      <w:r>
        <w:rPr>
          <w:rFonts w:hint="eastAsia" w:ascii="宋体" w:hAnsi="宋体" w:eastAsia="宋体" w:cs="宋体"/>
          <w:color w:val="auto"/>
          <w:sz w:val="24"/>
          <w:szCs w:val="24"/>
          <w:u w:val="single"/>
          <w:lang w:eastAsia="zh-CN"/>
        </w:rPr>
        <w:t>（3）《泉州市工程造价管理》没有公布的材料，由承包人提出适当的价格，发包人经市场询价后会同监理工程师、工程预结算审核部门询价审核后确定并报送造价管理部门备案。</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10.5</w:t>
      </w:r>
      <w:r>
        <w:rPr>
          <w:rFonts w:hint="eastAsia" w:ascii="宋体" w:hAnsi="宋体" w:eastAsia="宋体" w:cs="宋体"/>
          <w:color w:val="auto"/>
          <w:sz w:val="24"/>
          <w:szCs w:val="24"/>
          <w:lang w:eastAsia="zh-CN"/>
        </w:rPr>
        <w:t>承包人的合理化建议</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监理人审查承包人合理化建议的期限：</w:t>
      </w:r>
      <w:r>
        <w:rPr>
          <w:rFonts w:hint="eastAsia" w:ascii="宋体" w:hAnsi="宋体" w:eastAsia="宋体" w:cs="宋体"/>
          <w:color w:val="auto"/>
          <w:sz w:val="24"/>
          <w:szCs w:val="24"/>
          <w:u w:val="single"/>
          <w:lang w:val="en-US"/>
        </w:rPr>
        <w:t>7天内</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发包人审批承包人合理化建议的期限：</w:t>
      </w:r>
      <w:r>
        <w:rPr>
          <w:rFonts w:hint="eastAsia" w:ascii="宋体" w:hAnsi="宋体" w:eastAsia="宋体" w:cs="宋体"/>
          <w:color w:val="auto"/>
          <w:sz w:val="24"/>
          <w:szCs w:val="24"/>
          <w:u w:val="single"/>
          <w:lang w:val="en-US"/>
        </w:rPr>
        <w:t>7天内</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承包人提出的合理化建议降低了合同价格或者提高了工程经济效益的奖励的方法和金额为：</w:t>
      </w:r>
      <w:r>
        <w:rPr>
          <w:rFonts w:hint="eastAsia" w:ascii="宋体" w:hAnsi="宋体" w:eastAsia="宋体" w:cs="宋体"/>
          <w:color w:val="auto"/>
          <w:sz w:val="24"/>
          <w:szCs w:val="24"/>
          <w:u w:val="single"/>
          <w:lang w:val="en-US"/>
        </w:rPr>
        <w:t>无</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10.7 </w:t>
      </w:r>
      <w:r>
        <w:rPr>
          <w:rFonts w:hint="eastAsia" w:ascii="宋体" w:hAnsi="宋体" w:eastAsia="宋体" w:cs="宋体"/>
          <w:color w:val="auto"/>
          <w:sz w:val="24"/>
          <w:szCs w:val="24"/>
          <w:lang w:eastAsia="zh-CN"/>
        </w:rPr>
        <w:t>暂估价</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暂估价分包工程、服务的明细详见附件</w:t>
      </w:r>
      <w:r>
        <w:rPr>
          <w:rFonts w:hint="eastAsia" w:ascii="宋体" w:hAnsi="宋体" w:eastAsia="宋体" w:cs="宋体"/>
          <w:color w:val="auto"/>
          <w:sz w:val="24"/>
          <w:szCs w:val="24"/>
          <w:lang w:val="en-US"/>
        </w:rPr>
        <w:t>10</w:t>
      </w:r>
      <w:r>
        <w:rPr>
          <w:rFonts w:hint="eastAsia" w:ascii="宋体" w:hAnsi="宋体" w:eastAsia="宋体" w:cs="宋体"/>
          <w:color w:val="auto"/>
          <w:sz w:val="24"/>
          <w:szCs w:val="24"/>
          <w:lang w:eastAsia="zh-CN"/>
        </w:rPr>
        <w:t>：《专业工程暂估价表》。</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10.7.1 </w:t>
      </w:r>
      <w:r>
        <w:rPr>
          <w:rFonts w:hint="eastAsia" w:ascii="宋体" w:hAnsi="宋体" w:eastAsia="宋体" w:cs="宋体"/>
          <w:color w:val="auto"/>
          <w:sz w:val="24"/>
          <w:szCs w:val="24"/>
          <w:lang w:eastAsia="zh-CN"/>
        </w:rPr>
        <w:t>依法必须招标的暂估价项目</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对于依法必须招标的暂估价项目的确认和批准采取第</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种方式确定。</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10.7.2 </w:t>
      </w:r>
      <w:r>
        <w:rPr>
          <w:rFonts w:hint="eastAsia" w:ascii="宋体" w:hAnsi="宋体" w:eastAsia="宋体" w:cs="宋体"/>
          <w:color w:val="auto"/>
          <w:sz w:val="24"/>
          <w:szCs w:val="24"/>
          <w:lang w:eastAsia="zh-CN"/>
        </w:rPr>
        <w:t>不属于依法必须招标的暂估价项目</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对于不属于依法必须招标的暂估价项目的确认和批准采取第</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种方式确定。</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rPr>
        <w:t>3</w:t>
      </w:r>
      <w:r>
        <w:rPr>
          <w:rFonts w:hint="eastAsia" w:ascii="宋体" w:hAnsi="宋体" w:eastAsia="宋体" w:cs="宋体"/>
          <w:color w:val="auto"/>
          <w:sz w:val="24"/>
          <w:szCs w:val="24"/>
          <w:lang w:eastAsia="zh-CN"/>
        </w:rPr>
        <w:t>种方式：承包人直接实施的暂估价项目</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承包人直接实施的暂估价项目的约定：</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10.8 </w:t>
      </w:r>
      <w:r>
        <w:rPr>
          <w:rFonts w:hint="eastAsia" w:ascii="宋体" w:hAnsi="宋体" w:eastAsia="宋体" w:cs="宋体"/>
          <w:color w:val="auto"/>
          <w:sz w:val="24"/>
          <w:szCs w:val="24"/>
          <w:lang w:eastAsia="zh-CN"/>
        </w:rPr>
        <w:t>暂列金额</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合同当事人关于暂列金额使用的约定：</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11. </w:t>
      </w:r>
      <w:r>
        <w:rPr>
          <w:rFonts w:hint="eastAsia" w:ascii="宋体" w:hAnsi="宋体" w:eastAsia="宋体" w:cs="宋体"/>
          <w:color w:val="auto"/>
          <w:lang w:eastAsia="zh-CN"/>
        </w:rPr>
        <w:t>价格调整</w:t>
      </w:r>
    </w:p>
    <w:p>
      <w:pPr>
        <w:spacing w:after="120" w:line="3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 市场价格波动引起的调整</w:t>
      </w:r>
    </w:p>
    <w:p>
      <w:pPr>
        <w:spacing w:line="30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11.1.2主要材料和设备价差调整</w:t>
      </w:r>
    </w:p>
    <w:p>
      <w:pPr>
        <w:spacing w:line="30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（2）主要材料和设备单价的风险承包幅度为</w:t>
      </w:r>
      <w:r>
        <w:rPr>
          <w:rFonts w:hint="eastAsia" w:ascii="宋体" w:hAnsi="宋体" w:cs="宋体"/>
          <w:bCs/>
          <w:color w:val="auto"/>
          <w:sz w:val="24"/>
          <w:szCs w:val="24"/>
          <w:highlight w:val="none"/>
          <w:u w:val="single"/>
        </w:rPr>
        <w:t xml:space="preserve"> ±5%以内 </w:t>
      </w:r>
      <w:r>
        <w:rPr>
          <w:rFonts w:hint="eastAsia" w:ascii="宋体" w:hAnsi="宋体" w:cs="宋体"/>
          <w:bCs/>
          <w:color w:val="auto"/>
          <w:sz w:val="24"/>
          <w:szCs w:val="24"/>
          <w:highlight w:val="none"/>
        </w:rPr>
        <w:t>。</w:t>
      </w:r>
    </w:p>
    <w:p>
      <w:pPr>
        <w:spacing w:line="30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11.1.3施工机械使用费价差调整</w:t>
      </w:r>
    </w:p>
    <w:p>
      <w:pPr>
        <w:spacing w:line="30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（1）施工机械台班单价的风险承包幅度为</w:t>
      </w:r>
      <w:r>
        <w:rPr>
          <w:rFonts w:hint="eastAsia" w:ascii="宋体" w:hAnsi="宋体" w:cs="宋体"/>
          <w:bCs/>
          <w:color w:val="auto"/>
          <w:sz w:val="24"/>
          <w:szCs w:val="24"/>
          <w:highlight w:val="none"/>
          <w:u w:val="single"/>
        </w:rPr>
        <w:t xml:space="preserve"> ±5%以内 </w:t>
      </w:r>
      <w:r>
        <w:rPr>
          <w:rFonts w:hint="eastAsia" w:ascii="宋体" w:hAnsi="宋体" w:cs="宋体"/>
          <w:bCs/>
          <w:color w:val="auto"/>
          <w:sz w:val="24"/>
          <w:szCs w:val="24"/>
          <w:highlight w:val="none"/>
        </w:rPr>
        <w:t>。</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12. </w:t>
      </w:r>
      <w:r>
        <w:rPr>
          <w:rFonts w:hint="eastAsia" w:ascii="宋体" w:hAnsi="宋体" w:eastAsia="宋体" w:cs="宋体"/>
          <w:color w:val="auto"/>
          <w:lang w:eastAsia="zh-CN"/>
        </w:rPr>
        <w:t>合同价格、计量与支付</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12.1 </w:t>
      </w:r>
      <w:r>
        <w:rPr>
          <w:rFonts w:hint="eastAsia" w:ascii="宋体" w:hAnsi="宋体" w:eastAsia="宋体" w:cs="宋体"/>
          <w:color w:val="auto"/>
          <w:sz w:val="24"/>
          <w:szCs w:val="24"/>
          <w:lang w:eastAsia="zh-CN"/>
        </w:rPr>
        <w:t>合同价格形式</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eastAsia="zh-CN"/>
        </w:rPr>
        <w:t>、单价合同。</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综合单价包含的风险范围：</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风险范围以外合同价格的调整方法：</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eastAsia="zh-CN"/>
        </w:rPr>
        <w:t>、总价合同。</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u w:val="none"/>
          <w:lang w:eastAsia="zh-CN"/>
        </w:rPr>
        <w:t>合同价款中不包含的风险范围：</w:t>
      </w:r>
      <w:r>
        <w:rPr>
          <w:rFonts w:hint="eastAsia" w:ascii="宋体" w:hAnsi="宋体" w:eastAsia="宋体" w:cs="宋体"/>
          <w:color w:val="auto"/>
          <w:sz w:val="24"/>
          <w:szCs w:val="24"/>
          <w:u w:val="single"/>
          <w:lang w:eastAsia="zh-CN"/>
        </w:rPr>
        <w:t>福建省建设厅发布的施工期人工预算单价调整；工程地下地质条件的变化；设计变更；现场签证；不可抗力；主要材料和设备的价格市场变动超出约定幅度的严格执行闽建筑〔2018〕41号文相关规定，主要材料和设备价格上涨或下降幅度在5％以内的，其价差由承包人承担或受益；价格上涨或下降幅度在5％以外的，其价差（即超过5%的部分）由发包人承担或受益</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val="en-US"/>
        </w:rPr>
        <w:t>3</w:t>
      </w:r>
      <w:r>
        <w:rPr>
          <w:rFonts w:hint="eastAsia" w:ascii="宋体" w:hAnsi="宋体" w:eastAsia="宋体" w:cs="宋体"/>
          <w:color w:val="auto"/>
          <w:sz w:val="24"/>
          <w:szCs w:val="24"/>
          <w:lang w:eastAsia="zh-CN"/>
        </w:rPr>
        <w:t>、其他价格方式：</w:t>
      </w:r>
      <w:r>
        <w:rPr>
          <w:rFonts w:hint="eastAsia" w:ascii="宋体" w:hAnsi="宋体" w:eastAsia="宋体" w:cs="宋体"/>
          <w:color w:val="auto"/>
          <w:sz w:val="24"/>
          <w:szCs w:val="24"/>
          <w:u w:val="single"/>
          <w:lang w:val="en-US"/>
        </w:rPr>
        <w:t>无</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12.2 </w:t>
      </w:r>
      <w:r>
        <w:rPr>
          <w:rFonts w:hint="eastAsia" w:ascii="宋体" w:hAnsi="宋体" w:eastAsia="宋体" w:cs="宋体"/>
          <w:color w:val="auto"/>
          <w:sz w:val="24"/>
          <w:szCs w:val="24"/>
          <w:lang w:eastAsia="zh-CN"/>
        </w:rPr>
        <w:t>预付款</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12.2.1 </w:t>
      </w:r>
      <w:r>
        <w:rPr>
          <w:rFonts w:hint="eastAsia" w:ascii="宋体" w:hAnsi="宋体" w:eastAsia="宋体" w:cs="宋体"/>
          <w:color w:val="auto"/>
          <w:sz w:val="24"/>
          <w:szCs w:val="24"/>
          <w:lang w:eastAsia="zh-CN"/>
        </w:rPr>
        <w:t>预付款的支付</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预付款支付比例或金额：</w:t>
      </w:r>
      <w:r>
        <w:rPr>
          <w:rFonts w:hint="eastAsia" w:ascii="宋体" w:hAnsi="宋体" w:eastAsia="宋体" w:cs="宋体"/>
          <w:color w:val="auto"/>
          <w:sz w:val="24"/>
          <w:szCs w:val="24"/>
          <w:u w:val="single"/>
          <w:lang w:val="en-US"/>
        </w:rPr>
        <w:t>本工程不设预付款</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预付款支付期限：</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预付款扣回的方式：</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12.3 </w:t>
      </w:r>
      <w:r>
        <w:rPr>
          <w:rFonts w:hint="eastAsia" w:ascii="宋体" w:hAnsi="宋体" w:eastAsia="宋体" w:cs="宋体"/>
          <w:color w:val="auto"/>
          <w:sz w:val="24"/>
          <w:szCs w:val="24"/>
          <w:lang w:eastAsia="zh-CN"/>
        </w:rPr>
        <w:t>计量</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12.3.1 </w:t>
      </w:r>
      <w:r>
        <w:rPr>
          <w:rFonts w:hint="eastAsia" w:ascii="宋体" w:hAnsi="宋体" w:eastAsia="宋体" w:cs="宋体"/>
          <w:color w:val="auto"/>
          <w:sz w:val="24"/>
          <w:szCs w:val="24"/>
          <w:lang w:eastAsia="zh-CN"/>
        </w:rPr>
        <w:t>计量原则</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工程量计算规则：</w:t>
      </w:r>
      <w:r>
        <w:rPr>
          <w:rFonts w:hint="eastAsia" w:ascii="宋体" w:hAnsi="宋体" w:eastAsia="宋体" w:cs="宋体"/>
          <w:color w:val="auto"/>
          <w:sz w:val="24"/>
          <w:szCs w:val="24"/>
          <w:u w:val="single"/>
          <w:lang w:val="en-US"/>
        </w:rPr>
        <w:t>符合现行工程量清单计价规范及我省现行有关规定</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12.3.2 </w:t>
      </w:r>
      <w:r>
        <w:rPr>
          <w:rFonts w:hint="eastAsia" w:ascii="宋体" w:hAnsi="宋体" w:eastAsia="宋体" w:cs="宋体"/>
          <w:color w:val="auto"/>
          <w:sz w:val="24"/>
          <w:szCs w:val="24"/>
          <w:lang w:eastAsia="zh-CN"/>
        </w:rPr>
        <w:t>计量周期</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关于计量周期的约定：</w:t>
      </w:r>
      <w:r>
        <w:rPr>
          <w:rFonts w:hint="eastAsia" w:ascii="宋体" w:hAnsi="宋体" w:eastAsia="宋体" w:cs="宋体"/>
          <w:color w:val="auto"/>
          <w:sz w:val="24"/>
          <w:szCs w:val="24"/>
          <w:u w:val="single"/>
          <w:lang w:val="en-US"/>
        </w:rPr>
        <w:t>按月进行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12.3.3 </w:t>
      </w:r>
      <w:r>
        <w:rPr>
          <w:rFonts w:hint="eastAsia" w:ascii="宋体" w:hAnsi="宋体" w:eastAsia="宋体" w:cs="宋体"/>
          <w:color w:val="auto"/>
          <w:sz w:val="24"/>
          <w:szCs w:val="24"/>
          <w:lang w:eastAsia="zh-CN"/>
        </w:rPr>
        <w:t>单价合同的计量</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关于单价合同计量的约定：</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12.3.4 </w:t>
      </w:r>
      <w:r>
        <w:rPr>
          <w:rFonts w:hint="eastAsia" w:ascii="宋体" w:hAnsi="宋体" w:eastAsia="宋体" w:cs="宋体"/>
          <w:color w:val="auto"/>
          <w:sz w:val="24"/>
          <w:szCs w:val="24"/>
          <w:lang w:eastAsia="zh-CN"/>
        </w:rPr>
        <w:t>总价合同的计量</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关于总价合同计量的约定：</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12.3.5</w:t>
      </w:r>
      <w:r>
        <w:rPr>
          <w:rFonts w:hint="eastAsia" w:ascii="宋体" w:hAnsi="宋体" w:eastAsia="宋体" w:cs="宋体"/>
          <w:color w:val="auto"/>
          <w:sz w:val="24"/>
          <w:szCs w:val="24"/>
          <w:lang w:eastAsia="zh-CN"/>
        </w:rPr>
        <w:t>总价合同采用支付分解表计量支付的，是否适用第</w:t>
      </w:r>
      <w:r>
        <w:rPr>
          <w:rFonts w:hint="eastAsia" w:ascii="宋体" w:hAnsi="宋体" w:eastAsia="宋体" w:cs="宋体"/>
          <w:color w:val="auto"/>
          <w:sz w:val="24"/>
          <w:szCs w:val="24"/>
          <w:lang w:val="en-US"/>
        </w:rPr>
        <w:t xml:space="preserve">12.3.4 </w:t>
      </w:r>
      <w:r>
        <w:rPr>
          <w:rFonts w:hint="eastAsia" w:ascii="宋体" w:hAnsi="宋体" w:eastAsia="宋体" w:cs="宋体"/>
          <w:color w:val="auto"/>
          <w:sz w:val="24"/>
          <w:szCs w:val="24"/>
          <w:lang w:eastAsia="zh-CN"/>
        </w:rPr>
        <w:t>项〔总价合同的计量〕约定进行计量：</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12.3.6 </w:t>
      </w:r>
      <w:r>
        <w:rPr>
          <w:rFonts w:hint="eastAsia" w:ascii="宋体" w:hAnsi="宋体" w:eastAsia="宋体" w:cs="宋体"/>
          <w:color w:val="auto"/>
          <w:sz w:val="24"/>
          <w:szCs w:val="24"/>
          <w:lang w:eastAsia="zh-CN"/>
        </w:rPr>
        <w:t>其他价格形式合同的计量</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其他价格形式的计量方式和程序：</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12.4 </w:t>
      </w:r>
      <w:r>
        <w:rPr>
          <w:rFonts w:hint="eastAsia" w:ascii="宋体" w:hAnsi="宋体" w:eastAsia="宋体" w:cs="宋体"/>
          <w:color w:val="auto"/>
          <w:sz w:val="24"/>
          <w:szCs w:val="24"/>
          <w:lang w:eastAsia="zh-CN"/>
        </w:rPr>
        <w:t>工程进度款支付</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12.4.1 </w:t>
      </w:r>
      <w:r>
        <w:rPr>
          <w:rFonts w:hint="eastAsia" w:ascii="宋体" w:hAnsi="宋体" w:eastAsia="宋体" w:cs="宋体"/>
          <w:color w:val="auto"/>
          <w:sz w:val="24"/>
          <w:szCs w:val="24"/>
          <w:lang w:eastAsia="zh-CN"/>
        </w:rPr>
        <w:t>付款周期</w:t>
      </w:r>
    </w:p>
    <w:p>
      <w:pPr>
        <w:keepNext w:val="0"/>
        <w:keepLines w:val="0"/>
        <w:widowControl/>
        <w:suppressLineNumbers w:val="0"/>
        <w:snapToGrid w:val="0"/>
        <w:spacing w:line="300" w:lineRule="auto"/>
        <w:ind w:left="0" w:firstLine="480"/>
        <w:jc w:val="lef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关于付款周期的约定：</w:t>
      </w:r>
      <w:r>
        <w:rPr>
          <w:rFonts w:hint="eastAsia" w:ascii="宋体" w:hAnsi="宋体" w:eastAsia="宋体" w:cs="宋体"/>
          <w:color w:val="auto"/>
          <w:sz w:val="24"/>
          <w:szCs w:val="24"/>
          <w:u w:val="single"/>
          <w:lang w:eastAsia="zh-CN"/>
        </w:rPr>
        <w:t>A.进度款拨付的约定：承包人按当月实际进度，在每月28日前向发包人及监理单位报送完成工作量报表和下月施工进度计划表，监理单位在接收到报告后5个工作日内完成审核签证并报送发包人，发包人应在收到监理单位报告后15个工作日内完成审批，发包人按当月经审定实际完成合同工程量的80%给予支付；</w:t>
      </w:r>
    </w:p>
    <w:p>
      <w:pPr>
        <w:keepNext w:val="0"/>
        <w:keepLines w:val="0"/>
        <w:widowControl/>
        <w:suppressLineNumbers w:val="0"/>
        <w:snapToGrid w:val="0"/>
        <w:spacing w:line="300" w:lineRule="auto"/>
        <w:ind w:left="0" w:firstLine="480"/>
        <w:jc w:val="lef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B.设计变更等增减工程量的约定：施工中设计变更和现场签证增减工程量及投资需按程序报送学校同意后方可实施；施工过程中涉及设计变更、工程量签证增加工程量价款不支付进度款，待工程竣工验收后纳入工程竣工结算与支付，对核减项目的，按核减金额如数从支付工程款中直接扣除。</w:t>
      </w:r>
    </w:p>
    <w:p>
      <w:pPr>
        <w:keepNext w:val="0"/>
        <w:keepLines w:val="0"/>
        <w:widowControl/>
        <w:suppressLineNumbers w:val="0"/>
        <w:snapToGrid w:val="0"/>
        <w:spacing w:line="300" w:lineRule="auto"/>
        <w:ind w:left="0" w:firstLine="480"/>
        <w:jc w:val="lef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C.竣工结算款拨付的约定：工程竣工验收符合合同约定标准后，竣工内业资料归档完毕，报备手续齐全，承包人编制的竣工工程结算经发包人委托有造价资质的中介单位审核后,送泉州市生态环境局进行竣工结算审核（根据《泉州市财政局关于进一步加强市级政府投资项目预算管理的通知》规定：建安投资概算在 400万元以内 (含)的市级政府投资项目的项目预算、竣工价款结算及竣工财务决算审核批复事项调整由项目主管部门负责。），泉州市生态环境局审核出具结算结论书或批复，且承包人配合完成资料归档工作后28天内按97%拨付，余下工程结算总造价的3%为保修金。工程保修期满并完成保修任务后一个月内结清保修金，即结算总造价的3%（保修金不计利息）。</w:t>
      </w:r>
    </w:p>
    <w:p>
      <w:pPr>
        <w:keepNext w:val="0"/>
        <w:keepLines w:val="0"/>
        <w:widowControl/>
        <w:suppressLineNumbers w:val="0"/>
        <w:snapToGrid w:val="0"/>
        <w:spacing w:line="300" w:lineRule="auto"/>
        <w:ind w:left="0" w:firstLine="480"/>
        <w:jc w:val="lef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工程款全部以银行转账形式支付，承包人支取工程款时应提交同等金额的正式发票。</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12.4.2 </w:t>
      </w:r>
      <w:r>
        <w:rPr>
          <w:rFonts w:hint="eastAsia" w:ascii="宋体" w:hAnsi="宋体" w:eastAsia="宋体" w:cs="宋体"/>
          <w:color w:val="auto"/>
          <w:sz w:val="24"/>
          <w:szCs w:val="24"/>
          <w:lang w:eastAsia="zh-CN"/>
        </w:rPr>
        <w:t>进度付款申请单的编制</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关于进度付款申请单编制的约定：</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12.4.3 </w:t>
      </w:r>
      <w:r>
        <w:rPr>
          <w:rFonts w:hint="eastAsia" w:ascii="宋体" w:hAnsi="宋体" w:eastAsia="宋体" w:cs="宋体"/>
          <w:color w:val="auto"/>
          <w:sz w:val="24"/>
          <w:szCs w:val="24"/>
          <w:lang w:eastAsia="zh-CN"/>
        </w:rPr>
        <w:t>进度付款申请单的提交</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eastAsia="zh-CN"/>
        </w:rPr>
        <w:t>）单价合同进度付款申请单提交的约定：</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eastAsia="zh-CN"/>
        </w:rPr>
        <w:t>）总价合同进度付款申请单提交的约定：</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3</w:t>
      </w:r>
      <w:r>
        <w:rPr>
          <w:rFonts w:hint="eastAsia" w:ascii="宋体" w:hAnsi="宋体" w:eastAsia="宋体" w:cs="宋体"/>
          <w:color w:val="auto"/>
          <w:sz w:val="24"/>
          <w:szCs w:val="24"/>
          <w:lang w:eastAsia="zh-CN"/>
        </w:rPr>
        <w:t>）其他价格形式合同进度付款申请单提交的约定：</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12.4.4 </w:t>
      </w:r>
      <w:r>
        <w:rPr>
          <w:rFonts w:hint="eastAsia" w:ascii="宋体" w:hAnsi="宋体" w:eastAsia="宋体" w:cs="宋体"/>
          <w:color w:val="auto"/>
          <w:sz w:val="24"/>
          <w:szCs w:val="24"/>
          <w:lang w:eastAsia="zh-CN"/>
        </w:rPr>
        <w:t>进度款审核和支付</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eastAsia="zh-CN"/>
        </w:rPr>
        <w:t>）监理人审查并报送发包人的期限：</w:t>
      </w:r>
      <w:r>
        <w:rPr>
          <w:rFonts w:hint="eastAsia" w:ascii="宋体" w:hAnsi="宋体" w:eastAsia="宋体" w:cs="宋体"/>
          <w:color w:val="auto"/>
          <w:sz w:val="24"/>
          <w:szCs w:val="24"/>
          <w:u w:val="single"/>
          <w:lang w:val="en-US"/>
        </w:rPr>
        <w:t>5个工作日</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发包人完成审批并签发进度款支付证书的期限：</w:t>
      </w:r>
      <w:r>
        <w:rPr>
          <w:rFonts w:hint="eastAsia" w:ascii="宋体" w:hAnsi="宋体" w:eastAsia="宋体" w:cs="宋体"/>
          <w:color w:val="auto"/>
          <w:sz w:val="24"/>
          <w:szCs w:val="24"/>
          <w:u w:val="single"/>
          <w:lang w:val="en-US"/>
        </w:rPr>
        <w:t>10个工作日</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eastAsia="zh-CN"/>
        </w:rPr>
        <w:t>）发包人支付进度款的期限：</w:t>
      </w:r>
      <w:r>
        <w:rPr>
          <w:rFonts w:hint="eastAsia" w:ascii="宋体" w:hAnsi="宋体" w:cs="宋体"/>
          <w:color w:val="auto"/>
          <w:spacing w:val="0"/>
          <w:position w:val="0"/>
          <w:sz w:val="24"/>
          <w:highlight w:val="none"/>
          <w:u w:val="single"/>
        </w:rPr>
        <w:t>按12.4.1条款执行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发包人逾期支付进度款的违约金的计算方式：</w:t>
      </w:r>
      <w:r>
        <w:rPr>
          <w:rFonts w:hint="eastAsia" w:ascii="宋体" w:hAnsi="宋体" w:eastAsia="宋体" w:cs="宋体"/>
          <w:color w:val="auto"/>
          <w:sz w:val="24"/>
          <w:szCs w:val="24"/>
          <w:u w:val="single"/>
          <w:lang w:val="en-US"/>
        </w:rPr>
        <w:t>不计 。发包人应付进度款、工程款、质量保证金等，若延期支付，均不计利息</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600"/>
        <w:jc w:val="left"/>
        <w:rPr>
          <w:color w:val="auto"/>
        </w:rPr>
      </w:pPr>
      <w:r>
        <w:rPr>
          <w:rFonts w:hint="eastAsia" w:ascii="宋体" w:hAnsi="宋体" w:eastAsia="宋体" w:cs="宋体"/>
          <w:color w:val="auto"/>
          <w:sz w:val="24"/>
          <w:szCs w:val="24"/>
          <w:lang w:val="en-US"/>
        </w:rPr>
        <w:t xml:space="preserve">12.4.6 </w:t>
      </w:r>
      <w:r>
        <w:rPr>
          <w:rFonts w:hint="eastAsia" w:ascii="宋体" w:hAnsi="宋体" w:eastAsia="宋体" w:cs="宋体"/>
          <w:color w:val="auto"/>
          <w:sz w:val="24"/>
          <w:szCs w:val="24"/>
          <w:lang w:eastAsia="zh-CN"/>
        </w:rPr>
        <w:t>支付分解表的编制</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eastAsia="zh-CN"/>
        </w:rPr>
        <w:t>、总价合同支付分解表的编制与审批：</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val="en-US"/>
        </w:rPr>
        <w:t>3</w:t>
      </w:r>
      <w:r>
        <w:rPr>
          <w:rFonts w:hint="eastAsia" w:ascii="宋体" w:hAnsi="宋体" w:eastAsia="宋体" w:cs="宋体"/>
          <w:color w:val="auto"/>
          <w:sz w:val="24"/>
          <w:szCs w:val="24"/>
          <w:lang w:eastAsia="zh-CN"/>
        </w:rPr>
        <w:t>、单价合同的总价项目支付分解表的编制与审批：</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13. </w:t>
      </w:r>
      <w:r>
        <w:rPr>
          <w:rFonts w:hint="eastAsia" w:ascii="宋体" w:hAnsi="宋体" w:eastAsia="宋体" w:cs="宋体"/>
          <w:color w:val="auto"/>
          <w:lang w:eastAsia="zh-CN"/>
        </w:rPr>
        <w:t>验收和工程试车</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13.1 </w:t>
      </w:r>
      <w:r>
        <w:rPr>
          <w:rFonts w:hint="eastAsia" w:ascii="宋体" w:hAnsi="宋体" w:eastAsia="宋体" w:cs="宋体"/>
          <w:color w:val="auto"/>
          <w:sz w:val="24"/>
          <w:szCs w:val="24"/>
          <w:lang w:eastAsia="zh-CN"/>
        </w:rPr>
        <w:t>分部分项工程验收</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13.1.2</w:t>
      </w:r>
      <w:r>
        <w:rPr>
          <w:rFonts w:hint="eastAsia" w:ascii="宋体" w:hAnsi="宋体" w:eastAsia="宋体" w:cs="宋体"/>
          <w:color w:val="auto"/>
          <w:sz w:val="24"/>
          <w:szCs w:val="24"/>
          <w:lang w:eastAsia="zh-CN"/>
        </w:rPr>
        <w:t>监理人不能按时进行验收时，应提前</w:t>
      </w:r>
      <w:r>
        <w:rPr>
          <w:rFonts w:hint="eastAsia" w:ascii="宋体" w:hAnsi="宋体" w:eastAsia="宋体" w:cs="宋体"/>
          <w:color w:val="auto"/>
          <w:sz w:val="24"/>
          <w:szCs w:val="24"/>
          <w:u w:val="single"/>
          <w:lang w:val="en-US"/>
        </w:rPr>
        <w:t>24</w:t>
      </w:r>
      <w:r>
        <w:rPr>
          <w:rFonts w:hint="eastAsia" w:ascii="宋体" w:hAnsi="宋体" w:eastAsia="宋体" w:cs="宋体"/>
          <w:color w:val="auto"/>
          <w:sz w:val="24"/>
          <w:szCs w:val="24"/>
          <w:lang w:eastAsia="zh-CN"/>
        </w:rPr>
        <w:t>小时提交书面延期要求。</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关于延期最长不得超过：</w:t>
      </w:r>
      <w:r>
        <w:rPr>
          <w:rFonts w:hint="eastAsia" w:ascii="宋体" w:hAnsi="宋体" w:eastAsia="宋体" w:cs="宋体"/>
          <w:color w:val="auto"/>
          <w:sz w:val="24"/>
          <w:szCs w:val="24"/>
          <w:u w:val="single"/>
          <w:lang w:val="en-US"/>
        </w:rPr>
        <w:t>48</w:t>
      </w:r>
      <w:r>
        <w:rPr>
          <w:rFonts w:hint="eastAsia" w:ascii="宋体" w:hAnsi="宋体" w:eastAsia="宋体" w:cs="宋体"/>
          <w:color w:val="auto"/>
          <w:sz w:val="24"/>
          <w:szCs w:val="24"/>
          <w:lang w:eastAsia="zh-CN"/>
        </w:rPr>
        <w:t>小时。</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13.2 </w:t>
      </w:r>
      <w:r>
        <w:rPr>
          <w:rFonts w:hint="eastAsia" w:ascii="宋体" w:hAnsi="宋体" w:eastAsia="宋体" w:cs="宋体"/>
          <w:color w:val="auto"/>
          <w:sz w:val="24"/>
          <w:szCs w:val="24"/>
          <w:lang w:eastAsia="zh-CN"/>
        </w:rPr>
        <w:t>竣工验收</w:t>
      </w:r>
    </w:p>
    <w:p>
      <w:pPr>
        <w:keepNext w:val="0"/>
        <w:keepLines w:val="0"/>
        <w:widowControl/>
        <w:suppressLineNumbers w:val="0"/>
        <w:snapToGrid w:val="0"/>
        <w:spacing w:line="300" w:lineRule="auto"/>
        <w:ind w:left="0" w:firstLine="48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rPr>
        <w:t>13.2.2</w:t>
      </w:r>
      <w:r>
        <w:rPr>
          <w:rFonts w:hint="eastAsia" w:ascii="宋体" w:hAnsi="宋体" w:eastAsia="宋体" w:cs="宋体"/>
          <w:color w:val="auto"/>
          <w:sz w:val="24"/>
          <w:szCs w:val="24"/>
          <w:lang w:eastAsia="zh-CN"/>
        </w:rPr>
        <w:t>竣工验收程序</w:t>
      </w:r>
    </w:p>
    <w:p>
      <w:pPr>
        <w:keepNext w:val="0"/>
        <w:keepLines w:val="0"/>
        <w:widowControl/>
        <w:suppressLineNumbers w:val="0"/>
        <w:snapToGrid w:val="0"/>
        <w:spacing w:line="300" w:lineRule="auto"/>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关于竣工验收程序的约定：</w:t>
      </w:r>
      <w:r>
        <w:rPr>
          <w:rFonts w:hint="eastAsia" w:ascii="宋体" w:hAnsi="宋体" w:eastAsia="宋体" w:cs="宋体"/>
          <w:color w:val="auto"/>
          <w:sz w:val="24"/>
          <w:szCs w:val="24"/>
          <w:u w:val="single"/>
        </w:rPr>
        <w:t>承包人提供竣工图的约定：承包人向发包人提供竣工图一式肆份，并应交付相应的施工变更签证和隐蔽工程验收签证，以及建筑装修材料“三证”、机电设备“三证”和说明书等一切资料一式肆套（其中一套为原始材料）。上述文件的原始资料必须齐全，符合工程技术档案要求，并按规范装订成册。上述竣工工程资料应当在合同规定的验收完成后28天内提交给发包人。承包人若未按时交付工程竣工资料，发包人可不予拨付工程结算款。中间交工工程的范围和竣工时间：绿化工程的场地平整、种植土及基肥回填、苗木材料、苗木种植行距等行须进行中间验收。合同工期满后，承包人仍未完成本合同规定的工程内容，发包人任何时候可以要求承包人提交工程或工程的一部分供发包人使用，未完成的内容承包人应当继续，直至符合合同规定的竣工验收条件。 本工程竣工验收通过后15日内，承包人应自行拆除施工临时设施，撤退施工机械设备并清理场地，修复承包人损坏的场内的交通道路，撤离所有施工人员。如逾期仍未撤离完的，应支付发包人每日2000元的违约金。同时，发包人有权采取强制手段清除现场，且无须征得承包人的许可。为此所发生的费用从未付工程款中扣除。当工程具备竣工验收条件时，承包人应及时向发包人提交竣工报告及竣工资料；严禁"三拖"(拖验收、拖资料、拖移交)；否则，发包人可不予拨付工程款，并有权依据监理单位出具的鉴定结论书，自行组织相关部门验收，提出修改意见。承包人必须按要求整改，并承担整改费用；如承包人拒绝按发包人提出的要求整改，发包人有权另请他人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eastAsia="宋体" w:cs="宋体"/>
          <w:color w:val="auto"/>
          <w:sz w:val="24"/>
          <w:szCs w:val="24"/>
        </w:rPr>
        <w:t>。</w:t>
      </w:r>
    </w:p>
    <w:p>
      <w:pPr>
        <w:keepNext w:val="0"/>
        <w:keepLines w:val="0"/>
        <w:widowControl/>
        <w:suppressLineNumbers w:val="0"/>
        <w:snapToGrid w:val="0"/>
        <w:spacing w:line="300" w:lineRule="auto"/>
        <w:ind w:left="0"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发包人不按照本项约定组织竣工验收、颁发工程接收证书的违约金的计算方法：</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13.2.5</w:t>
      </w:r>
      <w:r>
        <w:rPr>
          <w:rFonts w:hint="eastAsia" w:ascii="宋体" w:hAnsi="宋体" w:eastAsia="宋体" w:cs="宋体"/>
          <w:color w:val="auto"/>
          <w:sz w:val="24"/>
          <w:szCs w:val="24"/>
          <w:lang w:eastAsia="zh-CN"/>
        </w:rPr>
        <w:t>移交、接收全部与部分工程</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承包人向发包人移交工程的期限：</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发包人未按本合同约定接收全部或部分工程的，违约金的计算方法为：</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承包人未按时移交工程的，违约金的计算方法为：</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13.3 </w:t>
      </w:r>
      <w:r>
        <w:rPr>
          <w:rFonts w:hint="eastAsia" w:ascii="宋体" w:hAnsi="宋体" w:eastAsia="宋体" w:cs="宋体"/>
          <w:color w:val="auto"/>
          <w:sz w:val="24"/>
          <w:szCs w:val="24"/>
          <w:lang w:eastAsia="zh-CN"/>
        </w:rPr>
        <w:t>工程试车</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13.3.1 </w:t>
      </w:r>
      <w:r>
        <w:rPr>
          <w:rFonts w:hint="eastAsia" w:ascii="宋体" w:hAnsi="宋体" w:eastAsia="宋体" w:cs="宋体"/>
          <w:color w:val="auto"/>
          <w:sz w:val="24"/>
          <w:szCs w:val="24"/>
          <w:lang w:eastAsia="zh-CN"/>
        </w:rPr>
        <w:t>试车程序</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工程试车内容：</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eastAsia="zh-CN"/>
        </w:rPr>
        <w:t>）单机无负荷试车费用由</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承担；</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eastAsia="zh-CN"/>
        </w:rPr>
        <w:t>）无负荷联动试车费用由</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承担。</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13.3.3 </w:t>
      </w:r>
      <w:r>
        <w:rPr>
          <w:rFonts w:hint="eastAsia" w:ascii="宋体" w:hAnsi="宋体" w:eastAsia="宋体" w:cs="宋体"/>
          <w:color w:val="auto"/>
          <w:sz w:val="24"/>
          <w:szCs w:val="24"/>
          <w:lang w:eastAsia="zh-CN"/>
        </w:rPr>
        <w:t>投料试车</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关于投料试车相关事项的约定：</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13.6 </w:t>
      </w:r>
      <w:r>
        <w:rPr>
          <w:rFonts w:hint="eastAsia" w:ascii="宋体" w:hAnsi="宋体" w:eastAsia="宋体" w:cs="宋体"/>
          <w:color w:val="auto"/>
          <w:sz w:val="24"/>
          <w:szCs w:val="24"/>
          <w:lang w:eastAsia="zh-CN"/>
        </w:rPr>
        <w:t>竣工退场</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13.6.1 </w:t>
      </w:r>
      <w:r>
        <w:rPr>
          <w:rFonts w:hint="eastAsia" w:ascii="宋体" w:hAnsi="宋体" w:eastAsia="宋体" w:cs="宋体"/>
          <w:color w:val="auto"/>
          <w:sz w:val="24"/>
          <w:szCs w:val="24"/>
          <w:lang w:eastAsia="zh-CN"/>
        </w:rPr>
        <w:t>竣工退场</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承包人完成竣工退场的期限：</w:t>
      </w:r>
      <w:r>
        <w:rPr>
          <w:rFonts w:hint="eastAsia" w:ascii="宋体" w:hAnsi="宋体" w:eastAsia="宋体" w:cs="宋体"/>
          <w:color w:val="auto"/>
          <w:sz w:val="24"/>
          <w:szCs w:val="24"/>
          <w:u w:val="single"/>
          <w:lang w:val="en-US"/>
        </w:rPr>
        <w:t>竣工验收合格后14天内</w:t>
      </w:r>
      <w:r>
        <w:rPr>
          <w:rFonts w:hint="eastAsia" w:ascii="宋体" w:hAnsi="宋体" w:eastAsia="宋体" w:cs="宋体"/>
          <w:color w:val="auto"/>
          <w:sz w:val="24"/>
          <w:szCs w:val="24"/>
          <w:lang w:eastAsia="zh-CN"/>
        </w:rPr>
        <w:t>。</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14. </w:t>
      </w:r>
      <w:r>
        <w:rPr>
          <w:rFonts w:hint="eastAsia" w:ascii="宋体" w:hAnsi="宋体" w:eastAsia="宋体" w:cs="宋体"/>
          <w:color w:val="auto"/>
          <w:lang w:eastAsia="zh-CN"/>
        </w:rPr>
        <w:t>竣工结算</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14.1 </w:t>
      </w:r>
      <w:r>
        <w:rPr>
          <w:rFonts w:hint="eastAsia" w:ascii="宋体" w:hAnsi="宋体" w:eastAsia="宋体" w:cs="宋体"/>
          <w:color w:val="auto"/>
          <w:sz w:val="24"/>
          <w:szCs w:val="24"/>
          <w:lang w:eastAsia="zh-CN"/>
        </w:rPr>
        <w:t>竣工结算申请</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承包人提交竣工结算申请单的期限：</w:t>
      </w:r>
      <w:r>
        <w:rPr>
          <w:rFonts w:hint="eastAsia" w:ascii="宋体" w:hAnsi="宋体" w:eastAsia="宋体" w:cs="宋体"/>
          <w:color w:val="auto"/>
          <w:sz w:val="24"/>
          <w:szCs w:val="24"/>
          <w:u w:val="single"/>
          <w:lang w:val="en-US"/>
        </w:rPr>
        <w:t>承包人应在工程竣工验收后28天内，出具公函向发包人递交竣工结算报告及结算资料。发包人应当自收到结算资料之日起7天内对资料的完整性进行审查，并将审查结果书面告知承包人。发包人未在7天内将审查结果书面告知承包人的，视为结算资料已完整。结算资料不完整的，发包人应当在审查结果中列出要求承包人补交的资料清单，承包人应在收到书面告知之日起14天内按发包人要求补交相关资料。承包人因自身原因未在规定时间内补齐资料的，发包人有权根据已有资料进行审查，责任由承包人自负。竣工结算经发包人委托审核机构初审后报财政部门审批，最终确定的竣工结算金额（若有审计部门审计，以审计部门确定的金额为准），施工单位有义务配合办理工程竣工决算及审计部门审计工作</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竣工结算申请单应包括的内容：</w:t>
      </w:r>
      <w:r>
        <w:rPr>
          <w:rFonts w:hint="eastAsia" w:ascii="宋体" w:hAnsi="宋体" w:eastAsia="宋体" w:cs="宋体"/>
          <w:color w:val="auto"/>
          <w:sz w:val="24"/>
          <w:szCs w:val="24"/>
          <w:u w:val="single"/>
          <w:lang w:val="en-US"/>
        </w:rPr>
        <w:t>按通用条款约定</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14.2 </w:t>
      </w:r>
      <w:r>
        <w:rPr>
          <w:rFonts w:hint="eastAsia" w:ascii="宋体" w:hAnsi="宋体" w:eastAsia="宋体" w:cs="宋体"/>
          <w:color w:val="auto"/>
          <w:sz w:val="24"/>
          <w:szCs w:val="24"/>
          <w:lang w:eastAsia="zh-CN"/>
        </w:rPr>
        <w:t>竣工结算审核</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发包人审批竣工付款申请单的期限：</w:t>
      </w:r>
      <w:r>
        <w:rPr>
          <w:rFonts w:hint="eastAsia" w:ascii="宋体" w:hAnsi="宋体" w:eastAsia="宋体" w:cs="宋体"/>
          <w:color w:val="auto"/>
          <w:sz w:val="24"/>
          <w:szCs w:val="24"/>
          <w:u w:val="single"/>
          <w:lang w:val="en-US"/>
        </w:rPr>
        <w:t>发包人应在收到监理人提交的经审核的竣工结算申请单后14天内完成审批，并由监理人向承包人签发经发包人签认的竣工付款证书</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发包人完成竣工付款的期限：</w:t>
      </w:r>
      <w:r>
        <w:rPr>
          <w:rFonts w:hint="eastAsia" w:ascii="宋体" w:hAnsi="宋体" w:eastAsia="宋体" w:cs="宋体"/>
          <w:color w:val="auto"/>
          <w:sz w:val="24"/>
          <w:szCs w:val="24"/>
          <w:u w:val="single"/>
          <w:lang w:val="en-US"/>
        </w:rPr>
        <w:t>发包人应在签发竣工付款证书后的14 天内，完成对承包人的竣工付款</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关于竣工付款证书异议部分复核的方式和程序：</w:t>
      </w:r>
      <w:r>
        <w:rPr>
          <w:rFonts w:hint="eastAsia" w:ascii="宋体" w:hAnsi="宋体" w:eastAsia="宋体" w:cs="宋体"/>
          <w:color w:val="auto"/>
          <w:sz w:val="24"/>
          <w:szCs w:val="24"/>
          <w:u w:val="single"/>
          <w:lang w:val="en-US"/>
        </w:rPr>
        <w:t>按通用条款执行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14.4 </w:t>
      </w:r>
      <w:r>
        <w:rPr>
          <w:rFonts w:hint="eastAsia" w:ascii="宋体" w:hAnsi="宋体" w:eastAsia="宋体" w:cs="宋体"/>
          <w:color w:val="auto"/>
          <w:sz w:val="24"/>
          <w:szCs w:val="24"/>
          <w:lang w:eastAsia="zh-CN"/>
        </w:rPr>
        <w:t>最终结清</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14.4.1 </w:t>
      </w:r>
      <w:r>
        <w:rPr>
          <w:rFonts w:hint="eastAsia" w:ascii="宋体" w:hAnsi="宋体" w:eastAsia="宋体" w:cs="宋体"/>
          <w:color w:val="auto"/>
          <w:sz w:val="24"/>
          <w:szCs w:val="24"/>
          <w:lang w:eastAsia="zh-CN"/>
        </w:rPr>
        <w:t>最终结清申请单</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承包人提交最终结清申请单的份数：</w:t>
      </w:r>
      <w:r>
        <w:rPr>
          <w:rFonts w:hint="eastAsia" w:ascii="宋体" w:hAnsi="宋体" w:eastAsia="宋体" w:cs="宋体"/>
          <w:color w:val="auto"/>
          <w:sz w:val="24"/>
          <w:szCs w:val="24"/>
          <w:u w:val="single"/>
          <w:lang w:val="en-US"/>
        </w:rPr>
        <w:t>按通用条款执行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承包人提交最终结算申请单的期限：</w:t>
      </w:r>
      <w:r>
        <w:rPr>
          <w:rFonts w:hint="eastAsia" w:ascii="宋体" w:hAnsi="宋体" w:eastAsia="宋体" w:cs="宋体"/>
          <w:color w:val="auto"/>
          <w:sz w:val="24"/>
          <w:szCs w:val="24"/>
          <w:u w:val="single"/>
          <w:lang w:val="en-US"/>
        </w:rPr>
        <w:t>按通用条款执行</w:t>
      </w:r>
      <w:r>
        <w:rPr>
          <w:rFonts w:hint="eastAsia" w:ascii="宋体" w:hAnsi="宋体" w:eastAsia="宋体" w:cs="宋体"/>
          <w:color w:val="auto"/>
          <w:sz w:val="24"/>
          <w:szCs w:val="24"/>
          <w:lang w:eastAsia="zh-CN"/>
        </w:rPr>
        <w:t xml:space="preserve">。 </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14.4.2 </w:t>
      </w:r>
      <w:r>
        <w:rPr>
          <w:rFonts w:hint="eastAsia" w:ascii="宋体" w:hAnsi="宋体" w:eastAsia="宋体" w:cs="宋体"/>
          <w:color w:val="auto"/>
          <w:sz w:val="24"/>
          <w:szCs w:val="24"/>
          <w:lang w:eastAsia="zh-CN"/>
        </w:rPr>
        <w:t>最终结清证书和支付</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eastAsia="zh-CN"/>
        </w:rPr>
        <w:t>）发包人完成最终结清申请单的审批并颁发最终结清证书的期限：</w:t>
      </w:r>
      <w:r>
        <w:rPr>
          <w:rFonts w:hint="eastAsia" w:ascii="宋体" w:hAnsi="宋体" w:eastAsia="宋体" w:cs="宋体"/>
          <w:color w:val="auto"/>
          <w:sz w:val="24"/>
          <w:szCs w:val="24"/>
          <w:u w:val="single"/>
          <w:lang w:val="en-US"/>
        </w:rPr>
        <w:t>发包人应在收到承包人提交的最终结清申请单后14天内完成审批并向承包人颁发最终结清证书</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eastAsia="zh-CN"/>
        </w:rPr>
        <w:t>）发包人完成支付的期限：</w:t>
      </w:r>
      <w:r>
        <w:rPr>
          <w:rFonts w:hint="eastAsia" w:ascii="宋体" w:hAnsi="宋体" w:eastAsia="宋体" w:cs="宋体"/>
          <w:color w:val="auto"/>
          <w:sz w:val="24"/>
          <w:szCs w:val="24"/>
          <w:u w:val="single"/>
          <w:lang w:val="en-US"/>
        </w:rPr>
        <w:t>发包人应在颁发最终结清证书后7天内完成支付</w:t>
      </w:r>
      <w:r>
        <w:rPr>
          <w:rFonts w:hint="eastAsia" w:ascii="宋体" w:hAnsi="宋体" w:eastAsia="宋体" w:cs="宋体"/>
          <w:color w:val="auto"/>
          <w:sz w:val="24"/>
          <w:szCs w:val="24"/>
          <w:lang w:eastAsia="zh-CN"/>
        </w:rPr>
        <w:t>。</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15. </w:t>
      </w:r>
      <w:r>
        <w:rPr>
          <w:rFonts w:hint="eastAsia" w:ascii="宋体" w:hAnsi="宋体" w:eastAsia="宋体" w:cs="宋体"/>
          <w:color w:val="auto"/>
          <w:lang w:eastAsia="zh-CN"/>
        </w:rPr>
        <w:t>缺陷责任期与保修</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15.2</w:t>
      </w:r>
      <w:r>
        <w:rPr>
          <w:rFonts w:hint="eastAsia" w:ascii="宋体" w:hAnsi="宋体" w:eastAsia="宋体" w:cs="宋体"/>
          <w:color w:val="auto"/>
          <w:sz w:val="24"/>
          <w:szCs w:val="24"/>
          <w:lang w:eastAsia="zh-CN"/>
        </w:rPr>
        <w:t>缺陷责任期</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缺陷责任期的具体期限：</w:t>
      </w:r>
      <w:r>
        <w:rPr>
          <w:rFonts w:hint="eastAsia" w:ascii="宋体" w:hAnsi="宋体" w:cs="宋体"/>
          <w:color w:val="auto"/>
          <w:spacing w:val="0"/>
          <w:position w:val="0"/>
          <w:sz w:val="24"/>
          <w:highlight w:val="none"/>
          <w:u w:val="single"/>
          <w:lang w:eastAsia="zh-CN"/>
        </w:rPr>
        <w:t>自工程竣工验收合格之日起24个月</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15.3 </w:t>
      </w:r>
      <w:r>
        <w:rPr>
          <w:rFonts w:hint="eastAsia" w:ascii="宋体" w:hAnsi="宋体" w:eastAsia="宋体" w:cs="宋体"/>
          <w:color w:val="auto"/>
          <w:sz w:val="24"/>
          <w:szCs w:val="24"/>
          <w:lang w:eastAsia="zh-CN"/>
        </w:rPr>
        <w:t>质量保证金</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关于是否扣留质量保证金的约定：</w:t>
      </w:r>
      <w:r>
        <w:rPr>
          <w:rFonts w:hint="eastAsia" w:ascii="宋体" w:hAnsi="宋体" w:eastAsia="宋体" w:cs="宋体"/>
          <w:color w:val="auto"/>
          <w:sz w:val="24"/>
          <w:szCs w:val="24"/>
          <w:u w:val="single"/>
          <w:lang w:val="en-US"/>
        </w:rPr>
        <w:t>工程质量保证金由招标人预留工程款结算总额的3%或同等金额的银行保函、工程担保保函作为质量保证金</w:t>
      </w:r>
      <w:r>
        <w:rPr>
          <w:rFonts w:hint="eastAsia" w:ascii="宋体" w:hAnsi="宋体" w:eastAsia="宋体" w:cs="宋体"/>
          <w:color w:val="auto"/>
          <w:sz w:val="24"/>
          <w:szCs w:val="24"/>
          <w:lang w:eastAsia="zh-CN"/>
        </w:rPr>
        <w:t>。在工程项目竣工前，承包人按专用合同条款第</w:t>
      </w:r>
      <w:r>
        <w:rPr>
          <w:rFonts w:hint="eastAsia" w:ascii="宋体" w:hAnsi="宋体" w:eastAsia="宋体" w:cs="宋体"/>
          <w:color w:val="auto"/>
          <w:sz w:val="24"/>
          <w:szCs w:val="24"/>
          <w:lang w:val="en-US"/>
        </w:rPr>
        <w:t>3.7</w:t>
      </w:r>
      <w:r>
        <w:rPr>
          <w:rFonts w:hint="eastAsia" w:ascii="宋体" w:hAnsi="宋体" w:eastAsia="宋体" w:cs="宋体"/>
          <w:color w:val="auto"/>
          <w:sz w:val="24"/>
          <w:szCs w:val="24"/>
          <w:lang w:eastAsia="zh-CN"/>
        </w:rPr>
        <w:t>条提供履约担保的，发包人不得同时预留工程质量保证金。</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15.3.1 </w:t>
      </w:r>
      <w:r>
        <w:rPr>
          <w:rFonts w:hint="eastAsia" w:ascii="宋体" w:hAnsi="宋体" w:eastAsia="宋体" w:cs="宋体"/>
          <w:color w:val="auto"/>
          <w:sz w:val="24"/>
          <w:szCs w:val="24"/>
          <w:lang w:eastAsia="zh-CN"/>
        </w:rPr>
        <w:t>承包人提供质量保证金的方式</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质量保证金采用以下第</w:t>
      </w:r>
      <w:r>
        <w:rPr>
          <w:rFonts w:hint="eastAsia" w:ascii="宋体" w:hAnsi="宋体" w:eastAsia="宋体" w:cs="宋体"/>
          <w:color w:val="auto"/>
          <w:sz w:val="24"/>
          <w:szCs w:val="24"/>
          <w:u w:val="single"/>
          <w:lang w:val="en-US"/>
        </w:rPr>
        <w:t>（2）</w:t>
      </w:r>
      <w:r>
        <w:rPr>
          <w:rFonts w:hint="eastAsia" w:ascii="宋体" w:hAnsi="宋体" w:eastAsia="宋体" w:cs="宋体"/>
          <w:color w:val="auto"/>
          <w:sz w:val="24"/>
          <w:szCs w:val="24"/>
          <w:lang w:eastAsia="zh-CN"/>
        </w:rPr>
        <w:t>种方式：</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eastAsia="zh-CN"/>
        </w:rPr>
        <w:t>）质量保证金保函，保证金额为：</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rPr>
        <w:t>3</w:t>
      </w:r>
      <w:r>
        <w:rPr>
          <w:rFonts w:hint="eastAsia" w:ascii="宋体" w:hAnsi="宋体" w:eastAsia="宋体" w:cs="宋体"/>
          <w:color w:val="auto"/>
          <w:sz w:val="24"/>
          <w:szCs w:val="24"/>
          <w:lang w:val="en-US"/>
        </w:rPr>
        <w:t>%</w:t>
      </w:r>
      <w:r>
        <w:rPr>
          <w:rFonts w:hint="eastAsia" w:ascii="宋体" w:hAnsi="宋体" w:eastAsia="宋体" w:cs="宋体"/>
          <w:color w:val="auto"/>
          <w:sz w:val="24"/>
          <w:szCs w:val="24"/>
          <w:lang w:eastAsia="zh-CN"/>
        </w:rPr>
        <w:t>的工程款；</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3</w:t>
      </w:r>
      <w:r>
        <w:rPr>
          <w:rFonts w:hint="eastAsia" w:ascii="宋体" w:hAnsi="宋体" w:eastAsia="宋体" w:cs="宋体"/>
          <w:color w:val="auto"/>
          <w:sz w:val="24"/>
          <w:szCs w:val="24"/>
          <w:lang w:eastAsia="zh-CN"/>
        </w:rPr>
        <w:t>）其他方式</w:t>
      </w:r>
      <w:r>
        <w:rPr>
          <w:rFonts w:hint="eastAsia" w:ascii="宋体" w:hAnsi="宋体" w:eastAsia="宋体" w:cs="宋体"/>
          <w:color w:val="auto"/>
          <w:sz w:val="24"/>
          <w:szCs w:val="24"/>
          <w:lang w:val="en-US"/>
        </w:rPr>
        <w:t>:</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15.3.2 </w:t>
      </w:r>
      <w:r>
        <w:rPr>
          <w:rFonts w:hint="eastAsia" w:ascii="宋体" w:hAnsi="宋体" w:eastAsia="宋体" w:cs="宋体"/>
          <w:color w:val="auto"/>
          <w:sz w:val="24"/>
          <w:szCs w:val="24"/>
          <w:lang w:eastAsia="zh-CN"/>
        </w:rPr>
        <w:t xml:space="preserve">质量保证金的扣留 </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质量保证金的扣留采取以下第</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种方式：</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eastAsia="zh-CN"/>
        </w:rPr>
        <w:t>）在支付工程进度款时逐次扣留，在此情形下，质量保证金的计算基数不包括预付款的支付、扣回以及价格调整的金额；</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eastAsia="zh-CN"/>
        </w:rPr>
        <w:t>）工程竣工结算时一次性扣留质量保证金；</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3</w:t>
      </w:r>
      <w:r>
        <w:rPr>
          <w:rFonts w:hint="eastAsia" w:ascii="宋体" w:hAnsi="宋体" w:eastAsia="宋体" w:cs="宋体"/>
          <w:color w:val="auto"/>
          <w:sz w:val="24"/>
          <w:szCs w:val="24"/>
          <w:lang w:eastAsia="zh-CN"/>
        </w:rPr>
        <w:t>）其他扣留方式</w:t>
      </w:r>
      <w:r>
        <w:rPr>
          <w:rFonts w:hint="eastAsia" w:ascii="宋体" w:hAnsi="宋体" w:eastAsia="宋体" w:cs="宋体"/>
          <w:color w:val="auto"/>
          <w:sz w:val="24"/>
          <w:szCs w:val="24"/>
          <w:lang w:val="en-US"/>
        </w:rPr>
        <w:t>:</w:t>
      </w:r>
      <w:r>
        <w:rPr>
          <w:rFonts w:hint="eastAsia" w:ascii="宋体" w:hAnsi="宋体" w:eastAsia="宋体" w:cs="宋体"/>
          <w:color w:val="auto"/>
          <w:sz w:val="24"/>
          <w:szCs w:val="24"/>
          <w:u w:val="single"/>
          <w:lang w:val="en-US" w:eastAsia="zh-CN"/>
        </w:rPr>
        <w:t>中标单位缴交</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关于质量保证金的补充约定：</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15.4</w:t>
      </w:r>
      <w:r>
        <w:rPr>
          <w:rFonts w:hint="eastAsia" w:ascii="宋体" w:hAnsi="宋体" w:eastAsia="宋体" w:cs="宋体"/>
          <w:color w:val="auto"/>
          <w:sz w:val="24"/>
          <w:szCs w:val="24"/>
          <w:lang w:eastAsia="zh-CN"/>
        </w:rPr>
        <w:t>保修</w:t>
      </w:r>
    </w:p>
    <w:p>
      <w:pPr>
        <w:keepNext w:val="0"/>
        <w:keepLines w:val="0"/>
        <w:widowControl/>
        <w:suppressLineNumbers w:val="0"/>
        <w:snapToGrid w:val="0"/>
        <w:spacing w:line="300" w:lineRule="auto"/>
        <w:ind w:left="0" w:firstLine="468"/>
        <w:jc w:val="left"/>
        <w:rPr>
          <w:color w:val="auto"/>
        </w:rPr>
      </w:pPr>
      <w:r>
        <w:rPr>
          <w:rFonts w:hint="eastAsia" w:ascii="宋体" w:hAnsi="宋体" w:eastAsia="宋体" w:cs="宋体"/>
          <w:color w:val="auto"/>
          <w:sz w:val="24"/>
          <w:szCs w:val="24"/>
          <w:lang w:val="en-US"/>
        </w:rPr>
        <w:t xml:space="preserve">15.4.1 </w:t>
      </w:r>
      <w:r>
        <w:rPr>
          <w:rFonts w:hint="eastAsia" w:ascii="宋体" w:hAnsi="宋体" w:eastAsia="宋体" w:cs="宋体"/>
          <w:color w:val="auto"/>
          <w:sz w:val="24"/>
          <w:szCs w:val="24"/>
          <w:lang w:eastAsia="zh-CN"/>
        </w:rPr>
        <w:t>保修责任</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工程保修期为：</w:t>
      </w:r>
      <w:r>
        <w:rPr>
          <w:rFonts w:hint="eastAsia" w:ascii="宋体" w:hAnsi="宋体" w:eastAsia="宋体"/>
          <w:color w:val="auto"/>
          <w:sz w:val="24"/>
          <w:highlight w:val="none"/>
          <w:u w:val="single"/>
          <w:lang w:eastAsia="zh-CN"/>
        </w:rPr>
        <w:t>自工程竣工验收合格之日起24个月</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68"/>
        <w:jc w:val="left"/>
        <w:rPr>
          <w:color w:val="auto"/>
        </w:rPr>
      </w:pPr>
      <w:r>
        <w:rPr>
          <w:rFonts w:hint="eastAsia" w:ascii="宋体" w:hAnsi="宋体" w:eastAsia="宋体" w:cs="宋体"/>
          <w:color w:val="auto"/>
          <w:sz w:val="24"/>
          <w:szCs w:val="24"/>
          <w:lang w:val="en-US"/>
        </w:rPr>
        <w:t xml:space="preserve">15.4.3 </w:t>
      </w:r>
      <w:r>
        <w:rPr>
          <w:rFonts w:hint="eastAsia" w:ascii="宋体" w:hAnsi="宋体" w:eastAsia="宋体" w:cs="宋体"/>
          <w:color w:val="auto"/>
          <w:sz w:val="24"/>
          <w:szCs w:val="24"/>
          <w:lang w:eastAsia="zh-CN"/>
        </w:rPr>
        <w:t>修复通知</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承包人收到保修通知并到达工程现场的合理时间：</w:t>
      </w:r>
      <w:r>
        <w:rPr>
          <w:rFonts w:hint="eastAsia" w:ascii="宋体" w:hAnsi="宋体" w:eastAsia="宋体" w:cs="宋体"/>
          <w:color w:val="auto"/>
          <w:sz w:val="24"/>
          <w:szCs w:val="24"/>
          <w:u w:val="single"/>
          <w:lang w:val="en-US"/>
        </w:rPr>
        <w:t>属于保修范围、内容的项目，承包人应当在接到保修通知之日起 7 天内派人保修。承包人不在约定期限内派人保修的，发包人可以委托他人修理，维修费从承包人质量保证金中扣除，承包人不得提出异议</w:t>
      </w:r>
      <w:r>
        <w:rPr>
          <w:rFonts w:hint="eastAsia" w:ascii="宋体" w:hAnsi="宋体" w:eastAsia="宋体" w:cs="宋体"/>
          <w:color w:val="auto"/>
          <w:sz w:val="24"/>
          <w:szCs w:val="24"/>
          <w:lang w:eastAsia="zh-CN"/>
        </w:rPr>
        <w:t>。</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16. </w:t>
      </w:r>
      <w:r>
        <w:rPr>
          <w:rFonts w:hint="eastAsia" w:ascii="宋体" w:hAnsi="宋体" w:eastAsia="宋体" w:cs="宋体"/>
          <w:color w:val="auto"/>
          <w:lang w:eastAsia="zh-CN"/>
        </w:rPr>
        <w:t>违约</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16.1 </w:t>
      </w:r>
      <w:r>
        <w:rPr>
          <w:rFonts w:hint="eastAsia" w:ascii="宋体" w:hAnsi="宋体" w:eastAsia="宋体" w:cs="宋体"/>
          <w:color w:val="auto"/>
          <w:sz w:val="24"/>
          <w:szCs w:val="24"/>
          <w:lang w:eastAsia="zh-CN"/>
        </w:rPr>
        <w:t>发包人违约</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16.1.1</w:t>
      </w:r>
      <w:r>
        <w:rPr>
          <w:rFonts w:hint="eastAsia" w:ascii="宋体" w:hAnsi="宋体" w:eastAsia="宋体" w:cs="宋体"/>
          <w:color w:val="auto"/>
          <w:sz w:val="24"/>
          <w:szCs w:val="24"/>
          <w:lang w:eastAsia="zh-CN"/>
        </w:rPr>
        <w:t>发包人违约的情形</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发包人违约的其他情形：</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1200" w:hanging="1200"/>
        <w:jc w:val="left"/>
        <w:rPr>
          <w:color w:val="auto"/>
        </w:rPr>
      </w:pPr>
      <w:r>
        <w:rPr>
          <w:rFonts w:hint="eastAsia" w:ascii="宋体" w:hAnsi="宋体" w:eastAsia="宋体" w:cs="宋体"/>
          <w:color w:val="auto"/>
          <w:sz w:val="24"/>
          <w:szCs w:val="24"/>
          <w:lang w:val="en-US"/>
        </w:rPr>
        <w:t xml:space="preserve">    16.1.2 </w:t>
      </w:r>
      <w:r>
        <w:rPr>
          <w:rFonts w:hint="eastAsia" w:ascii="宋体" w:hAnsi="宋体" w:eastAsia="宋体" w:cs="宋体"/>
          <w:color w:val="auto"/>
          <w:sz w:val="24"/>
          <w:szCs w:val="24"/>
          <w:lang w:eastAsia="zh-CN"/>
        </w:rPr>
        <w:t>发包人违约的责任</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发包人违约责任的承担方式和计算方法：</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eastAsia="zh-CN"/>
        </w:rPr>
        <w:t>）因发包人原因未能在计划开工日期前</w:t>
      </w:r>
      <w:r>
        <w:rPr>
          <w:rFonts w:hint="eastAsia" w:ascii="宋体" w:hAnsi="宋体" w:eastAsia="宋体" w:cs="宋体"/>
          <w:color w:val="auto"/>
          <w:sz w:val="24"/>
          <w:szCs w:val="24"/>
          <w:lang w:val="en-US"/>
        </w:rPr>
        <w:t>7</w:t>
      </w:r>
      <w:r>
        <w:rPr>
          <w:rFonts w:hint="eastAsia" w:ascii="宋体" w:hAnsi="宋体" w:eastAsia="宋体" w:cs="宋体"/>
          <w:color w:val="auto"/>
          <w:sz w:val="24"/>
          <w:szCs w:val="24"/>
          <w:lang w:eastAsia="zh-CN"/>
        </w:rPr>
        <w:t>天内下达开工通知的违约责任：</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eastAsia="zh-CN"/>
        </w:rPr>
        <w:t>）因发包人原因未能按合同约定支付合同价款的违约责任：</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3</w:t>
      </w:r>
      <w:r>
        <w:rPr>
          <w:rFonts w:hint="eastAsia" w:ascii="宋体" w:hAnsi="宋体" w:eastAsia="宋体" w:cs="宋体"/>
          <w:color w:val="auto"/>
          <w:sz w:val="24"/>
          <w:szCs w:val="24"/>
          <w:lang w:eastAsia="zh-CN"/>
        </w:rPr>
        <w:t>）发包人违反第</w:t>
      </w:r>
      <w:r>
        <w:rPr>
          <w:rFonts w:hint="eastAsia" w:ascii="宋体" w:hAnsi="宋体" w:eastAsia="宋体" w:cs="宋体"/>
          <w:color w:val="auto"/>
          <w:sz w:val="24"/>
          <w:szCs w:val="24"/>
          <w:lang w:val="en-US"/>
        </w:rPr>
        <w:t>10.1</w:t>
      </w:r>
      <w:r>
        <w:rPr>
          <w:rFonts w:hint="eastAsia" w:ascii="宋体" w:hAnsi="宋体" w:eastAsia="宋体" w:cs="宋体"/>
          <w:color w:val="auto"/>
          <w:sz w:val="24"/>
          <w:szCs w:val="24"/>
          <w:lang w:eastAsia="zh-CN"/>
        </w:rPr>
        <w:t>款〔变更的范围〕第（</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eastAsia="zh-CN"/>
        </w:rPr>
        <w:t>）项约定，自行实施被取消的工作或转由他人实施的违约责任：</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4</w:t>
      </w:r>
      <w:r>
        <w:rPr>
          <w:rFonts w:hint="eastAsia" w:ascii="宋体" w:hAnsi="宋体" w:eastAsia="宋体" w:cs="宋体"/>
          <w:color w:val="auto"/>
          <w:sz w:val="24"/>
          <w:szCs w:val="24"/>
          <w:lang w:eastAsia="zh-CN"/>
        </w:rPr>
        <w:t>）发包人提供的材料、工程设备的规格、数量或质量不符合合同约定，或因发包人原因导致交货日期延误或交货地点变更等情况的违约责任：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5</w:t>
      </w:r>
      <w:r>
        <w:rPr>
          <w:rFonts w:hint="eastAsia" w:ascii="宋体" w:hAnsi="宋体" w:eastAsia="宋体" w:cs="宋体"/>
          <w:color w:val="auto"/>
          <w:sz w:val="24"/>
          <w:szCs w:val="24"/>
          <w:lang w:eastAsia="zh-CN"/>
        </w:rPr>
        <w:t>）因发包人违反合同约定造成暂停施工的违约责任：</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6</w:t>
      </w:r>
      <w:r>
        <w:rPr>
          <w:rFonts w:hint="eastAsia" w:ascii="宋体" w:hAnsi="宋体" w:eastAsia="宋体" w:cs="宋体"/>
          <w:color w:val="auto"/>
          <w:sz w:val="24"/>
          <w:szCs w:val="24"/>
          <w:lang w:eastAsia="zh-CN"/>
        </w:rPr>
        <w:t>）发包人无正当理由没有在约定期限内发出复工指示，导致承包人无法复工的违约责任：</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7</w:t>
      </w:r>
      <w:r>
        <w:rPr>
          <w:rFonts w:hint="eastAsia" w:ascii="宋体" w:hAnsi="宋体" w:eastAsia="宋体" w:cs="宋体"/>
          <w:color w:val="auto"/>
          <w:sz w:val="24"/>
          <w:szCs w:val="24"/>
          <w:lang w:eastAsia="zh-CN"/>
        </w:rPr>
        <w:t>）其他：</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16.1.3 </w:t>
      </w:r>
      <w:r>
        <w:rPr>
          <w:rFonts w:hint="eastAsia" w:ascii="宋体" w:hAnsi="宋体" w:eastAsia="宋体" w:cs="宋体"/>
          <w:color w:val="auto"/>
          <w:sz w:val="24"/>
          <w:szCs w:val="24"/>
          <w:lang w:eastAsia="zh-CN"/>
        </w:rPr>
        <w:t>因发包人违约解除合同</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承包人按</w:t>
      </w:r>
      <w:r>
        <w:rPr>
          <w:rFonts w:hint="eastAsia" w:ascii="宋体" w:hAnsi="宋体" w:eastAsia="宋体" w:cs="宋体"/>
          <w:color w:val="auto"/>
          <w:sz w:val="24"/>
          <w:szCs w:val="24"/>
          <w:lang w:val="en-US"/>
        </w:rPr>
        <w:t>16.1.1</w:t>
      </w:r>
      <w:r>
        <w:rPr>
          <w:rFonts w:hint="eastAsia" w:ascii="宋体" w:hAnsi="宋体" w:eastAsia="宋体" w:cs="宋体"/>
          <w:color w:val="auto"/>
          <w:sz w:val="24"/>
          <w:szCs w:val="24"/>
          <w:lang w:eastAsia="zh-CN"/>
        </w:rPr>
        <w:t>项〔发包人违约的情形〕约定暂停施工满</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天后发包人仍不纠正其违约行为并致使合同目的不能实现的，承包人有权解除合同。</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16.2 </w:t>
      </w:r>
      <w:r>
        <w:rPr>
          <w:rFonts w:hint="eastAsia" w:ascii="宋体" w:hAnsi="宋体" w:eastAsia="宋体" w:cs="宋体"/>
          <w:color w:val="auto"/>
          <w:sz w:val="24"/>
          <w:szCs w:val="24"/>
          <w:lang w:eastAsia="zh-CN"/>
        </w:rPr>
        <w:t>承包人违约</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16.2.1 </w:t>
      </w:r>
      <w:r>
        <w:rPr>
          <w:rFonts w:hint="eastAsia" w:ascii="宋体" w:hAnsi="宋体" w:eastAsia="宋体" w:cs="宋体"/>
          <w:color w:val="auto"/>
          <w:sz w:val="24"/>
          <w:szCs w:val="24"/>
          <w:lang w:eastAsia="zh-CN"/>
        </w:rPr>
        <w:t>承包人违约的情形</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承包人违约的其他情形：</w:t>
      </w:r>
      <w:r>
        <w:rPr>
          <w:rFonts w:hint="eastAsia" w:ascii="宋体" w:hAnsi="宋体" w:eastAsia="宋体" w:cs="宋体"/>
          <w:color w:val="auto"/>
          <w:sz w:val="24"/>
          <w:szCs w:val="24"/>
          <w:u w:val="single"/>
          <w:lang w:val="en-US"/>
        </w:rPr>
        <w:t>承包人不按规定时间内签订合同和不签订合同的；或虽已签订合同，却不履行合同的，发包人有权解除合同。承包人总工期每延误壹日历天按</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lang w:val="en-US"/>
        </w:rPr>
        <w:t>000元向发包人支付违约金并承担因延误工期导致发包人需支付监理人的报酬，发包人可直接从承包人的工程款中扣除该违约金及费用，总工期提前，不予奖励。因承包人不按施工设计图纸施工或违反施工规范进行施工或建筑材料设备、施工工艺不合格等产生的工程质量问题而引起的返工、补救、整改或重建，其全部责任和费用均由承包人自行承担，并向发包人赔偿其所造成的损失。工程违约分包处理。本工程不允许承包人以任何名义进行转包和分包。如承包人将工程进行转包或未经发包人同意擅自分包或违法分包，发包人有权责令其出场、处罚承包人10万元，并有权单方面取消承包人的中标资格，终止合同，由此产生的责任和损失均由承包人负责，发包人有权向承包人索赔。本工程质量标准必须达到合格。经验收因施工原因造成工程不合格，中标人应负责修至合格，方可交付使用。承包人必须按照投标承诺或经发包人批准的替换人员及时派出项目经理、项目技术负责人和其他主要管理人员到工地现场指挥协调施工，项目经理、技术总工每月出勤不少于25日, 质检工程师、安全员、实验员每月出勤满不少于25日,承包人必须实行每天签到登记制，并于每周一上午将签到登记表送交工程师，发包人代表和工程师将随时检查承包人的上述人员是否到位，如发包人或工程师发现签到登记表不实或以上人员没有在现场履行职责，且未向发包人事先书面说明并获得书面同意，则发包人可按承包人现场管理人员中项目经理缺岗每天10000元标准处罚承包人、其他人员缺岗按每人每天3000元标准处罚承包人，其罚款由工程师签发、发包人批准后直接从承包人的工程款中扣除。承包人缺岗致使连续两个周每周被处罚款超过40000元的，发包人有权单方面取消承包人的中标资格，终止合同，由此产生的责任和损失均由承包人负责，发包人有权向承包人索赔。 承包人如有下列情况时，发包人有权调整承包人的工作内容直至解除本合同，发包人因此所遭受的一切损失，承包人应承担全部赔偿责任：承包人延期开工达7日。承包人必须遵守市有关部门关于文明施工的规定，服从发包人依法所制定的施工现场管理规定，接受发包人的检查、监督和整改通知</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16.2.2</w:t>
      </w:r>
      <w:r>
        <w:rPr>
          <w:rFonts w:hint="eastAsia" w:ascii="宋体" w:hAnsi="宋体" w:eastAsia="宋体" w:cs="宋体"/>
          <w:color w:val="auto"/>
          <w:sz w:val="24"/>
          <w:szCs w:val="24"/>
          <w:lang w:eastAsia="zh-CN"/>
        </w:rPr>
        <w:t>承包人违约的责任</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承包人违约责任的承担方式和计算方法：</w:t>
      </w:r>
      <w:r>
        <w:rPr>
          <w:rFonts w:hint="eastAsia" w:ascii="宋体" w:hAnsi="宋体" w:eastAsia="宋体" w:cs="宋体"/>
          <w:color w:val="auto"/>
          <w:sz w:val="24"/>
          <w:szCs w:val="24"/>
          <w:u w:val="single"/>
          <w:lang w:val="en-US"/>
        </w:rPr>
        <w:t>/</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16.2.3 </w:t>
      </w:r>
      <w:r>
        <w:rPr>
          <w:rFonts w:hint="eastAsia" w:ascii="宋体" w:hAnsi="宋体" w:eastAsia="宋体" w:cs="宋体"/>
          <w:color w:val="auto"/>
          <w:sz w:val="24"/>
          <w:szCs w:val="24"/>
          <w:lang w:eastAsia="zh-CN"/>
        </w:rPr>
        <w:t>因承包人违约解除合同</w:t>
      </w:r>
    </w:p>
    <w:p>
      <w:pPr>
        <w:keepNext w:val="0"/>
        <w:keepLines w:val="0"/>
        <w:widowControl/>
        <w:suppressLineNumbers w:val="0"/>
        <w:snapToGrid w:val="0"/>
        <w:spacing w:before="120" w:beforeAutospacing="0" w:after="120" w:afterAutospacing="0" w:line="300" w:lineRule="auto"/>
        <w:ind w:left="0" w:right="0" w:firstLine="420"/>
        <w:rPr>
          <w:color w:val="auto"/>
        </w:rPr>
      </w:pPr>
      <w:r>
        <w:rPr>
          <w:rFonts w:hint="eastAsia" w:ascii="宋体" w:hAnsi="宋体" w:eastAsia="宋体" w:cs="宋体"/>
          <w:color w:val="auto"/>
          <w:sz w:val="24"/>
          <w:szCs w:val="24"/>
          <w:lang w:eastAsia="zh-CN"/>
        </w:rPr>
        <w:t>关于承包人违约解除合同的特别约定：</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before="120" w:beforeAutospacing="0" w:after="120" w:afterAutospacing="0" w:line="300" w:lineRule="auto"/>
        <w:ind w:left="0" w:right="0" w:firstLine="480"/>
        <w:rPr>
          <w:color w:val="auto"/>
        </w:rPr>
      </w:pPr>
      <w:r>
        <w:rPr>
          <w:rFonts w:hint="eastAsia" w:ascii="宋体" w:hAnsi="宋体" w:eastAsia="宋体" w:cs="宋体"/>
          <w:color w:val="auto"/>
          <w:sz w:val="24"/>
          <w:szCs w:val="24"/>
          <w:lang w:eastAsia="zh-CN"/>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17. </w:t>
      </w:r>
      <w:r>
        <w:rPr>
          <w:rFonts w:hint="eastAsia" w:ascii="宋体" w:hAnsi="宋体" w:eastAsia="宋体" w:cs="宋体"/>
          <w:color w:val="auto"/>
          <w:lang w:eastAsia="zh-CN"/>
        </w:rPr>
        <w:t xml:space="preserve">不可抗力 </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17.1 </w:t>
      </w:r>
      <w:r>
        <w:rPr>
          <w:rFonts w:hint="eastAsia" w:ascii="宋体" w:hAnsi="宋体" w:eastAsia="宋体" w:cs="宋体"/>
          <w:color w:val="auto"/>
          <w:sz w:val="24"/>
          <w:szCs w:val="24"/>
          <w:lang w:eastAsia="zh-CN"/>
        </w:rPr>
        <w:t>不可抗力的确认</w:t>
      </w:r>
    </w:p>
    <w:p>
      <w:pPr>
        <w:keepNext w:val="0"/>
        <w:keepLines w:val="0"/>
        <w:widowControl/>
        <w:suppressLineNumbers w:val="0"/>
        <w:snapToGrid w:val="0"/>
        <w:spacing w:line="300" w:lineRule="auto"/>
        <w:jc w:val="left"/>
        <w:rPr>
          <w:color w:val="auto"/>
        </w:rPr>
      </w:pPr>
      <w:r>
        <w:rPr>
          <w:rFonts w:hint="eastAsia" w:ascii="宋体" w:hAnsi="宋体" w:eastAsia="宋体" w:cs="宋体"/>
          <w:color w:val="auto"/>
          <w:sz w:val="24"/>
          <w:szCs w:val="24"/>
          <w:lang w:eastAsia="zh-CN"/>
        </w:rPr>
        <w:t xml:space="preserve">除通用合同条款约定的不可抗力事件之外，视为不可抗力的其他情形： </w:t>
      </w:r>
      <w:r>
        <w:rPr>
          <w:rFonts w:hint="eastAsia" w:ascii="宋体" w:hAnsi="宋体" w:eastAsia="宋体" w:cs="宋体"/>
          <w:color w:val="auto"/>
          <w:sz w:val="24"/>
          <w:szCs w:val="24"/>
          <w:u w:val="single"/>
          <w:lang w:val="en-US"/>
        </w:rPr>
        <w:t>1、 风力8级（含8级）以上台风（以气象台发布的公告为准）。2、战争、地震、洪水等。3、不可抗力情况下的暂停施工条件：24小时连续雨量达50mm以上的雨（以气象台发布的公告为准）可暂停施工。承包人暂停施工应及时通知监理人，并经发包人同意</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17.4 </w:t>
      </w:r>
      <w:r>
        <w:rPr>
          <w:rFonts w:hint="eastAsia" w:ascii="宋体" w:hAnsi="宋体" w:eastAsia="宋体" w:cs="宋体"/>
          <w:color w:val="auto"/>
          <w:sz w:val="24"/>
          <w:szCs w:val="24"/>
          <w:lang w:eastAsia="zh-CN"/>
        </w:rPr>
        <w:t>因不可抗力解除合同</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合同解除后，发包人应在商定或确定发包人应支付款项后</w:t>
      </w:r>
      <w:r>
        <w:rPr>
          <w:rFonts w:hint="eastAsia" w:ascii="宋体" w:hAnsi="宋体" w:eastAsia="宋体" w:cs="宋体"/>
          <w:color w:val="auto"/>
          <w:sz w:val="24"/>
          <w:szCs w:val="24"/>
          <w:u w:val="single"/>
          <w:lang w:val="en-US"/>
        </w:rPr>
        <w:t>28</w:t>
      </w:r>
      <w:r>
        <w:rPr>
          <w:rFonts w:hint="eastAsia" w:ascii="宋体" w:hAnsi="宋体" w:eastAsia="宋体" w:cs="宋体"/>
          <w:color w:val="auto"/>
          <w:sz w:val="24"/>
          <w:szCs w:val="24"/>
          <w:lang w:eastAsia="zh-CN"/>
        </w:rPr>
        <w:t>天内完成款项的支付。</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18. </w:t>
      </w:r>
      <w:r>
        <w:rPr>
          <w:rFonts w:hint="eastAsia" w:ascii="宋体" w:hAnsi="宋体" w:eastAsia="宋体" w:cs="宋体"/>
          <w:color w:val="auto"/>
          <w:lang w:eastAsia="zh-CN"/>
        </w:rPr>
        <w:t>保险</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18.1 </w:t>
      </w:r>
      <w:r>
        <w:rPr>
          <w:rFonts w:hint="eastAsia" w:ascii="宋体" w:hAnsi="宋体" w:eastAsia="宋体" w:cs="宋体"/>
          <w:color w:val="auto"/>
          <w:sz w:val="24"/>
          <w:szCs w:val="24"/>
          <w:lang w:eastAsia="zh-CN"/>
        </w:rPr>
        <w:t>工程保险</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关于工程保险的特别约定：</w:t>
      </w:r>
      <w:r>
        <w:rPr>
          <w:rFonts w:hint="eastAsia" w:ascii="宋体" w:hAnsi="宋体" w:eastAsia="宋体" w:cs="宋体"/>
          <w:color w:val="auto"/>
          <w:sz w:val="24"/>
          <w:szCs w:val="24"/>
          <w:u w:val="single"/>
          <w:lang w:val="en-US"/>
        </w:rPr>
        <w:t>承包人投保内容：劳工险和第三者责任险由承包人负责，其费用己含在投标报价中，承包人应按相关规定投保</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18.3 </w:t>
      </w:r>
      <w:r>
        <w:rPr>
          <w:rFonts w:hint="eastAsia" w:ascii="宋体" w:hAnsi="宋体" w:eastAsia="宋体" w:cs="宋体"/>
          <w:color w:val="auto"/>
          <w:sz w:val="24"/>
          <w:szCs w:val="24"/>
          <w:lang w:eastAsia="zh-CN"/>
        </w:rPr>
        <w:t>其他保险</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关于其他保险的约定：</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承包人是否应为其施工设备等办理财产保险：</w:t>
      </w:r>
      <w:r>
        <w:rPr>
          <w:rFonts w:hint="eastAsia" w:ascii="宋体" w:hAnsi="宋体" w:eastAsia="宋体" w:cs="宋体"/>
          <w:color w:val="auto"/>
          <w:sz w:val="24"/>
          <w:szCs w:val="24"/>
          <w:u w:val="single"/>
          <w:lang w:val="en-US"/>
        </w:rPr>
        <w:t>是</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18.7 </w:t>
      </w:r>
      <w:r>
        <w:rPr>
          <w:rFonts w:hint="eastAsia" w:ascii="宋体" w:hAnsi="宋体" w:eastAsia="宋体" w:cs="宋体"/>
          <w:color w:val="auto"/>
          <w:sz w:val="24"/>
          <w:szCs w:val="24"/>
          <w:lang w:eastAsia="zh-CN"/>
        </w:rPr>
        <w:t>通知义务</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关于变更保险合同时的通知义务的约定：</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pStyle w:val="8"/>
        <w:keepNext w:val="0"/>
        <w:keepLines w:val="0"/>
        <w:widowControl/>
        <w:suppressLineNumbers w:val="0"/>
        <w:snapToGrid w:val="0"/>
        <w:spacing w:before="156" w:beforeAutospacing="0" w:after="0" w:afterAutospacing="0" w:line="300" w:lineRule="auto"/>
        <w:ind w:left="0" w:right="0"/>
        <w:rPr>
          <w:color w:val="auto"/>
        </w:rPr>
      </w:pPr>
      <w:r>
        <w:rPr>
          <w:rFonts w:hint="eastAsia" w:ascii="宋体" w:hAnsi="宋体" w:eastAsia="宋体" w:cs="宋体"/>
          <w:color w:val="auto"/>
          <w:lang w:val="en-US"/>
        </w:rPr>
        <w:t xml:space="preserve">20. </w:t>
      </w:r>
      <w:r>
        <w:rPr>
          <w:rFonts w:hint="eastAsia" w:ascii="宋体" w:hAnsi="宋体" w:eastAsia="宋体" w:cs="宋体"/>
          <w:color w:val="auto"/>
          <w:lang w:eastAsia="zh-CN"/>
        </w:rPr>
        <w:t>争议解决</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 xml:space="preserve">20.3 </w:t>
      </w:r>
      <w:r>
        <w:rPr>
          <w:rFonts w:hint="eastAsia" w:ascii="宋体" w:hAnsi="宋体" w:eastAsia="宋体" w:cs="宋体"/>
          <w:color w:val="auto"/>
          <w:sz w:val="24"/>
          <w:szCs w:val="24"/>
          <w:lang w:eastAsia="zh-CN"/>
        </w:rPr>
        <w:t>争议评审</w:t>
      </w:r>
    </w:p>
    <w:p>
      <w:pPr>
        <w:keepNext w:val="0"/>
        <w:keepLines w:val="0"/>
        <w:widowControl/>
        <w:suppressLineNumbers w:val="0"/>
        <w:snapToGrid w:val="0"/>
        <w:spacing w:line="300" w:lineRule="auto"/>
        <w:ind w:left="0" w:firstLine="420"/>
        <w:jc w:val="left"/>
        <w:rPr>
          <w:color w:val="auto"/>
        </w:rPr>
      </w:pPr>
      <w:r>
        <w:rPr>
          <w:rFonts w:hint="eastAsia" w:ascii="宋体" w:hAnsi="宋体" w:eastAsia="宋体" w:cs="宋体"/>
          <w:color w:val="auto"/>
          <w:sz w:val="24"/>
          <w:szCs w:val="24"/>
          <w:lang w:eastAsia="zh-CN"/>
        </w:rPr>
        <w:t>合同当事人是否同意将工程争议提交争议评审小组决定：</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20.3.1 </w:t>
      </w:r>
      <w:r>
        <w:rPr>
          <w:rFonts w:hint="eastAsia" w:ascii="宋体" w:hAnsi="宋体" w:eastAsia="宋体" w:cs="宋体"/>
          <w:color w:val="auto"/>
          <w:sz w:val="24"/>
          <w:szCs w:val="24"/>
          <w:lang w:eastAsia="zh-CN"/>
        </w:rPr>
        <w:t>争议评审小组的确定</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争议评审小组成员的确定：</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选定争议评审员的期限：</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争议评审小组成员的报酬承担方式：</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其他事项的约定：</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val="en-US"/>
        </w:rPr>
        <w:t xml:space="preserve">20.3.2 </w:t>
      </w:r>
      <w:r>
        <w:rPr>
          <w:rFonts w:hint="eastAsia" w:ascii="宋体" w:hAnsi="宋体" w:eastAsia="宋体" w:cs="宋体"/>
          <w:color w:val="auto"/>
          <w:sz w:val="24"/>
          <w:szCs w:val="24"/>
          <w:lang w:eastAsia="zh-CN"/>
        </w:rPr>
        <w:t>争议评审小组的决定</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合同当事人关于本项的约定：</w:t>
      </w:r>
      <w:r>
        <w:rPr>
          <w:rFonts w:hint="eastAsia" w:ascii="宋体" w:hAnsi="宋体" w:eastAsia="宋体" w:cs="宋体"/>
          <w:color w:val="auto"/>
          <w:sz w:val="24"/>
          <w:szCs w:val="24"/>
          <w:u w:val="single"/>
          <w:lang w:val="en-US"/>
        </w:rPr>
        <w:t>按通用合同条款执行</w:t>
      </w:r>
      <w:r>
        <w:rPr>
          <w:rFonts w:hint="eastAsia" w:ascii="宋体" w:hAnsi="宋体" w:eastAsia="宋体" w:cs="宋体"/>
          <w:color w:val="auto"/>
          <w:sz w:val="24"/>
          <w:szCs w:val="24"/>
          <w:lang w:eastAsia="zh-CN"/>
        </w:rPr>
        <w:t>。</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val="en-US"/>
        </w:rPr>
        <w:t>20.4</w:t>
      </w:r>
      <w:r>
        <w:rPr>
          <w:rFonts w:hint="eastAsia" w:ascii="宋体" w:hAnsi="宋体" w:eastAsia="宋体" w:cs="宋体"/>
          <w:color w:val="auto"/>
          <w:sz w:val="24"/>
          <w:szCs w:val="24"/>
          <w:lang w:eastAsia="zh-CN"/>
        </w:rPr>
        <w:t>仲裁或诉讼</w:t>
      </w:r>
    </w:p>
    <w:p>
      <w:pPr>
        <w:keepNext w:val="0"/>
        <w:keepLines w:val="0"/>
        <w:widowControl/>
        <w:suppressLineNumbers w:val="0"/>
        <w:snapToGrid w:val="0"/>
        <w:spacing w:after="120" w:afterAutospacing="0" w:line="300" w:lineRule="auto"/>
        <w:ind w:left="0" w:firstLine="480"/>
        <w:rPr>
          <w:color w:val="auto"/>
        </w:rPr>
      </w:pPr>
      <w:r>
        <w:rPr>
          <w:rFonts w:hint="eastAsia" w:ascii="宋体" w:hAnsi="宋体" w:eastAsia="宋体" w:cs="宋体"/>
          <w:color w:val="auto"/>
          <w:sz w:val="24"/>
          <w:szCs w:val="24"/>
          <w:lang w:eastAsia="zh-CN"/>
        </w:rPr>
        <w:t>因合同及合同有关事项发生的争议，按下列第</w:t>
      </w:r>
      <w:r>
        <w:rPr>
          <w:rFonts w:hint="eastAsia" w:ascii="宋体" w:hAnsi="宋体" w:eastAsia="宋体" w:cs="宋体"/>
          <w:color w:val="auto"/>
          <w:sz w:val="24"/>
          <w:szCs w:val="24"/>
          <w:u w:val="single"/>
          <w:lang w:val="en-US"/>
        </w:rPr>
        <w:t>（2）</w:t>
      </w:r>
      <w:r>
        <w:rPr>
          <w:rFonts w:hint="eastAsia" w:ascii="宋体" w:hAnsi="宋体" w:eastAsia="宋体" w:cs="宋体"/>
          <w:color w:val="auto"/>
          <w:sz w:val="24"/>
          <w:szCs w:val="24"/>
          <w:lang w:eastAsia="zh-CN"/>
        </w:rPr>
        <w:t>种方式解决：</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eastAsia="zh-CN"/>
        </w:rPr>
        <w:t>）向</w:t>
      </w:r>
      <w:r>
        <w:rPr>
          <w:rFonts w:hint="eastAsia" w:ascii="宋体" w:hAnsi="宋体" w:eastAsia="宋体" w:cs="宋体"/>
          <w:color w:val="auto"/>
          <w:sz w:val="24"/>
          <w:szCs w:val="24"/>
          <w:u w:val="single"/>
          <w:lang w:val="en-US" w:eastAsia="zh-CN"/>
        </w:rPr>
        <w:t>泉州市</w:t>
      </w:r>
      <w:r>
        <w:rPr>
          <w:rFonts w:hint="eastAsia" w:ascii="宋体" w:hAnsi="宋体" w:eastAsia="宋体" w:cs="宋体"/>
          <w:color w:val="auto"/>
          <w:sz w:val="24"/>
          <w:szCs w:val="24"/>
          <w:lang w:eastAsia="zh-CN"/>
        </w:rPr>
        <w:t>仲裁委员会申请仲裁；</w:t>
      </w:r>
    </w:p>
    <w:p>
      <w:pPr>
        <w:keepNext w:val="0"/>
        <w:keepLines w:val="0"/>
        <w:widowControl/>
        <w:suppressLineNumbers w:val="0"/>
        <w:snapToGrid w:val="0"/>
        <w:spacing w:line="300" w:lineRule="auto"/>
        <w:ind w:left="0" w:firstLine="480"/>
        <w:jc w:val="left"/>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eastAsia="zh-CN"/>
        </w:rPr>
        <w:t>）向</w:t>
      </w:r>
      <w:r>
        <w:rPr>
          <w:rFonts w:hint="eastAsia" w:ascii="宋体" w:hAnsi="宋体" w:eastAsia="宋体" w:cs="宋体"/>
          <w:color w:val="auto"/>
          <w:sz w:val="24"/>
          <w:szCs w:val="24"/>
          <w:u w:val="single"/>
          <w:lang w:val="en-US"/>
        </w:rPr>
        <w:t>项目所在地</w:t>
      </w:r>
      <w:r>
        <w:rPr>
          <w:rFonts w:hint="eastAsia" w:ascii="宋体" w:hAnsi="宋体" w:eastAsia="宋体" w:cs="宋体"/>
          <w:color w:val="auto"/>
          <w:sz w:val="24"/>
          <w:szCs w:val="24"/>
          <w:lang w:eastAsia="zh-CN"/>
        </w:rPr>
        <w:t>人民法院起诉。</w:t>
      </w:r>
    </w:p>
    <w:p>
      <w:pPr>
        <w:keepNext w:val="0"/>
        <w:keepLines w:val="0"/>
        <w:pageBreakBefore w:val="0"/>
        <w:kinsoku/>
        <w:wordWrap/>
        <w:overflowPunct/>
        <w:topLinePunct w:val="0"/>
        <w:autoSpaceDE/>
        <w:autoSpaceDN/>
        <w:bidi w:val="0"/>
        <w:adjustRightInd/>
        <w:spacing w:line="354" w:lineRule="exact"/>
        <w:ind w:firstLine="560" w:firstLineChars="200"/>
        <w:jc w:val="left"/>
        <w:textAlignment w:val="auto"/>
        <w:rPr>
          <w:rFonts w:ascii="宋体" w:hAnsi="宋体"/>
          <w:b/>
          <w:color w:val="auto"/>
          <w:sz w:val="28"/>
          <w:szCs w:val="28"/>
          <w:highlight w:val="none"/>
        </w:rPr>
      </w:pPr>
      <w:r>
        <w:rPr>
          <w:rFonts w:hint="eastAsia" w:ascii="宋体" w:hAnsi="宋体"/>
          <w:b/>
          <w:color w:val="auto"/>
          <w:sz w:val="28"/>
          <w:szCs w:val="28"/>
          <w:highlight w:val="none"/>
        </w:rPr>
        <w:t>21.补充条款</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21.1. 本工程建立违约清场机制，违约退场的几种情形：</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21.1.1 承包人发生挂靠、转包、违法分包施工任务、计划工期进度延误 3个月或发生重大质量安全事故的；</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21.1.2 承包人连续两个月以上不按法律、法规规定要求发放工人工资或因其造成工地工人群体上访恶性事件的（因被拖欠工程款引发的除外）；</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21.1.3 承包人拒不履行投标承诺及合约职责与义务的。</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当承包人发生上述违约行为时，发包人可按约责成其限期清场退出施工现场，进行工程质量验收和数量造价清算。</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21.2 本工程不允许承包人以任何名义和理由进行转包，如有发现，发包人有权责令其退场，中止合同，并要求其赔偿发包人的一切损失。</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21.2.1 承包人派驻现场的项目经理、项目技术负责人及项目管理机构主要管理人员须与投标承诺的人员相一致，不得擅自变更。除刑事犯罪、死亡、伤病丧失履约能力、辞职等特殊原因确需更换的，所变更人员的资格、业绩和信誉不得低于中标条件且必须经建设、监理单位同意，并报相关行政主管部门批准。及时将经批准的新更替人员的相关资料报工程质量安全监督机构跟踪监督。</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21.2.2 施工中承包人项目管理班子不履行投标承诺，发包人有权单方面责令其退场，中止合同、没收履约保函（保证金），并要求其赔偿发包人的一切损失。项目管理班子主要人员更换最多不超过 2 次 。</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21.3 本工程安全控制的目标约定为：</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21.3.1 死亡事故为零；</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21.3.2 重伤事故 0.5‰以下，尽量减少轻伤事故。</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21.3.3 杜绝火灾事故；</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21.3.4 不发生重大机械事故；</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21.3.5 杜绝高坠事故；</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21.3.6 杜绝物体打击事故。</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如未达到上述目标，发包人将视情节轻重给予承包人适当处罚，罚金从工程款中扣除。</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21.4．资金监管</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21.4.1 对支付的工程款（进度款），承包人应确保：</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（1）承包人依约向供应商、分包商支付货款或工程款；</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（2）承包人依约支付工人工资；</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（3）承包人按照法律规定及时缴纳税款；</w:t>
      </w:r>
    </w:p>
    <w:p>
      <w:pPr>
        <w:keepNext w:val="0"/>
        <w:keepLines w:val="0"/>
        <w:pageBreakBefore w:val="0"/>
        <w:kinsoku/>
        <w:wordWrap/>
        <w:overflowPunct/>
        <w:topLinePunct w:val="0"/>
        <w:autoSpaceDE/>
        <w:autoSpaceDN/>
        <w:bidi w:val="0"/>
        <w:adjustRightInd/>
        <w:spacing w:line="354" w:lineRule="exact"/>
        <w:ind w:firstLine="600" w:firstLineChars="250"/>
        <w:textAlignment w:val="auto"/>
        <w:rPr>
          <w:rFonts w:ascii="宋体" w:hAnsi="宋体"/>
          <w:color w:val="auto"/>
          <w:sz w:val="24"/>
          <w:highlight w:val="none"/>
        </w:rPr>
      </w:pPr>
      <w:r>
        <w:rPr>
          <w:rFonts w:hint="eastAsia" w:ascii="宋体" w:hAnsi="宋体"/>
          <w:color w:val="auto"/>
          <w:sz w:val="24"/>
          <w:highlight w:val="none"/>
        </w:rPr>
        <w:t>（4）承包人的用款符合用款计划且不存在将工程款挪作他用的行为。</w:t>
      </w:r>
    </w:p>
    <w:p>
      <w:pPr>
        <w:keepNext w:val="0"/>
        <w:keepLines w:val="0"/>
        <w:pageBreakBefore w:val="0"/>
        <w:kinsoku/>
        <w:wordWrap/>
        <w:overflowPunct/>
        <w:topLinePunct w:val="0"/>
        <w:autoSpaceDE/>
        <w:autoSpaceDN/>
        <w:bidi w:val="0"/>
        <w:adjustRightInd/>
        <w:spacing w:line="354" w:lineRule="exact"/>
        <w:ind w:firstLine="720" w:firstLineChars="300"/>
        <w:textAlignment w:val="auto"/>
        <w:rPr>
          <w:rFonts w:ascii="宋体" w:hAnsi="宋体"/>
          <w:color w:val="auto"/>
          <w:sz w:val="24"/>
          <w:highlight w:val="none"/>
        </w:rPr>
      </w:pPr>
      <w:r>
        <w:rPr>
          <w:rFonts w:hint="eastAsia" w:ascii="宋体" w:hAnsi="宋体"/>
          <w:color w:val="auto"/>
          <w:sz w:val="24"/>
          <w:highlight w:val="none"/>
        </w:rPr>
        <w:t>21.4.2 如承包人未及时支付工人工资或各种材料款项，发包人可直接向工人或材料供应商支付工资及相关材料款，并直接从应付承包人的合同价款中扣除。</w:t>
      </w:r>
    </w:p>
    <w:p>
      <w:pPr>
        <w:keepNext w:val="0"/>
        <w:keepLines w:val="0"/>
        <w:pageBreakBefore w:val="0"/>
        <w:kinsoku/>
        <w:wordWrap/>
        <w:overflowPunct/>
        <w:topLinePunct w:val="0"/>
        <w:autoSpaceDE/>
        <w:autoSpaceDN/>
        <w:bidi w:val="0"/>
        <w:adjustRightInd/>
        <w:spacing w:line="354" w:lineRule="exact"/>
        <w:ind w:firstLine="600" w:firstLineChars="250"/>
        <w:textAlignment w:val="auto"/>
        <w:rPr>
          <w:rFonts w:ascii="宋体" w:hAnsi="宋体"/>
          <w:color w:val="auto"/>
          <w:sz w:val="24"/>
          <w:highlight w:val="none"/>
        </w:rPr>
      </w:pPr>
      <w:r>
        <w:rPr>
          <w:rFonts w:hint="eastAsia" w:ascii="宋体" w:hAnsi="宋体"/>
          <w:color w:val="auto"/>
          <w:sz w:val="24"/>
          <w:highlight w:val="none"/>
        </w:rPr>
        <w:t>21.4.3 发包人有权要求承包人提交供应合同、班组承包合同、分包合同（若有）等。</w:t>
      </w:r>
    </w:p>
    <w:p>
      <w:pPr>
        <w:keepNext w:val="0"/>
        <w:keepLines w:val="0"/>
        <w:pageBreakBefore w:val="0"/>
        <w:kinsoku/>
        <w:wordWrap/>
        <w:overflowPunct/>
        <w:topLinePunct w:val="0"/>
        <w:autoSpaceDE/>
        <w:autoSpaceDN/>
        <w:bidi w:val="0"/>
        <w:adjustRightInd/>
        <w:spacing w:line="354" w:lineRule="exact"/>
        <w:ind w:firstLine="600" w:firstLineChars="250"/>
        <w:textAlignment w:val="auto"/>
        <w:rPr>
          <w:rFonts w:ascii="宋体" w:hAnsi="宋体"/>
          <w:color w:val="auto"/>
          <w:sz w:val="24"/>
          <w:highlight w:val="none"/>
        </w:rPr>
      </w:pPr>
      <w:r>
        <w:rPr>
          <w:rFonts w:hint="eastAsia" w:ascii="宋体" w:hAnsi="宋体"/>
          <w:color w:val="auto"/>
          <w:sz w:val="24"/>
          <w:highlight w:val="none"/>
        </w:rPr>
        <w:t>21.5 发包人与承包人应按泉州市建设局泉建监[2002]6 号文规定签订《工程建设项目廉政责任书》，作为本合同的组成部分。</w:t>
      </w:r>
    </w:p>
    <w:p>
      <w:pPr>
        <w:keepNext w:val="0"/>
        <w:keepLines w:val="0"/>
        <w:pageBreakBefore w:val="0"/>
        <w:kinsoku/>
        <w:wordWrap/>
        <w:overflowPunct/>
        <w:topLinePunct w:val="0"/>
        <w:autoSpaceDE/>
        <w:autoSpaceDN/>
        <w:bidi w:val="0"/>
        <w:adjustRightInd/>
        <w:spacing w:line="354" w:lineRule="exact"/>
        <w:ind w:firstLine="600" w:firstLineChars="250"/>
        <w:textAlignment w:val="auto"/>
        <w:rPr>
          <w:rFonts w:ascii="宋体" w:hAnsi="宋体"/>
          <w:color w:val="auto"/>
          <w:sz w:val="24"/>
          <w:highlight w:val="none"/>
        </w:rPr>
      </w:pPr>
      <w:r>
        <w:rPr>
          <w:rFonts w:ascii="宋体" w:hAnsi="宋体"/>
          <w:color w:val="auto"/>
          <w:sz w:val="24"/>
          <w:highlight w:val="none"/>
        </w:rPr>
        <w:t xml:space="preserve">21.6 </w:t>
      </w:r>
      <w:r>
        <w:rPr>
          <w:rFonts w:hint="eastAsia" w:ascii="宋体" w:hAnsi="宋体"/>
          <w:color w:val="auto"/>
          <w:sz w:val="24"/>
          <w:highlight w:val="none"/>
        </w:rPr>
        <w:t>施工的临时用水和用电需要施工方协调租赁和架设相关设备，由此产生的费用由中标方支付。</w:t>
      </w:r>
    </w:p>
    <w:p>
      <w:pPr>
        <w:keepNext w:val="0"/>
        <w:keepLines w:val="0"/>
        <w:pageBreakBefore w:val="0"/>
        <w:kinsoku/>
        <w:wordWrap/>
        <w:overflowPunct/>
        <w:topLinePunct w:val="0"/>
        <w:autoSpaceDE/>
        <w:autoSpaceDN/>
        <w:bidi w:val="0"/>
        <w:adjustRightInd/>
        <w:spacing w:line="354" w:lineRule="exact"/>
        <w:ind w:firstLine="600" w:firstLineChars="250"/>
        <w:textAlignment w:val="auto"/>
        <w:rPr>
          <w:rFonts w:ascii="宋体" w:hAnsi="宋体"/>
          <w:b w:val="0"/>
          <w:bCs/>
          <w:color w:val="auto"/>
          <w:sz w:val="24"/>
          <w:highlight w:val="none"/>
        </w:rPr>
      </w:pPr>
      <w:r>
        <w:rPr>
          <w:rFonts w:hint="eastAsia" w:ascii="宋体" w:hAnsi="宋体"/>
          <w:b w:val="0"/>
          <w:bCs/>
          <w:color w:val="auto"/>
          <w:sz w:val="24"/>
          <w:highlight w:val="none"/>
        </w:rPr>
        <w:t>21.7本工程建筑垃圾、工程渣土的管理需按照《泉州市人民政府关 于印发泉州市建筑废土沙石运输管理规定的通知》(泉政文[2011]312 号)、《泉州市住房和城乡建设局关于加强在建房屋建筑和市政基础设 施工程建筑废土管理工作的通知》(泉建建[2012]62 号)、《泉州市住 房和城乡建设局关于进一步规范房屋建筑和市政基础设工程渣土运输 管理工作的通知》(泉建建[2014]16 号)、《泉州市住房和城乡建设局 关于进一步加强受监工程施工现场废土清运管理的通知》(泉建建[2018]43 号)、《泉州市建筑废土沙石运输管理办公室关于加强渣土处 置违法违规行为查处工作的通知》(泉渣土办[2018]1 号)、《泉州市建 筑废土沙石运输管理办公室关于印发泉州市渣土运输企业管理规定的 通知》(泉渣土办[2018]8 号)、严格执行。所发生的费用已包含在合同价款(工程预算) 中，发包人不再另行支付，承包人应自行承担。中标人在施工合同中必须明确建筑废土处理措施，不得违规转包。</w:t>
      </w:r>
    </w:p>
    <w:p>
      <w:pPr>
        <w:keepNext w:val="0"/>
        <w:keepLines w:val="0"/>
        <w:pageBreakBefore w:val="0"/>
        <w:kinsoku/>
        <w:wordWrap/>
        <w:overflowPunct/>
        <w:topLinePunct w:val="0"/>
        <w:autoSpaceDE/>
        <w:autoSpaceDN/>
        <w:bidi w:val="0"/>
        <w:adjustRightInd/>
        <w:spacing w:line="354" w:lineRule="exact"/>
        <w:ind w:firstLine="600" w:firstLineChars="250"/>
        <w:textAlignment w:val="auto"/>
        <w:rPr>
          <w:color w:val="auto"/>
          <w:sz w:val="24"/>
          <w:szCs w:val="24"/>
        </w:rPr>
      </w:pPr>
      <w:r>
        <w:rPr>
          <w:rFonts w:hint="eastAsia" w:ascii="宋体" w:hAnsi="宋体"/>
          <w:color w:val="auto"/>
          <w:sz w:val="24"/>
          <w:highlight w:val="none"/>
        </w:rPr>
        <w:t xml:space="preserve">21.8 </w:t>
      </w:r>
      <w:r>
        <w:rPr>
          <w:rFonts w:hint="eastAsia"/>
          <w:color w:val="auto"/>
          <w:sz w:val="24"/>
          <w:szCs w:val="24"/>
        </w:rPr>
        <w:t>根据省厅《福建省建筑工程施工扬尘防治管理导则（试行）》闽建建[2016]17号、《关于进一步加强建筑施工扬尘防治和施工现场污水排放管理工作的意见》闽建建[2016]22号文件的要求，施工总承包单位应负责所承建项目施工现场的扬尘污染防治工作。</w:t>
      </w:r>
    </w:p>
    <w:p>
      <w:pPr>
        <w:keepNext w:val="0"/>
        <w:keepLines w:val="0"/>
        <w:pageBreakBefore w:val="0"/>
        <w:kinsoku/>
        <w:wordWrap/>
        <w:overflowPunct/>
        <w:topLinePunct w:val="0"/>
        <w:autoSpaceDE/>
        <w:autoSpaceDN/>
        <w:bidi w:val="0"/>
        <w:adjustRightInd/>
        <w:spacing w:line="354" w:lineRule="exact"/>
        <w:ind w:firstLine="600" w:firstLineChars="250"/>
        <w:textAlignment w:val="auto"/>
        <w:rPr>
          <w:rFonts w:ascii="宋体" w:hAnsi="宋体" w:cs="宋体"/>
          <w:color w:val="auto"/>
          <w:kern w:val="0"/>
          <w:sz w:val="24"/>
          <w:highlight w:val="none"/>
        </w:rPr>
      </w:pPr>
      <w:r>
        <w:rPr>
          <w:rFonts w:hint="eastAsia" w:ascii="宋体" w:hAnsi="宋体"/>
          <w:color w:val="auto"/>
          <w:sz w:val="24"/>
          <w:highlight w:val="none"/>
        </w:rPr>
        <w:t>21.9 本工程严格执行《关于全面实施房建和市政工程质量安全远程视频大数据管控的通知》（闽建建〔2017〕5 号）文件的要求。</w:t>
      </w:r>
      <w:r>
        <w:rPr>
          <w:rFonts w:hint="eastAsia" w:ascii="宋体" w:hAnsi="宋体" w:cs="宋体"/>
          <w:color w:val="auto"/>
          <w:kern w:val="0"/>
          <w:sz w:val="24"/>
          <w:highlight w:val="none"/>
        </w:rPr>
        <w:t>远程监控租赁使用费（详见招标控制价）列入暂列金额，结算时按实调整。</w:t>
      </w:r>
    </w:p>
    <w:p>
      <w:pPr>
        <w:keepNext w:val="0"/>
        <w:keepLines w:val="0"/>
        <w:pageBreakBefore w:val="0"/>
        <w:kinsoku/>
        <w:wordWrap/>
        <w:overflowPunct/>
        <w:topLinePunct w:val="0"/>
        <w:autoSpaceDE/>
        <w:autoSpaceDN/>
        <w:bidi w:val="0"/>
        <w:adjustRightInd/>
        <w:spacing w:line="354" w:lineRule="exact"/>
        <w:ind w:firstLine="600" w:firstLineChars="250"/>
        <w:textAlignment w:val="auto"/>
        <w:rPr>
          <w:rFonts w:ascii="宋体" w:hAnsi="宋体" w:cs="宋体"/>
          <w:color w:val="auto"/>
          <w:kern w:val="0"/>
          <w:sz w:val="24"/>
          <w:highlight w:val="none"/>
        </w:rPr>
      </w:pPr>
      <w:r>
        <w:rPr>
          <w:rFonts w:hint="eastAsia" w:ascii="宋体" w:hAnsi="宋体"/>
          <w:color w:val="auto"/>
          <w:sz w:val="24"/>
          <w:highlight w:val="none"/>
        </w:rPr>
        <w:t>21.10 本工程严格执行《泉州市建筑废土沙石运输管理办公室关于推广应用运输车辆抓拍识别系统的通知》（泉渣土办〔2017〕17 号）文件的要求。</w:t>
      </w:r>
      <w:r>
        <w:rPr>
          <w:rFonts w:hint="eastAsia" w:ascii="宋体" w:hAnsi="宋体" w:cs="宋体"/>
          <w:color w:val="auto"/>
          <w:kern w:val="0"/>
          <w:sz w:val="24"/>
          <w:highlight w:val="none"/>
        </w:rPr>
        <w:t>车辆抓拍识别系统费用（详见招标控制价）列入暂列金额，结算时按实调整。</w:t>
      </w:r>
    </w:p>
    <w:p>
      <w:pPr>
        <w:keepNext w:val="0"/>
        <w:keepLines w:val="0"/>
        <w:pageBreakBefore w:val="0"/>
        <w:kinsoku/>
        <w:wordWrap/>
        <w:overflowPunct/>
        <w:topLinePunct w:val="0"/>
        <w:autoSpaceDE/>
        <w:autoSpaceDN/>
        <w:bidi w:val="0"/>
        <w:adjustRightInd/>
        <w:spacing w:line="354" w:lineRule="exact"/>
        <w:ind w:firstLine="600" w:firstLineChars="250"/>
        <w:textAlignment w:val="auto"/>
        <w:rPr>
          <w:rFonts w:ascii="宋体" w:hAnsi="宋体"/>
          <w:color w:val="auto"/>
          <w:sz w:val="24"/>
          <w:highlight w:val="none"/>
        </w:rPr>
      </w:pPr>
      <w:r>
        <w:rPr>
          <w:rFonts w:hint="eastAsia" w:ascii="宋体" w:hAnsi="宋体"/>
          <w:color w:val="auto"/>
          <w:sz w:val="24"/>
          <w:highlight w:val="none"/>
        </w:rPr>
        <w:t>21.11本工程严格执行《泉州市住房和城乡建设局关于进一步加强建设工程扬尘防治措施的通知》（泉建建〔2017〕157号）文件的要求。环境侦测联动喷淋系统的措施使用费（详见招标控制价）列入暂列金额，结算时按实调整。</w:t>
      </w:r>
    </w:p>
    <w:p>
      <w:pPr>
        <w:keepNext w:val="0"/>
        <w:keepLines w:val="0"/>
        <w:pageBreakBefore w:val="0"/>
        <w:kinsoku/>
        <w:wordWrap/>
        <w:overflowPunct/>
        <w:topLinePunct w:val="0"/>
        <w:autoSpaceDE/>
        <w:autoSpaceDN/>
        <w:bidi w:val="0"/>
        <w:adjustRightInd/>
        <w:spacing w:line="354" w:lineRule="exact"/>
        <w:ind w:firstLine="600" w:firstLineChars="250"/>
        <w:textAlignment w:val="auto"/>
        <w:rPr>
          <w:rFonts w:ascii="宋体" w:hAnsi="宋体"/>
          <w:color w:val="auto"/>
          <w:sz w:val="24"/>
          <w:highlight w:val="none"/>
        </w:rPr>
      </w:pPr>
      <w:r>
        <w:rPr>
          <w:rFonts w:hint="eastAsia" w:ascii="宋体" w:hAnsi="宋体"/>
          <w:color w:val="auto"/>
          <w:sz w:val="24"/>
          <w:highlight w:val="none"/>
        </w:rPr>
        <w:t>21.12 本工程严格执行《福建省住房和城乡建设厅关于规范钢管脚手架计价强化施工安全的通知》（闽建筑〔2018〕13号）文件要求，外脚手架和模板支撑脚手架中的钢管使用费风险约定方式为：（1）合同履行期间工程造价管理机构发布的信息价超过发包人在招标文件或专用合同条款中明确的基准价±10%的，按施工合同约定的方式进行调整；（2）调整的工程造价，只计取税金，不计取企业管理费、利润和规费。</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21.13 根据《泉州市住房和城乡建设局关于施行市政工程安全文明施工标准图集的通知》（泉建建〔2017〕169 号）文件要求，市政工程的使用《泉州市在建市政工程安全文明施工标准化图集》安全防护和文明施工措施、取费标准、支付办法，该部分费用纳入安全文明施工费，不参与竞争，结算时按实调整。</w:t>
      </w:r>
    </w:p>
    <w:p>
      <w:pPr>
        <w:keepNext w:val="0"/>
        <w:keepLines w:val="0"/>
        <w:pageBreakBefore w:val="0"/>
        <w:kinsoku/>
        <w:wordWrap/>
        <w:overflowPunct/>
        <w:topLinePunct w:val="0"/>
        <w:autoSpaceDE/>
        <w:autoSpaceDN/>
        <w:bidi w:val="0"/>
        <w:adjustRightInd/>
        <w:spacing w:line="354" w:lineRule="exact"/>
        <w:ind w:firstLine="480" w:firstLineChars="200"/>
        <w:textAlignment w:val="auto"/>
        <w:rPr>
          <w:rFonts w:ascii="宋体" w:hAnsi="宋体" w:cs="宋体"/>
          <w:color w:val="auto"/>
          <w:kern w:val="0"/>
          <w:sz w:val="24"/>
          <w:highlight w:val="none"/>
        </w:rPr>
      </w:pPr>
      <w:r>
        <w:rPr>
          <w:rFonts w:hint="eastAsia" w:ascii="宋体" w:hAnsi="宋体"/>
          <w:color w:val="auto"/>
          <w:sz w:val="24"/>
          <w:highlight w:val="none"/>
        </w:rPr>
        <w:t>21.1</w:t>
      </w:r>
      <w:r>
        <w:rPr>
          <w:rFonts w:hint="eastAsia" w:ascii="宋体" w:hAnsi="宋体"/>
          <w:color w:val="auto"/>
          <w:sz w:val="24"/>
          <w:highlight w:val="none"/>
          <w:lang w:val="en-US" w:eastAsia="zh-CN"/>
        </w:rPr>
        <w:t>4</w:t>
      </w:r>
      <w:r>
        <w:rPr>
          <w:rFonts w:hint="eastAsia" w:ascii="宋体" w:hAnsi="宋体"/>
          <w:color w:val="auto"/>
          <w:sz w:val="24"/>
          <w:highlight w:val="none"/>
        </w:rPr>
        <w:t>根据《福建省人力资源和社会保障厅等七部门关于印发福建省工程建设领域农民工工资专用账户管理暂行办法的通知》（闽人社发〔</w:t>
      </w:r>
      <w:r>
        <w:rPr>
          <w:rFonts w:ascii="宋体" w:hAnsi="宋体"/>
          <w:color w:val="auto"/>
          <w:sz w:val="24"/>
          <w:highlight w:val="none"/>
        </w:rPr>
        <w:t>2018</w:t>
      </w:r>
      <w:r>
        <w:rPr>
          <w:rFonts w:hint="eastAsia" w:ascii="宋体" w:hAnsi="宋体"/>
          <w:color w:val="auto"/>
          <w:sz w:val="24"/>
          <w:highlight w:val="none"/>
        </w:rPr>
        <w:t>〕</w:t>
      </w:r>
      <w:r>
        <w:rPr>
          <w:rFonts w:ascii="宋体" w:hAnsi="宋体"/>
          <w:color w:val="auto"/>
          <w:sz w:val="24"/>
          <w:highlight w:val="none"/>
        </w:rPr>
        <w:t xml:space="preserve">8 </w:t>
      </w:r>
      <w:r>
        <w:rPr>
          <w:rFonts w:hint="eastAsia" w:ascii="宋体" w:hAnsi="宋体"/>
          <w:color w:val="auto"/>
          <w:sz w:val="24"/>
          <w:highlight w:val="none"/>
        </w:rPr>
        <w:t>号）文件要求，明确工资专户设立和撤销、人工费（工资款）拨付时间和比例（数额），以及未按期拨付违约责任等事项:</w:t>
      </w:r>
      <w:r>
        <w:rPr>
          <w:rFonts w:hint="eastAsia" w:ascii="宋体" w:hAnsi="宋体" w:cs="宋体"/>
          <w:color w:val="auto"/>
          <w:kern w:val="0"/>
          <w:sz w:val="24"/>
          <w:highlight w:val="none"/>
        </w:rPr>
        <w:t>建立工资专户管理制度，实行人工费（工资款）与其他工程款分账管理。施工总 承包企业应分解工程价款中的人工费（工资款），并在工程项目所在地银行开设工资专户，建设单位将工程款中的人工费（工资款）单独拨付到工资专户。工资专户资金专项用于支付农民工工资。中标人应及时支付施工人员工资，发放情况需在维权告示牌上公示，且每随同进度款申报至招标人，若发现拒付、拖延工资等行为，招标人有权直接从工程款扣除该款项，并处于同等金额处罚。</w:t>
      </w:r>
    </w:p>
    <w:p>
      <w:pPr>
        <w:ind w:firstLine="480" w:firstLineChars="200"/>
        <w:rPr>
          <w:color w:val="auto"/>
        </w:rPr>
      </w:pPr>
      <w:r>
        <w:rPr>
          <w:rFonts w:hint="eastAsia" w:ascii="宋体" w:hAnsi="宋体"/>
          <w:color w:val="auto"/>
          <w:sz w:val="24"/>
          <w:highlight w:val="none"/>
        </w:rPr>
        <w:t>21.1</w:t>
      </w:r>
      <w:r>
        <w:rPr>
          <w:rFonts w:hint="eastAsia" w:ascii="宋体" w:hAnsi="宋体"/>
          <w:color w:val="auto"/>
          <w:sz w:val="24"/>
          <w:highlight w:val="none"/>
          <w:lang w:val="en-US" w:eastAsia="zh-CN"/>
        </w:rPr>
        <w:t>5</w:t>
      </w:r>
      <w:r>
        <w:rPr>
          <w:rFonts w:hint="eastAsia" w:ascii="宋体" w:hAnsi="宋体"/>
          <w:color w:val="auto"/>
          <w:sz w:val="24"/>
          <w:highlight w:val="none"/>
        </w:rPr>
        <w:t xml:space="preserve"> 双方若有未尽事宜，可协商签订补充合同条款。</w:t>
      </w: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p>
    <w:p>
      <w:pPr>
        <w:pStyle w:val="2"/>
        <w:rPr>
          <w:rFonts w:hint="eastAsia" w:ascii="宋体" w:hAnsi="宋体" w:eastAsia="宋体" w:cs="宋体"/>
          <w:b/>
          <w:bCs/>
          <w:color w:val="auto"/>
          <w:sz w:val="32"/>
          <w:szCs w:val="32"/>
          <w:highlight w:val="none"/>
        </w:rPr>
      </w:pPr>
    </w:p>
    <w:p>
      <w:pPr>
        <w:pStyle w:val="2"/>
        <w:rPr>
          <w:rFonts w:hint="eastAsia" w:ascii="宋体" w:hAnsi="宋体" w:eastAsia="宋体" w:cs="宋体"/>
          <w:b/>
          <w:bCs/>
          <w:color w:val="auto"/>
          <w:sz w:val="32"/>
          <w:szCs w:val="32"/>
          <w:highlight w:val="none"/>
        </w:rPr>
      </w:pPr>
    </w:p>
    <w:p>
      <w:pPr>
        <w:pStyle w:val="2"/>
        <w:rPr>
          <w:rFonts w:hint="eastAsia" w:ascii="宋体" w:hAnsi="宋体" w:eastAsia="宋体" w:cs="宋体"/>
          <w:b/>
          <w:bCs/>
          <w:color w:val="auto"/>
          <w:sz w:val="32"/>
          <w:szCs w:val="32"/>
          <w:highlight w:val="none"/>
        </w:rPr>
      </w:pPr>
    </w:p>
    <w:p>
      <w:pPr>
        <w:pStyle w:val="2"/>
        <w:rPr>
          <w:rFonts w:hint="eastAsia" w:ascii="宋体" w:hAnsi="宋体" w:eastAsia="宋体" w:cs="宋体"/>
          <w:b/>
          <w:bCs/>
          <w:color w:val="auto"/>
          <w:sz w:val="32"/>
          <w:szCs w:val="32"/>
          <w:highlight w:val="none"/>
        </w:rPr>
      </w:pPr>
    </w:p>
    <w:p>
      <w:pPr>
        <w:pStyle w:val="2"/>
        <w:rPr>
          <w:rFonts w:hint="eastAsia" w:ascii="宋体" w:hAnsi="宋体" w:eastAsia="宋体" w:cs="宋体"/>
          <w:b/>
          <w:bCs/>
          <w:color w:val="auto"/>
          <w:sz w:val="32"/>
          <w:szCs w:val="32"/>
          <w:highlight w:val="none"/>
        </w:rPr>
      </w:pPr>
    </w:p>
    <w:p>
      <w:pPr>
        <w:pStyle w:val="2"/>
        <w:rPr>
          <w:rFonts w:hint="eastAsia" w:ascii="宋体" w:hAnsi="宋体" w:eastAsia="宋体" w:cs="宋体"/>
          <w:b/>
          <w:bCs/>
          <w:color w:val="auto"/>
          <w:sz w:val="32"/>
          <w:szCs w:val="32"/>
          <w:highlight w:val="none"/>
        </w:rPr>
      </w:pPr>
    </w:p>
    <w:p>
      <w:pPr>
        <w:pStyle w:val="2"/>
        <w:rPr>
          <w:rFonts w:hint="eastAsia" w:ascii="宋体" w:hAnsi="宋体" w:eastAsia="宋体" w:cs="宋体"/>
          <w:b/>
          <w:bCs/>
          <w:color w:val="auto"/>
          <w:sz w:val="32"/>
          <w:szCs w:val="32"/>
          <w:highlight w:val="none"/>
        </w:rPr>
      </w:pPr>
    </w:p>
    <w:p>
      <w:pPr>
        <w:pStyle w:val="2"/>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p>
    <w:p>
      <w:pPr>
        <w:pStyle w:val="30"/>
        <w:rPr>
          <w:rFonts w:hint="eastAsia" w:ascii="宋体" w:hAnsi="宋体" w:eastAsia="宋体" w:cs="宋体"/>
          <w:b/>
          <w:bCs/>
          <w:color w:val="auto"/>
          <w:sz w:val="32"/>
          <w:szCs w:val="32"/>
          <w:highlight w:val="none"/>
        </w:rPr>
      </w:pPr>
    </w:p>
    <w:p>
      <w:pPr>
        <w:pStyle w:val="30"/>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rPr>
        <w:t>节  合</w:t>
      </w:r>
      <w:bookmarkStart w:id="314" w:name="_Toc351203652"/>
      <w:bookmarkStart w:id="315" w:name="_Toc13309404"/>
      <w:r>
        <w:rPr>
          <w:rFonts w:hint="eastAsia" w:ascii="宋体" w:hAnsi="宋体" w:eastAsia="宋体" w:cs="宋体"/>
          <w:b/>
          <w:bCs/>
          <w:color w:val="auto"/>
          <w:sz w:val="32"/>
          <w:szCs w:val="32"/>
          <w:highlight w:val="none"/>
        </w:rPr>
        <w:t>同附件</w:t>
      </w:r>
      <w:bookmarkEnd w:id="310"/>
      <w:bookmarkEnd w:id="311"/>
    </w:p>
    <w:bookmarkEnd w:id="314"/>
    <w:bookmarkEnd w:id="315"/>
    <w:p>
      <w:pPr>
        <w:spacing w:line="360" w:lineRule="auto"/>
        <w:jc w:val="center"/>
        <w:rPr>
          <w:rFonts w:hint="eastAsia" w:ascii="宋体" w:hAnsi="宋体" w:eastAsia="宋体" w:cs="宋体"/>
          <w:b/>
          <w:bCs/>
          <w:color w:val="auto"/>
          <w:szCs w:val="21"/>
          <w:highlight w:val="none"/>
        </w:rPr>
      </w:pPr>
      <w:bookmarkStart w:id="316" w:name="_Toc444676674"/>
      <w:bookmarkStart w:id="317" w:name="_Toc13309405"/>
      <w:bookmarkStart w:id="318" w:name="_Toc485312186"/>
    </w:p>
    <w:bookmarkEnd w:id="316"/>
    <w:bookmarkEnd w:id="317"/>
    <w:bookmarkEnd w:id="318"/>
    <w:p>
      <w:pPr>
        <w:spacing w:line="360" w:lineRule="auto"/>
        <w:jc w:val="center"/>
        <w:rPr>
          <w:rFonts w:hint="eastAsia" w:ascii="宋体" w:hAnsi="宋体" w:eastAsia="宋体" w:cs="宋体"/>
          <w:b/>
          <w:bCs/>
          <w:color w:val="auto"/>
          <w:sz w:val="28"/>
          <w:szCs w:val="28"/>
          <w:highlight w:val="none"/>
        </w:rPr>
      </w:pPr>
      <w:bookmarkStart w:id="319" w:name="_Toc502916341"/>
      <w:r>
        <w:rPr>
          <w:rFonts w:hint="eastAsia" w:ascii="宋体" w:hAnsi="宋体" w:eastAsia="宋体" w:cs="宋体"/>
          <w:b/>
          <w:bCs/>
          <w:color w:val="auto"/>
          <w:sz w:val="28"/>
          <w:szCs w:val="28"/>
          <w:highlight w:val="none"/>
        </w:rPr>
        <w:t>“合同附件”内容见《通用本》</w:t>
      </w:r>
      <w:bookmarkEnd w:id="319"/>
    </w:p>
    <w:p>
      <w:pPr>
        <w:pStyle w:val="2"/>
        <w:ind w:left="0" w:leftChars="0" w:firstLine="0" w:firstLineChars="0"/>
        <w:rPr>
          <w:rFonts w:hint="eastAsia" w:ascii="宋体" w:hAnsi="宋体" w:eastAsia="宋体" w:cs="宋体"/>
          <w:b/>
          <w:bCs/>
          <w:color w:val="auto"/>
          <w:sz w:val="28"/>
          <w:szCs w:val="28"/>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16"/>
        <w:spacing w:line="400" w:lineRule="exact"/>
        <w:ind w:firstLine="480" w:firstLineChars="200"/>
        <w:rPr>
          <w:rFonts w:hint="eastAsia" w:ascii="宋体" w:hAnsi="宋体" w:eastAsia="宋体" w:cs="宋体"/>
          <w:b/>
          <w:bCs/>
          <w:color w:val="auto"/>
          <w:sz w:val="24"/>
          <w:szCs w:val="24"/>
          <w:highlight w:val="none"/>
        </w:rPr>
      </w:pPr>
    </w:p>
    <w:p>
      <w:pPr>
        <w:pStyle w:val="2"/>
        <w:ind w:firstLine="48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highlight w:val="none"/>
        </w:rPr>
        <w:br w:type="page"/>
      </w:r>
    </w:p>
    <w:p>
      <w:pPr>
        <w:pStyle w:val="2"/>
        <w:spacing w:line="240" w:lineRule="auto"/>
        <w:ind w:left="0" w:leftChars="0" w:firstLine="0" w:firstLineChars="0"/>
        <w:rPr>
          <w:rFonts w:hint="eastAsia" w:ascii="宋体" w:hAnsi="宋体" w:eastAsia="宋体" w:cs="宋体"/>
          <w:color w:val="auto"/>
          <w:sz w:val="24"/>
          <w:szCs w:val="24"/>
          <w:highlight w:val="none"/>
          <w:u w:val="single"/>
        </w:rPr>
      </w:pPr>
    </w:p>
    <w:p>
      <w:pPr>
        <w:pStyle w:val="4"/>
        <w:spacing w:before="1440" w:after="120" w:line="360" w:lineRule="auto"/>
        <w:jc w:val="center"/>
        <w:rPr>
          <w:rFonts w:hint="eastAsia" w:ascii="宋体" w:hAnsi="宋体" w:eastAsia="宋体" w:cs="宋体"/>
          <w:color w:val="auto"/>
          <w:highlight w:val="none"/>
        </w:rPr>
      </w:pPr>
      <w:bookmarkStart w:id="320" w:name="_Toc27390"/>
      <w:r>
        <w:rPr>
          <w:rFonts w:hint="eastAsia" w:ascii="宋体" w:hAnsi="宋体" w:eastAsia="宋体" w:cs="宋体"/>
          <w:color w:val="auto"/>
          <w:highlight w:val="none"/>
        </w:rPr>
        <w:t>工</w:t>
      </w:r>
      <w:bookmarkStart w:id="321" w:name="_Toc13309406"/>
      <w:r>
        <w:rPr>
          <w:rFonts w:hint="eastAsia" w:ascii="宋体" w:hAnsi="宋体" w:eastAsia="宋体" w:cs="宋体"/>
          <w:color w:val="auto"/>
          <w:highlight w:val="none"/>
        </w:rPr>
        <w:t>程量清单及计价</w:t>
      </w:r>
      <w:bookmarkEnd w:id="312"/>
      <w:bookmarkEnd w:id="320"/>
    </w:p>
    <w:p>
      <w:pPr>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ind w:left="0" w:leftChars="0" w:firstLine="0" w:firstLineChars="0"/>
        <w:rPr>
          <w:rFonts w:hint="eastAsia" w:ascii="宋体" w:hAnsi="宋体" w:eastAsia="宋体" w:cs="宋体"/>
          <w:color w:val="auto"/>
          <w:sz w:val="6"/>
          <w:szCs w:val="10"/>
          <w:highlight w:val="none"/>
        </w:rPr>
      </w:pPr>
    </w:p>
    <w:bookmarkEnd w:id="321"/>
    <w:p>
      <w:pPr>
        <w:pStyle w:val="5"/>
        <w:keepNext/>
        <w:keepLines/>
        <w:pageBreakBefore w:val="0"/>
        <w:widowControl w:val="0"/>
        <w:numPr>
          <w:ilvl w:val="1"/>
          <w:numId w:val="19"/>
        </w:numPr>
        <w:kinsoku/>
        <w:wordWrap/>
        <w:overflowPunct/>
        <w:topLinePunct w:val="0"/>
        <w:autoSpaceDE/>
        <w:autoSpaceDN/>
        <w:bidi w:val="0"/>
        <w:adjustRightInd w:val="0"/>
        <w:snapToGrid/>
        <w:spacing w:before="720" w:after="120" w:line="700" w:lineRule="exact"/>
        <w:jc w:val="center"/>
        <w:textAlignment w:val="baseline"/>
        <w:rPr>
          <w:rFonts w:hint="eastAsia" w:ascii="宋体" w:hAnsi="宋体" w:eastAsia="宋体" w:cs="宋体"/>
          <w:b w:val="0"/>
          <w:bCs w:val="0"/>
          <w:color w:val="auto"/>
          <w:highlight w:val="none"/>
        </w:rPr>
      </w:pPr>
      <w:bookmarkStart w:id="322" w:name="_Toc17258"/>
      <w:bookmarkStart w:id="323" w:name="_Toc66836714"/>
      <w:bookmarkStart w:id="324" w:name="_Toc31250"/>
      <w:bookmarkStart w:id="325" w:name="_Toc24832"/>
      <w:r>
        <w:rPr>
          <w:rFonts w:hint="eastAsia" w:ascii="宋体" w:hAnsi="宋体" w:eastAsia="宋体" w:cs="宋体"/>
          <w:b w:val="0"/>
          <w:bCs w:val="0"/>
          <w:color w:val="auto"/>
          <w:highlight w:val="none"/>
        </w:rPr>
        <w:t>工</w:t>
      </w:r>
      <w:bookmarkStart w:id="326" w:name="_Toc63471506"/>
      <w:bookmarkStart w:id="327" w:name="_Toc13309407"/>
      <w:bookmarkStart w:id="328" w:name="_Toc49663137"/>
      <w:r>
        <w:rPr>
          <w:rFonts w:hint="eastAsia" w:ascii="宋体" w:hAnsi="宋体" w:eastAsia="宋体" w:cs="宋体"/>
          <w:b w:val="0"/>
          <w:bCs w:val="0"/>
          <w:color w:val="auto"/>
          <w:highlight w:val="none"/>
        </w:rPr>
        <w:t>程量清单</w:t>
      </w:r>
      <w:bookmarkEnd w:id="322"/>
      <w:bookmarkEnd w:id="323"/>
      <w:bookmarkEnd w:id="324"/>
      <w:bookmarkEnd w:id="325"/>
    </w:p>
    <w:bookmarkEnd w:id="326"/>
    <w:bookmarkEnd w:id="327"/>
    <w:bookmarkEnd w:id="328"/>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一、说明</w:t>
      </w:r>
    </w:p>
    <w:p>
      <w:pPr>
        <w:pStyle w:val="9"/>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1、工程量清单是依据现行工程量清单计价计量规范、招标文件中包括的图纸以及我省现行有关计价规定等编制。计量采用中华人民共和国法定计量单位。</w:t>
      </w:r>
    </w:p>
    <w:p>
      <w:pPr>
        <w:pStyle w:val="9"/>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2、工程量清单作为招标文件的组成部分，应与招标文件中的投标人须知、通用合同条款、专用合同条款、技术标准和要求以及图纸等章节内容一起阅读和理解。</w:t>
      </w:r>
    </w:p>
    <w:p>
      <w:pPr>
        <w:pStyle w:val="9"/>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量清单仅是投标报价的共同基础，其准确性和完整性由招标人负责。合同价款的确定、工程计量和价款支付应遵循合同条款（包括通用合同条款和专用合同条款）、技术标准和要求以及本章的有关约定。竣工结算的工程量按发、承包双方在合同中约定应予计量且实际完成的工程量确定。</w:t>
      </w:r>
    </w:p>
    <w:p>
      <w:pPr>
        <w:pStyle w:val="9"/>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4、补充子目工程量计算规则及子目工作内容说明详见工程量清单中的“总说明”。</w:t>
      </w:r>
    </w:p>
    <w:p>
      <w:pPr>
        <w:pStyle w:val="9"/>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highlight w:val="none"/>
        </w:rPr>
        <w:t>工程量清单</w:t>
      </w:r>
      <w:r>
        <w:rPr>
          <w:rFonts w:hint="eastAsia" w:ascii="宋体" w:hAnsi="宋体" w:eastAsia="宋体" w:cs="宋体"/>
          <w:color w:val="auto"/>
          <w:sz w:val="24"/>
          <w:szCs w:val="24"/>
          <w:highlight w:val="none"/>
        </w:rPr>
        <w:t>的格式符合</w:t>
      </w:r>
      <w:r>
        <w:rPr>
          <w:rFonts w:hint="eastAsia" w:ascii="宋体" w:hAnsi="宋体" w:eastAsia="宋体" w:cs="宋体"/>
          <w:color w:val="auto"/>
          <w:sz w:val="24"/>
          <w:highlight w:val="none"/>
        </w:rPr>
        <w:t>现行工程量清单计价规范及及我省现行有关规定，其</w:t>
      </w:r>
      <w:r>
        <w:rPr>
          <w:rFonts w:hint="eastAsia" w:ascii="宋体" w:hAnsi="宋体" w:eastAsia="宋体" w:cs="宋体"/>
          <w:color w:val="auto"/>
          <w:sz w:val="24"/>
          <w:szCs w:val="24"/>
          <w:highlight w:val="none"/>
        </w:rPr>
        <w:t>电子文件格式同时符合《福建省建设工程造价电子数据交换导则》的规定。</w:t>
      </w:r>
    </w:p>
    <w:p>
      <w:pPr>
        <w:pStyle w:val="9"/>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二、本项目招标工程量清单</w:t>
      </w:r>
    </w:p>
    <w:p>
      <w:pPr>
        <w:keepNext w:val="0"/>
        <w:keepLines w:val="0"/>
        <w:pageBreakBefore w:val="0"/>
        <w:widowControl w:val="0"/>
        <w:kinsoku/>
        <w:wordWrap/>
        <w:overflowPunct/>
        <w:topLinePunct w:val="0"/>
        <w:autoSpaceDE/>
        <w:autoSpaceDN/>
        <w:bidi w:val="0"/>
        <w:adjustRightInd w:val="0"/>
        <w:snapToGrid/>
        <w:spacing w:line="500" w:lineRule="exact"/>
        <w:ind w:firstLine="48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本项目招标工程量清单由招标人另册提供。</w:t>
      </w:r>
    </w:p>
    <w:p>
      <w:pPr>
        <w:spacing w:line="480" w:lineRule="auto"/>
        <w:ind w:firstLine="480"/>
        <w:rPr>
          <w:rFonts w:hint="eastAsia" w:ascii="宋体" w:hAnsi="宋体" w:eastAsia="宋体" w:cs="宋体"/>
          <w:color w:val="auto"/>
          <w:sz w:val="24"/>
          <w:highlight w:val="none"/>
          <w:u w:val="single"/>
        </w:rPr>
      </w:pPr>
    </w:p>
    <w:p>
      <w:pPr>
        <w:ind w:firstLine="480" w:firstLineChars="200"/>
        <w:rPr>
          <w:rFonts w:hint="eastAsia" w:ascii="宋体" w:hAnsi="宋体" w:eastAsia="宋体" w:cs="宋体"/>
          <w:color w:val="auto"/>
          <w:sz w:val="24"/>
          <w:szCs w:val="24"/>
          <w:highlight w:val="none"/>
        </w:rPr>
        <w:sectPr>
          <w:headerReference r:id="rId9" w:type="default"/>
          <w:footerReference r:id="rId10" w:type="default"/>
          <w:pgSz w:w="11905" w:h="16838"/>
          <w:pgMar w:top="1134" w:right="1219" w:bottom="1134" w:left="1332" w:header="652" w:footer="652" w:gutter="0"/>
          <w:pgBorders>
            <w:top w:val="none" w:sz="0" w:space="0"/>
            <w:left w:val="none" w:sz="0" w:space="0"/>
            <w:bottom w:val="none" w:sz="0" w:space="0"/>
            <w:right w:val="none" w:sz="0" w:space="0"/>
          </w:pgBorders>
          <w:pgNumType w:fmt="decimal"/>
          <w:cols w:space="720" w:num="1"/>
          <w:rtlGutter w:val="0"/>
          <w:docGrid w:type="linesAndChars" w:linePitch="312" w:charSpace="0"/>
        </w:sectPr>
      </w:pPr>
    </w:p>
    <w:p>
      <w:pPr>
        <w:pStyle w:val="5"/>
        <w:numPr>
          <w:ilvl w:val="1"/>
          <w:numId w:val="19"/>
        </w:numPr>
        <w:spacing w:before="720" w:after="120" w:line="360" w:lineRule="auto"/>
        <w:jc w:val="center"/>
        <w:rPr>
          <w:rFonts w:hint="eastAsia" w:ascii="宋体" w:hAnsi="宋体" w:eastAsia="宋体" w:cs="宋体"/>
          <w:b w:val="0"/>
          <w:bCs w:val="0"/>
          <w:color w:val="auto"/>
          <w:highlight w:val="none"/>
        </w:rPr>
      </w:pPr>
      <w:bookmarkStart w:id="329" w:name="_Toc66836715"/>
      <w:bookmarkStart w:id="330" w:name="_Toc18466"/>
      <w:bookmarkStart w:id="331" w:name="_Toc30843"/>
      <w:bookmarkStart w:id="332" w:name="_Toc17151"/>
      <w:r>
        <w:rPr>
          <w:rFonts w:hint="eastAsia" w:ascii="宋体" w:hAnsi="宋体" w:eastAsia="宋体" w:cs="宋体"/>
          <w:b w:val="0"/>
          <w:bCs w:val="0"/>
          <w:color w:val="auto"/>
          <w:highlight w:val="none"/>
        </w:rPr>
        <w:t>招</w:t>
      </w:r>
      <w:bookmarkStart w:id="333" w:name="_Toc49663138"/>
      <w:bookmarkStart w:id="334" w:name="_Toc63471507"/>
      <w:bookmarkStart w:id="335" w:name="_Toc13309408"/>
      <w:r>
        <w:rPr>
          <w:rFonts w:hint="eastAsia" w:ascii="宋体" w:hAnsi="宋体" w:eastAsia="宋体" w:cs="宋体"/>
          <w:b w:val="0"/>
          <w:bCs w:val="0"/>
          <w:color w:val="auto"/>
          <w:highlight w:val="none"/>
        </w:rPr>
        <w:t>标控制价</w:t>
      </w:r>
      <w:bookmarkEnd w:id="329"/>
      <w:bookmarkEnd w:id="330"/>
      <w:bookmarkEnd w:id="331"/>
      <w:bookmarkEnd w:id="332"/>
    </w:p>
    <w:bookmarkEnd w:id="333"/>
    <w:bookmarkEnd w:id="334"/>
    <w:bookmarkEnd w:id="335"/>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一、说明</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1、招标控制价作为投标报价的参考，不作为本招标文件的组成部分。</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2、招标控制价的格式符合现行工程量清单计价规范及及我省现行有关规定，其电子文件格式同时符合《福建省建设工程造价电子数据交换导则》的规定。</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二、本项目的招标控制价</w:t>
      </w:r>
    </w:p>
    <w:p>
      <w:pPr>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1、本项目招标控制价由招标人另册提供。</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2、本招标项目招标控制价为</w:t>
      </w:r>
      <w:r>
        <w:rPr>
          <w:rFonts w:hint="eastAsia" w:ascii="宋体" w:hAnsi="宋体" w:eastAsia="宋体" w:cs="宋体"/>
          <w:color w:val="auto"/>
          <w:sz w:val="24"/>
          <w:highlight w:val="none"/>
          <w:u w:val="single"/>
          <w:lang w:val="en-US" w:eastAsia="zh-CN"/>
        </w:rPr>
        <w:t>3264784元</w:t>
      </w:r>
      <w:r>
        <w:rPr>
          <w:rFonts w:hint="eastAsia" w:ascii="宋体" w:hAnsi="宋体" w:eastAsia="宋体" w:cs="宋体"/>
          <w:color w:val="auto"/>
          <w:sz w:val="24"/>
          <w:highlight w:val="none"/>
        </w:rPr>
        <w:t>（大写金额：</w:t>
      </w:r>
      <w:r>
        <w:rPr>
          <w:rFonts w:hint="eastAsia" w:ascii="宋体" w:hAnsi="宋体" w:eastAsia="宋体" w:cs="宋体"/>
          <w:color w:val="auto"/>
          <w:sz w:val="24"/>
          <w:szCs w:val="22"/>
          <w:highlight w:val="none"/>
          <w:u w:val="single"/>
          <w:lang w:val="en-US" w:eastAsia="zh-CN"/>
        </w:rPr>
        <w:t>叁佰贰拾陆万肆仟柒佰捌拾肆元整</w:t>
      </w:r>
      <w:r>
        <w:rPr>
          <w:rFonts w:hint="eastAsia" w:ascii="宋体" w:hAnsi="宋体" w:eastAsia="宋体" w:cs="宋体"/>
          <w:color w:val="auto"/>
          <w:sz w:val="24"/>
          <w:highlight w:val="none"/>
        </w:rPr>
        <w:t>）。</w:t>
      </w: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pStyle w:val="5"/>
        <w:numPr>
          <w:ilvl w:val="0"/>
          <w:numId w:val="0"/>
        </w:numPr>
        <w:ind w:left="624"/>
        <w:jc w:val="center"/>
        <w:rPr>
          <w:rFonts w:hint="eastAsia" w:ascii="宋体" w:hAnsi="宋体" w:eastAsia="宋体" w:cs="宋体"/>
          <w:color w:val="auto"/>
          <w:spacing w:val="0"/>
          <w:position w:val="0"/>
          <w:highlight w:val="none"/>
          <w:lang w:val="en-US"/>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pStyle w:val="5"/>
        <w:keepNext w:val="0"/>
        <w:keepLines w:val="0"/>
        <w:pageBreakBefore/>
        <w:numPr>
          <w:ilvl w:val="1"/>
          <w:numId w:val="19"/>
        </w:numPr>
        <w:spacing w:before="720" w:after="480" w:line="360" w:lineRule="auto"/>
        <w:jc w:val="center"/>
        <w:rPr>
          <w:color w:val="auto"/>
          <w:highlight w:val="none"/>
        </w:rPr>
      </w:pPr>
      <w:bookmarkStart w:id="336" w:name="_Toc18134"/>
      <w:bookmarkStart w:id="337" w:name="_Toc9784"/>
      <w:r>
        <w:rPr>
          <w:rFonts w:hint="eastAsia"/>
          <w:color w:val="auto"/>
          <w:highlight w:val="none"/>
        </w:rPr>
        <w:t>投</w:t>
      </w:r>
      <w:bookmarkStart w:id="338" w:name="_Toc13309409"/>
      <w:bookmarkStart w:id="339" w:name="_Toc49663139"/>
      <w:bookmarkStart w:id="340" w:name="_Toc63471508"/>
      <w:r>
        <w:rPr>
          <w:rFonts w:hint="eastAsia"/>
          <w:color w:val="auto"/>
          <w:highlight w:val="none"/>
        </w:rPr>
        <w:t>标报价</w:t>
      </w:r>
      <w:bookmarkEnd w:id="336"/>
      <w:bookmarkEnd w:id="337"/>
    </w:p>
    <w:bookmarkEnd w:id="338"/>
    <w:bookmarkEnd w:id="339"/>
    <w:bookmarkEnd w:id="340"/>
    <w:p>
      <w:pPr>
        <w:spacing w:line="480" w:lineRule="auto"/>
        <w:ind w:firstLine="537" w:firstLineChars="224"/>
        <w:jc w:val="center"/>
        <w:rPr>
          <w:rFonts w:hint="eastAsia" w:ascii="宋体"/>
          <w:b/>
          <w:bCs/>
          <w:color w:val="auto"/>
          <w:sz w:val="24"/>
          <w:highlight w:val="none"/>
          <w:u w:val="double"/>
        </w:rPr>
      </w:pPr>
      <w:r>
        <w:rPr>
          <w:rFonts w:hint="eastAsia" w:ascii="宋体" w:hAnsi="宋体" w:cs="宋体"/>
          <w:b/>
          <w:bCs/>
          <w:color w:val="auto"/>
          <w:spacing w:val="0"/>
          <w:position w:val="0"/>
          <w:sz w:val="24"/>
          <w:highlight w:val="none"/>
          <w:u w:val="double"/>
        </w:rPr>
        <w:t>根据招标文件要求确定的发包价为投标总报价</w:t>
      </w:r>
    </w:p>
    <w:p>
      <w:pPr>
        <w:spacing w:line="480" w:lineRule="auto"/>
        <w:ind w:firstLine="537" w:firstLineChars="224"/>
        <w:rPr>
          <w:rFonts w:hint="eastAsia" w:ascii="宋体"/>
          <w:b/>
          <w:bCs/>
          <w:color w:val="auto"/>
          <w:sz w:val="24"/>
          <w:highlight w:val="none"/>
          <w:u w:val="double"/>
        </w:rPr>
      </w:pPr>
    </w:p>
    <w:p>
      <w:pPr>
        <w:pStyle w:val="2"/>
        <w:ind w:left="0" w:leftChars="0" w:firstLine="0" w:firstLineChars="0"/>
        <w:rPr>
          <w:rFonts w:hint="eastAsia" w:ascii="宋体" w:hAnsi="宋体" w:eastAsia="宋体" w:cs="宋体"/>
          <w:b/>
          <w:color w:val="auto"/>
          <w:sz w:val="24"/>
          <w:szCs w:val="24"/>
          <w:highlight w:val="none"/>
        </w:rPr>
      </w:pPr>
    </w:p>
    <w:p>
      <w:pPr>
        <w:pStyle w:val="5"/>
        <w:keepNext w:val="0"/>
        <w:keepLines w:val="0"/>
        <w:pageBreakBefore/>
        <w:numPr>
          <w:ilvl w:val="1"/>
          <w:numId w:val="19"/>
        </w:numPr>
        <w:spacing w:before="720" w:after="120" w:line="360" w:lineRule="auto"/>
        <w:jc w:val="center"/>
        <w:rPr>
          <w:b w:val="0"/>
          <w:bCs w:val="0"/>
          <w:color w:val="auto"/>
          <w:highlight w:val="none"/>
        </w:rPr>
      </w:pPr>
      <w:bookmarkStart w:id="341" w:name="_Toc24166"/>
      <w:bookmarkStart w:id="342" w:name="_Toc19293"/>
      <w:r>
        <w:rPr>
          <w:rFonts w:hint="eastAsia"/>
          <w:b w:val="0"/>
          <w:bCs w:val="0"/>
          <w:color w:val="auto"/>
          <w:highlight w:val="none"/>
        </w:rPr>
        <w:t>工</w:t>
      </w:r>
      <w:bookmarkStart w:id="343" w:name="_Toc49663140"/>
      <w:bookmarkStart w:id="344" w:name="_Toc13309410"/>
      <w:bookmarkStart w:id="345" w:name="_Toc63471509"/>
      <w:r>
        <w:rPr>
          <w:rFonts w:hint="eastAsia"/>
          <w:b w:val="0"/>
          <w:bCs w:val="0"/>
          <w:color w:val="auto"/>
          <w:highlight w:val="none"/>
        </w:rPr>
        <w:t>程量清单与计价表格式</w:t>
      </w:r>
      <w:bookmarkEnd w:id="341"/>
      <w:bookmarkEnd w:id="342"/>
    </w:p>
    <w:bookmarkEnd w:id="343"/>
    <w:bookmarkEnd w:id="344"/>
    <w:bookmarkEnd w:id="345"/>
    <w:p>
      <w:pPr>
        <w:rPr>
          <w:color w:val="auto"/>
          <w:highlight w:val="none"/>
        </w:rPr>
      </w:pPr>
    </w:p>
    <w:p>
      <w:pPr>
        <w:pStyle w:val="2"/>
        <w:ind w:firstLine="2640" w:firstLineChars="1100"/>
        <w:rPr>
          <w:rFonts w:hint="default" w:ascii="宋体" w:hAnsi="宋体" w:eastAsia="宋体" w:cs="宋体"/>
          <w:b/>
          <w:color w:val="auto"/>
          <w:sz w:val="24"/>
          <w:szCs w:val="24"/>
          <w:highlight w:val="none"/>
          <w:lang w:val="en-US" w:eastAsia="zh-CN"/>
        </w:rPr>
      </w:pPr>
      <w:r>
        <w:rPr>
          <w:rFonts w:hint="eastAsia" w:ascii="宋体" w:hAnsi="宋体" w:eastAsia="宋体" w:cs="宋体"/>
          <w:b/>
          <w:bCs/>
          <w:color w:val="auto"/>
          <w:spacing w:val="0"/>
          <w:position w:val="0"/>
          <w:sz w:val="24"/>
          <w:highlight w:val="none"/>
          <w:u w:val="double"/>
          <w:lang w:val="en-US" w:eastAsia="zh-CN"/>
        </w:rPr>
        <w:t xml:space="preserve">  无  </w:t>
      </w: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4"/>
        <w:spacing w:before="1440" w:after="120" w:line="360" w:lineRule="auto"/>
        <w:jc w:val="center"/>
        <w:rPr>
          <w:rFonts w:hint="eastAsia" w:ascii="宋体" w:hAnsi="宋体" w:eastAsia="宋体" w:cs="宋体"/>
          <w:color w:val="auto"/>
          <w:highlight w:val="none"/>
        </w:rPr>
      </w:pPr>
      <w:bookmarkStart w:id="346" w:name="_Toc22496"/>
      <w:bookmarkStart w:id="347" w:name="_Toc503786573"/>
      <w:r>
        <w:rPr>
          <w:rFonts w:hint="eastAsia" w:ascii="宋体" w:hAnsi="宋体" w:eastAsia="宋体" w:cs="宋体"/>
          <w:color w:val="auto"/>
          <w:highlight w:val="none"/>
        </w:rPr>
        <w:t>招</w:t>
      </w:r>
      <w:bookmarkStart w:id="348" w:name="_Toc13309411"/>
      <w:r>
        <w:rPr>
          <w:rFonts w:hint="eastAsia" w:ascii="宋体" w:hAnsi="宋体" w:eastAsia="宋体" w:cs="宋体"/>
          <w:color w:val="auto"/>
          <w:highlight w:val="none"/>
        </w:rPr>
        <w:t>标图纸</w:t>
      </w:r>
      <w:bookmarkEnd w:id="346"/>
      <w:bookmarkEnd w:id="347"/>
    </w:p>
    <w:bookmarkEnd w:id="348"/>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48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招标人另册提供</w:t>
      </w:r>
    </w:p>
    <w:p>
      <w:pPr>
        <w:rPr>
          <w:rFonts w:hint="eastAsia" w:ascii="宋体" w:hAnsi="宋体" w:eastAsia="宋体" w:cs="宋体"/>
          <w:color w:val="auto"/>
          <w:highlight w:val="none"/>
        </w:rPr>
        <w:sectPr>
          <w:headerReference r:id="rId11" w:type="default"/>
          <w:footerReference r:id="rId12" w:type="default"/>
          <w:pgSz w:w="11905" w:h="16838"/>
          <w:pgMar w:top="1134" w:right="1219" w:bottom="1134" w:left="1332" w:header="652" w:footer="652" w:gutter="0"/>
          <w:cols w:space="720" w:num="1"/>
          <w:rtlGutter w:val="0"/>
          <w:docGrid w:type="linesAndChars" w:linePitch="312" w:charSpace="0"/>
        </w:sectPr>
      </w:pPr>
      <w:r>
        <w:rPr>
          <w:rFonts w:hint="eastAsia" w:ascii="宋体" w:hAnsi="宋体" w:eastAsia="宋体" w:cs="宋体"/>
          <w:color w:val="auto"/>
          <w:kern w:val="2"/>
          <w:sz w:val="24"/>
          <w:szCs w:val="24"/>
          <w:highlight w:val="none"/>
        </w:rPr>
        <w:t xml:space="preserve">   </w:t>
      </w:r>
    </w:p>
    <w:p>
      <w:pPr>
        <w:pStyle w:val="4"/>
        <w:spacing w:before="0" w:after="0" w:line="360" w:lineRule="auto"/>
        <w:jc w:val="center"/>
        <w:rPr>
          <w:rFonts w:hint="eastAsia" w:ascii="宋体" w:hAnsi="宋体" w:eastAsia="宋体" w:cs="宋体"/>
          <w:color w:val="auto"/>
          <w:highlight w:val="none"/>
        </w:rPr>
      </w:pPr>
      <w:bookmarkStart w:id="349" w:name="_Toc4819"/>
      <w:r>
        <w:rPr>
          <w:rFonts w:hint="eastAsia" w:ascii="宋体" w:hAnsi="宋体" w:eastAsia="宋体" w:cs="宋体"/>
          <w:color w:val="auto"/>
          <w:highlight w:val="none"/>
        </w:rPr>
        <w:t>技</w:t>
      </w:r>
      <w:bookmarkStart w:id="350" w:name="_Toc13309414"/>
      <w:bookmarkStart w:id="351" w:name="_Toc300038997"/>
      <w:r>
        <w:rPr>
          <w:rFonts w:hint="eastAsia" w:ascii="宋体" w:hAnsi="宋体" w:eastAsia="宋体" w:cs="宋体"/>
          <w:color w:val="auto"/>
          <w:highlight w:val="none"/>
        </w:rPr>
        <w:t>术标准和要求</w:t>
      </w:r>
      <w:bookmarkEnd w:id="313"/>
      <w:bookmarkEnd w:id="349"/>
    </w:p>
    <w:bookmarkEnd w:id="350"/>
    <w:p>
      <w:pPr>
        <w:pStyle w:val="5"/>
        <w:numPr>
          <w:ilvl w:val="1"/>
          <w:numId w:val="20"/>
        </w:numPr>
        <w:spacing w:before="480" w:after="120" w:line="360" w:lineRule="auto"/>
        <w:jc w:val="center"/>
        <w:rPr>
          <w:rFonts w:hint="eastAsia" w:ascii="宋体" w:hAnsi="宋体" w:eastAsia="宋体" w:cs="宋体"/>
          <w:b w:val="0"/>
          <w:bCs w:val="0"/>
          <w:color w:val="auto"/>
          <w:highlight w:val="none"/>
        </w:rPr>
      </w:pPr>
      <w:bookmarkStart w:id="352" w:name="_Toc525120852"/>
      <w:bookmarkStart w:id="353" w:name="_Toc899"/>
      <w:bookmarkStart w:id="354" w:name="_Toc215480862"/>
      <w:r>
        <w:rPr>
          <w:rFonts w:hint="eastAsia" w:ascii="宋体" w:hAnsi="宋体" w:eastAsia="宋体" w:cs="宋体"/>
          <w:b w:val="0"/>
          <w:bCs w:val="0"/>
          <w:color w:val="auto"/>
          <w:highlight w:val="none"/>
        </w:rPr>
        <w:t>招</w:t>
      </w:r>
      <w:bookmarkStart w:id="355" w:name="_Toc63471514"/>
      <w:bookmarkStart w:id="356" w:name="_Toc200772269"/>
      <w:bookmarkStart w:id="357" w:name="_Toc13309415"/>
      <w:bookmarkStart w:id="358" w:name="_Toc49663145"/>
      <w:bookmarkStart w:id="359" w:name="_Toc215480827"/>
      <w:r>
        <w:rPr>
          <w:rFonts w:hint="eastAsia" w:ascii="宋体" w:hAnsi="宋体" w:eastAsia="宋体" w:cs="宋体"/>
          <w:b w:val="0"/>
          <w:bCs w:val="0"/>
          <w:color w:val="auto"/>
          <w:highlight w:val="none"/>
        </w:rPr>
        <w:t>标项目概况和说明</w:t>
      </w:r>
      <w:bookmarkEnd w:id="352"/>
      <w:bookmarkEnd w:id="353"/>
    </w:p>
    <w:bookmarkEnd w:id="355"/>
    <w:bookmarkEnd w:id="356"/>
    <w:bookmarkEnd w:id="357"/>
    <w:bookmarkEnd w:id="358"/>
    <w:bookmarkEnd w:id="359"/>
    <w:p>
      <w:pPr>
        <w:pStyle w:val="5"/>
        <w:numPr>
          <w:ilvl w:val="2"/>
          <w:numId w:val="21"/>
        </w:numPr>
        <w:rPr>
          <w:rFonts w:hint="eastAsia" w:ascii="宋体" w:hAnsi="宋体" w:eastAsia="宋体" w:cs="宋体"/>
          <w:b w:val="0"/>
          <w:bCs w:val="0"/>
          <w:snapToGrid w:val="0"/>
          <w:color w:val="auto"/>
          <w:highlight w:val="none"/>
        </w:rPr>
      </w:pPr>
      <w:bookmarkStart w:id="360" w:name="_Toc525120853"/>
      <w:bookmarkStart w:id="361" w:name="_Toc17865"/>
      <w:r>
        <w:rPr>
          <w:rFonts w:hint="eastAsia" w:ascii="宋体" w:hAnsi="宋体" w:eastAsia="宋体" w:cs="宋体"/>
          <w:b w:val="0"/>
          <w:bCs w:val="0"/>
          <w:color w:val="auto"/>
          <w:sz w:val="28"/>
          <w:highlight w:val="none"/>
        </w:rPr>
        <w:t>工</w:t>
      </w:r>
      <w:bookmarkStart w:id="362" w:name="_Toc200772270"/>
      <w:bookmarkStart w:id="363" w:name="_Toc13309416"/>
      <w:bookmarkStart w:id="364" w:name="_Toc215480828"/>
      <w:bookmarkStart w:id="365" w:name="_Toc63471515"/>
      <w:bookmarkStart w:id="366" w:name="_Toc49663146"/>
      <w:r>
        <w:rPr>
          <w:rFonts w:hint="eastAsia" w:ascii="宋体" w:hAnsi="宋体" w:eastAsia="宋体" w:cs="宋体"/>
          <w:b w:val="0"/>
          <w:bCs w:val="0"/>
          <w:color w:val="auto"/>
          <w:sz w:val="28"/>
          <w:highlight w:val="none"/>
        </w:rPr>
        <w:t>程建设地点的现场自然条件</w:t>
      </w:r>
      <w:bookmarkEnd w:id="360"/>
      <w:bookmarkEnd w:id="361"/>
    </w:p>
    <w:bookmarkEnd w:id="362"/>
    <w:bookmarkEnd w:id="363"/>
    <w:bookmarkEnd w:id="364"/>
    <w:bookmarkEnd w:id="365"/>
    <w:bookmarkEnd w:id="366"/>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none"/>
        </w:rPr>
        <w:t xml:space="preserve"> </w:t>
      </w:r>
      <w:bookmarkStart w:id="367" w:name="_Toc200772271"/>
      <w:bookmarkStart w:id="368" w:name="_Toc215480829"/>
      <w:r>
        <w:rPr>
          <w:rFonts w:hint="eastAsia" w:ascii="宋体" w:hAnsi="宋体" w:eastAsia="宋体" w:cs="宋体"/>
          <w:snapToGrid w:val="0"/>
          <w:color w:val="auto"/>
          <w:sz w:val="24"/>
          <w:highlight w:val="none"/>
          <w:u w:val="none"/>
        </w:rPr>
        <w:t xml:space="preserve">    </w:t>
      </w:r>
      <w:r>
        <w:rPr>
          <w:rFonts w:hint="eastAsia" w:ascii="宋体" w:hAnsi="宋体" w:eastAsia="宋体" w:cs="宋体"/>
          <w:snapToGrid w:val="0"/>
          <w:color w:val="auto"/>
          <w:sz w:val="24"/>
          <w:highlight w:val="none"/>
          <w:u w:val="single"/>
        </w:rPr>
        <w:t>工程建设地点</w:t>
      </w:r>
      <w:r>
        <w:rPr>
          <w:rFonts w:hint="eastAsia" w:ascii="宋体" w:hAnsi="宋体" w:eastAsia="宋体" w:cs="宋体"/>
          <w:snapToGrid w:val="0"/>
          <w:color w:val="auto"/>
          <w:sz w:val="24"/>
          <w:szCs w:val="22"/>
          <w:highlight w:val="none"/>
          <w:u w:val="single"/>
        </w:rPr>
        <w:t>位于泉州师范学院主校区内</w:t>
      </w:r>
      <w:r>
        <w:rPr>
          <w:rFonts w:hint="eastAsia" w:ascii="宋体" w:hAnsi="宋体" w:eastAsia="宋体" w:cs="宋体"/>
          <w:snapToGrid w:val="0"/>
          <w:color w:val="auto"/>
          <w:spacing w:val="-6"/>
          <w:sz w:val="24"/>
          <w:szCs w:val="22"/>
          <w:highlight w:val="none"/>
          <w:u w:val="single"/>
          <w:lang w:eastAsia="zh-CN"/>
        </w:rPr>
        <w:t>；</w:t>
      </w:r>
      <w:r>
        <w:rPr>
          <w:rFonts w:hint="eastAsia" w:ascii="宋体" w:hAnsi="宋体" w:eastAsia="宋体" w:cs="宋体"/>
          <w:snapToGrid w:val="0"/>
          <w:color w:val="auto"/>
          <w:spacing w:val="-6"/>
          <w:sz w:val="24"/>
          <w:szCs w:val="22"/>
          <w:highlight w:val="none"/>
          <w:u w:val="single"/>
        </w:rPr>
        <w:t>现场自然条件良好，</w:t>
      </w:r>
      <w:r>
        <w:rPr>
          <w:rFonts w:hint="eastAsia" w:ascii="宋体" w:hAnsi="宋体" w:eastAsia="宋体" w:cs="宋体"/>
          <w:snapToGrid w:val="0"/>
          <w:color w:val="auto"/>
          <w:spacing w:val="-6"/>
          <w:sz w:val="24"/>
          <w:szCs w:val="22"/>
          <w:highlight w:val="none"/>
          <w:u w:val="single"/>
          <w:lang w:val="en-US" w:eastAsia="zh-CN"/>
        </w:rPr>
        <w:t>具体情况</w:t>
      </w:r>
      <w:r>
        <w:rPr>
          <w:rFonts w:hint="eastAsia" w:ascii="宋体" w:hAnsi="宋体" w:eastAsia="宋体" w:cs="宋体"/>
          <w:color w:val="auto"/>
          <w:spacing w:val="-6"/>
          <w:sz w:val="24"/>
          <w:highlight w:val="none"/>
          <w:u w:val="single"/>
        </w:rPr>
        <w:t>由投标人自行勘察。</w:t>
      </w:r>
    </w:p>
    <w:p>
      <w:pPr>
        <w:pStyle w:val="5"/>
        <w:numPr>
          <w:ilvl w:val="2"/>
          <w:numId w:val="21"/>
        </w:numPr>
        <w:rPr>
          <w:rFonts w:hint="eastAsia" w:ascii="宋体" w:hAnsi="宋体" w:eastAsia="宋体" w:cs="宋体"/>
          <w:color w:val="auto"/>
          <w:highlight w:val="none"/>
        </w:rPr>
      </w:pPr>
      <w:bookmarkStart w:id="369" w:name="_Toc525120854"/>
      <w:bookmarkStart w:id="370" w:name="_Toc5931"/>
      <w:r>
        <w:rPr>
          <w:rFonts w:hint="eastAsia" w:ascii="宋体" w:hAnsi="宋体" w:eastAsia="宋体" w:cs="宋体"/>
          <w:b w:val="0"/>
          <w:bCs w:val="0"/>
          <w:color w:val="auto"/>
          <w:sz w:val="28"/>
          <w:highlight w:val="none"/>
        </w:rPr>
        <w:t>工</w:t>
      </w:r>
      <w:bookmarkStart w:id="371" w:name="_Toc63471516"/>
      <w:bookmarkStart w:id="372" w:name="_Toc13309417"/>
      <w:bookmarkStart w:id="373" w:name="_Toc49663147"/>
      <w:r>
        <w:rPr>
          <w:rFonts w:hint="eastAsia" w:ascii="宋体" w:hAnsi="宋体" w:eastAsia="宋体" w:cs="宋体"/>
          <w:b w:val="0"/>
          <w:bCs w:val="0"/>
          <w:color w:val="auto"/>
          <w:sz w:val="28"/>
          <w:highlight w:val="none"/>
        </w:rPr>
        <w:t>程建设地点的现场施工条件</w:t>
      </w:r>
      <w:bookmarkEnd w:id="369"/>
      <w:bookmarkEnd w:id="370"/>
    </w:p>
    <w:bookmarkEnd w:id="367"/>
    <w:bookmarkEnd w:id="368"/>
    <w:bookmarkEnd w:id="371"/>
    <w:bookmarkEnd w:id="372"/>
    <w:bookmarkEnd w:id="373"/>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none"/>
        </w:rPr>
        <w:t xml:space="preserve"> </w:t>
      </w:r>
      <w:bookmarkStart w:id="374" w:name="_Toc200772272"/>
      <w:bookmarkStart w:id="375" w:name="_Toc215480830"/>
      <w:r>
        <w:rPr>
          <w:rFonts w:hint="eastAsia" w:ascii="宋体" w:hAnsi="宋体" w:eastAsia="宋体" w:cs="宋体"/>
          <w:snapToGrid w:val="0"/>
          <w:color w:val="auto"/>
          <w:sz w:val="24"/>
          <w:highlight w:val="none"/>
          <w:u w:val="none"/>
        </w:rPr>
        <w:t xml:space="preserve">    </w:t>
      </w:r>
      <w:r>
        <w:rPr>
          <w:rFonts w:hint="eastAsia" w:ascii="宋体" w:hAnsi="宋体" w:eastAsia="宋体" w:cs="宋体"/>
          <w:snapToGrid w:val="0"/>
          <w:color w:val="auto"/>
          <w:sz w:val="24"/>
          <w:u w:val="single"/>
        </w:rPr>
        <w:t>已具备施工条件，具体情况由投标人自行勘察。</w:t>
      </w:r>
    </w:p>
    <w:p>
      <w:pPr>
        <w:pStyle w:val="5"/>
        <w:numPr>
          <w:ilvl w:val="2"/>
          <w:numId w:val="21"/>
        </w:numPr>
        <w:rPr>
          <w:rFonts w:hint="eastAsia" w:ascii="宋体" w:hAnsi="宋体" w:eastAsia="宋体" w:cs="宋体"/>
          <w:b w:val="0"/>
          <w:bCs w:val="0"/>
          <w:color w:val="auto"/>
          <w:sz w:val="28"/>
          <w:highlight w:val="none"/>
        </w:rPr>
      </w:pPr>
      <w:bookmarkStart w:id="376" w:name="_Toc6869"/>
      <w:bookmarkStart w:id="377" w:name="_Toc525120855"/>
      <w:r>
        <w:rPr>
          <w:rFonts w:hint="eastAsia" w:ascii="宋体" w:hAnsi="宋体" w:eastAsia="宋体" w:cs="宋体"/>
          <w:b w:val="0"/>
          <w:bCs w:val="0"/>
          <w:color w:val="auto"/>
          <w:sz w:val="28"/>
          <w:highlight w:val="none"/>
        </w:rPr>
        <w:t>招</w:t>
      </w:r>
      <w:bookmarkStart w:id="378" w:name="_Toc13309418"/>
      <w:bookmarkStart w:id="379" w:name="_Toc49663148"/>
      <w:bookmarkStart w:id="380" w:name="_Toc63471517"/>
      <w:r>
        <w:rPr>
          <w:rFonts w:hint="eastAsia" w:ascii="宋体" w:hAnsi="宋体" w:eastAsia="宋体" w:cs="宋体"/>
          <w:b w:val="0"/>
          <w:bCs w:val="0"/>
          <w:color w:val="auto"/>
          <w:sz w:val="28"/>
          <w:highlight w:val="none"/>
        </w:rPr>
        <w:t>标项目说明</w:t>
      </w:r>
      <w:bookmarkEnd w:id="376"/>
      <w:bookmarkEnd w:id="377"/>
    </w:p>
    <w:bookmarkEnd w:id="374"/>
    <w:bookmarkEnd w:id="375"/>
    <w:bookmarkEnd w:id="378"/>
    <w:bookmarkEnd w:id="379"/>
    <w:bookmarkEnd w:id="380"/>
    <w:p>
      <w:pPr>
        <w:widowControl/>
        <w:adjustRightInd/>
        <w:spacing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snapToGrid w:val="0"/>
          <w:color w:val="auto"/>
          <w:sz w:val="24"/>
          <w:highlight w:val="none"/>
          <w:u w:val="single"/>
          <w:lang w:eastAsia="zh-CN"/>
        </w:rPr>
        <w:t>具体详见招标人提供的施工图纸及工程量清单。</w:t>
      </w:r>
    </w:p>
    <w:p>
      <w:pPr>
        <w:pStyle w:val="23"/>
        <w:ind w:firstLine="240"/>
        <w:rPr>
          <w:rFonts w:hint="eastAsia" w:ascii="宋体" w:hAnsi="宋体" w:eastAsia="宋体" w:cs="宋体"/>
          <w:color w:val="auto"/>
          <w:sz w:val="24"/>
          <w:highlight w:val="none"/>
          <w:u w:val="single"/>
        </w:rPr>
      </w:pPr>
    </w:p>
    <w:p>
      <w:pPr>
        <w:pStyle w:val="2"/>
        <w:ind w:firstLine="480"/>
        <w:rPr>
          <w:rFonts w:hint="eastAsia" w:ascii="宋体" w:hAnsi="宋体" w:eastAsia="宋体" w:cs="宋体"/>
          <w:color w:val="auto"/>
          <w:sz w:val="24"/>
          <w:highlight w:val="none"/>
          <w:u w:val="single"/>
        </w:rPr>
      </w:pPr>
    </w:p>
    <w:p>
      <w:pPr>
        <w:pStyle w:val="2"/>
        <w:ind w:firstLine="480"/>
        <w:rPr>
          <w:rFonts w:hint="eastAsia" w:ascii="宋体" w:hAnsi="宋体" w:eastAsia="宋体" w:cs="宋体"/>
          <w:color w:val="auto"/>
          <w:sz w:val="24"/>
          <w:highlight w:val="none"/>
          <w:u w:val="single"/>
        </w:rPr>
      </w:pPr>
    </w:p>
    <w:p>
      <w:pPr>
        <w:pStyle w:val="2"/>
        <w:ind w:firstLine="480"/>
        <w:rPr>
          <w:rFonts w:hint="eastAsia" w:ascii="宋体" w:hAnsi="宋体" w:eastAsia="宋体" w:cs="宋体"/>
          <w:color w:val="auto"/>
          <w:sz w:val="24"/>
          <w:highlight w:val="none"/>
          <w:u w:val="single"/>
        </w:rPr>
      </w:pPr>
    </w:p>
    <w:p>
      <w:pPr>
        <w:pStyle w:val="2"/>
        <w:ind w:firstLine="480"/>
        <w:rPr>
          <w:rFonts w:hint="eastAsia" w:ascii="宋体" w:hAnsi="宋体" w:eastAsia="宋体" w:cs="宋体"/>
          <w:color w:val="auto"/>
          <w:sz w:val="24"/>
          <w:highlight w:val="none"/>
          <w:u w:val="single"/>
        </w:rPr>
      </w:pPr>
    </w:p>
    <w:p>
      <w:pPr>
        <w:pStyle w:val="2"/>
        <w:ind w:firstLine="480"/>
        <w:rPr>
          <w:rFonts w:hint="eastAsia" w:ascii="宋体" w:hAnsi="宋体" w:eastAsia="宋体" w:cs="宋体"/>
          <w:color w:val="auto"/>
          <w:sz w:val="24"/>
          <w:highlight w:val="none"/>
          <w:u w:val="single"/>
        </w:rPr>
      </w:pPr>
    </w:p>
    <w:p>
      <w:pPr>
        <w:pStyle w:val="2"/>
        <w:ind w:firstLine="480"/>
        <w:rPr>
          <w:rFonts w:hint="eastAsia" w:ascii="宋体" w:hAnsi="宋体" w:eastAsia="宋体" w:cs="宋体"/>
          <w:color w:val="auto"/>
          <w:sz w:val="24"/>
          <w:highlight w:val="none"/>
          <w:u w:val="single"/>
        </w:rPr>
      </w:pPr>
    </w:p>
    <w:p>
      <w:pPr>
        <w:pStyle w:val="2"/>
        <w:ind w:firstLine="480"/>
        <w:rPr>
          <w:rFonts w:hint="eastAsia" w:ascii="宋体" w:hAnsi="宋体" w:eastAsia="宋体" w:cs="宋体"/>
          <w:color w:val="auto"/>
          <w:sz w:val="24"/>
          <w:highlight w:val="none"/>
          <w:u w:val="single"/>
        </w:rPr>
      </w:pPr>
    </w:p>
    <w:p>
      <w:pPr>
        <w:pStyle w:val="2"/>
        <w:ind w:firstLine="480"/>
        <w:rPr>
          <w:rFonts w:hint="eastAsia" w:ascii="宋体" w:hAnsi="宋体" w:eastAsia="宋体" w:cs="宋体"/>
          <w:color w:val="auto"/>
          <w:sz w:val="24"/>
          <w:highlight w:val="none"/>
          <w:u w:val="single"/>
        </w:rPr>
      </w:pPr>
    </w:p>
    <w:p>
      <w:pPr>
        <w:pStyle w:val="2"/>
        <w:ind w:firstLine="480"/>
        <w:rPr>
          <w:rFonts w:hint="eastAsia" w:ascii="宋体" w:hAnsi="宋体" w:eastAsia="宋体" w:cs="宋体"/>
          <w:color w:val="auto"/>
          <w:sz w:val="24"/>
          <w:highlight w:val="none"/>
          <w:u w:val="single"/>
        </w:rPr>
      </w:pPr>
    </w:p>
    <w:p>
      <w:pPr>
        <w:pStyle w:val="2"/>
        <w:ind w:firstLine="480"/>
        <w:rPr>
          <w:rFonts w:hint="eastAsia" w:ascii="宋体" w:hAnsi="宋体" w:eastAsia="宋体" w:cs="宋体"/>
          <w:color w:val="auto"/>
          <w:sz w:val="24"/>
          <w:highlight w:val="none"/>
          <w:u w:val="single"/>
        </w:rPr>
      </w:pPr>
    </w:p>
    <w:p>
      <w:pPr>
        <w:pStyle w:val="5"/>
        <w:numPr>
          <w:ilvl w:val="1"/>
          <w:numId w:val="20"/>
        </w:numPr>
        <w:spacing w:before="480" w:after="120" w:line="360" w:lineRule="auto"/>
        <w:jc w:val="center"/>
        <w:rPr>
          <w:rFonts w:hint="eastAsia" w:ascii="宋体" w:hAnsi="宋体" w:eastAsia="宋体" w:cs="宋体"/>
          <w:b w:val="0"/>
          <w:bCs w:val="0"/>
          <w:color w:val="auto"/>
          <w:highlight w:val="none"/>
        </w:rPr>
      </w:pPr>
      <w:bookmarkStart w:id="381" w:name="_Toc525120856"/>
      <w:bookmarkStart w:id="382" w:name="_Toc10007"/>
      <w:r>
        <w:rPr>
          <w:rFonts w:hint="eastAsia" w:ascii="宋体" w:hAnsi="宋体" w:eastAsia="宋体" w:cs="宋体"/>
          <w:b w:val="0"/>
          <w:bCs w:val="0"/>
          <w:color w:val="auto"/>
          <w:highlight w:val="none"/>
        </w:rPr>
        <w:t>工</w:t>
      </w:r>
      <w:bookmarkStart w:id="383" w:name="_Toc63471518"/>
      <w:bookmarkStart w:id="384" w:name="_Toc200772273"/>
      <w:bookmarkStart w:id="385" w:name="_Toc215480831"/>
      <w:bookmarkStart w:id="386" w:name="_Toc49663149"/>
      <w:bookmarkStart w:id="387" w:name="_Toc13309419"/>
      <w:r>
        <w:rPr>
          <w:rFonts w:hint="eastAsia" w:ascii="宋体" w:hAnsi="宋体" w:eastAsia="宋体" w:cs="宋体"/>
          <w:b w:val="0"/>
          <w:bCs w:val="0"/>
          <w:color w:val="auto"/>
          <w:highlight w:val="none"/>
        </w:rPr>
        <w:t>程建设技术标准</w:t>
      </w:r>
      <w:bookmarkEnd w:id="381"/>
      <w:bookmarkEnd w:id="382"/>
    </w:p>
    <w:bookmarkEnd w:id="383"/>
    <w:bookmarkEnd w:id="384"/>
    <w:bookmarkEnd w:id="385"/>
    <w:bookmarkEnd w:id="386"/>
    <w:bookmarkEnd w:id="387"/>
    <w:p>
      <w:pPr>
        <w:pStyle w:val="5"/>
        <w:numPr>
          <w:ilvl w:val="2"/>
          <w:numId w:val="22"/>
        </w:numPr>
        <w:rPr>
          <w:rFonts w:hint="eastAsia" w:ascii="宋体" w:hAnsi="宋体" w:eastAsia="宋体" w:cs="宋体"/>
          <w:b w:val="0"/>
          <w:bCs w:val="0"/>
          <w:snapToGrid w:val="0"/>
          <w:color w:val="auto"/>
          <w:sz w:val="28"/>
          <w:szCs w:val="28"/>
          <w:highlight w:val="none"/>
        </w:rPr>
      </w:pPr>
      <w:bookmarkStart w:id="388" w:name="_Toc128"/>
      <w:bookmarkStart w:id="389" w:name="_Toc525120857"/>
      <w:r>
        <w:rPr>
          <w:rFonts w:hint="eastAsia" w:ascii="宋体" w:hAnsi="宋体" w:eastAsia="宋体" w:cs="宋体"/>
          <w:b w:val="0"/>
          <w:bCs w:val="0"/>
          <w:snapToGrid w:val="0"/>
          <w:color w:val="auto"/>
          <w:sz w:val="28"/>
          <w:szCs w:val="28"/>
          <w:highlight w:val="none"/>
        </w:rPr>
        <w:t>工</w:t>
      </w:r>
      <w:bookmarkStart w:id="390" w:name="_Toc215480832"/>
      <w:bookmarkStart w:id="391" w:name="_Toc49663150"/>
      <w:bookmarkStart w:id="392" w:name="_Toc13309420"/>
      <w:bookmarkStart w:id="393" w:name="_Toc63471519"/>
      <w:bookmarkStart w:id="394" w:name="_Toc200772274"/>
      <w:r>
        <w:rPr>
          <w:rFonts w:hint="eastAsia" w:ascii="宋体" w:hAnsi="宋体" w:eastAsia="宋体" w:cs="宋体"/>
          <w:b w:val="0"/>
          <w:bCs w:val="0"/>
          <w:snapToGrid w:val="0"/>
          <w:color w:val="auto"/>
          <w:sz w:val="28"/>
          <w:szCs w:val="28"/>
          <w:highlight w:val="none"/>
        </w:rPr>
        <w:t>程建设标准强制性条文</w:t>
      </w:r>
      <w:bookmarkEnd w:id="388"/>
      <w:bookmarkEnd w:id="389"/>
    </w:p>
    <w:bookmarkEnd w:id="390"/>
    <w:bookmarkEnd w:id="391"/>
    <w:bookmarkEnd w:id="392"/>
    <w:bookmarkEnd w:id="393"/>
    <w:bookmarkEnd w:id="394"/>
    <w:p>
      <w:pPr>
        <w:tabs>
          <w:tab w:val="left" w:pos="0"/>
          <w:tab w:val="left" w:pos="567"/>
          <w:tab w:val="left" w:pos="993"/>
          <w:tab w:val="left" w:pos="1134"/>
        </w:tabs>
        <w:snapToGrid w:val="0"/>
        <w:spacing w:line="360" w:lineRule="auto"/>
        <w:ind w:firstLine="48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 xml:space="preserve">依据设计文件要求，本招标项目的材料、设备、施工必须达到下列现行的中华人民共和国的国家、行业和地方的一切与招标项目相关的工程建设标准强制性条文： </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《工程测量规范》  GB50026-2007</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《建筑地基基础工程施工质量验收规范》GB 50202-2002</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《建筑桩基技术规范》JGJ 94-2008</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《建筑基坑支护技术规程》JGJ 120-2012</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《建筑地基处理技术规范》JGJ 79-2012</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《地下防水工程质量验收规范》GB 50208-2011</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《建筑地面工程施工质量验收规范》GB 50209-2010</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《混凝土结构工程施工质量验收规范》GB 50204-2015</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《混凝土质量控制标准》GB 50164-2011</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《砌体工程施工质量及验收规范》GB 50203-2011</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《木结构工程施工质量验收规范》GB 50206-2012</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《屋面工程质量验收规范》GB 50207-2012</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《建筑装饰装修工程质量验收规范》  GB50210-2001</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《建筑给水排水及采暖工程施工质量验收规范》GB50242-2002</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《通风与空调工程施工质量验收规范》GB50261-2002</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《建筑电气工程施工质量验收规范》GB50303-2002</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《电梯工程施工质量验收规范》GB50310-2002</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《智能建筑工程质量验收规范》GB 50338-2013</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《钢筋焊接及验收规程》JGJ 18-2013</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《钢筋焊接接头试验方法标准》  JGJ/T27-2014</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《钢结构工程施工质量验收规范》GB50205-2001</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《普通混凝土配合比设计规程》 JGJ55-2011</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《砌筑砂浆配合比设计规程》  JGJ98-2010</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《建筑工程施工质量验收统一标准》GB 50300-2013</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《建筑施工安全检查标准》JGJ59-2011</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《建筑机械使用安全技术规程》JGJ33-2012</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《道路工程术语标准》GBJ124-88</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《沥青路面施工及验收规范》GBJ50092-96</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《土方与爆破工程施工及验收规范》GB 50201-2012</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《给水排水管道工程施工及验收规范》GB 50268-2008</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《城镇道路工程施工与质量验收规范》CJJ 1-2008</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《城市桥梁工程施工与质量验收规范》CJJ 2-2008</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《给水排水构筑物工程施工及验收规范》GB 50141-2008</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《建设工程文件归档规范》GB/T50328-2014</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《建设工程项目管理规范》GB/T50326-2006</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《混凝土质量控制标准》GB 50164-2011</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《建筑施工模板安全技术规范》JGJ162-2008</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《福建省住宅工程质量分户验收规程》DBJ/T 13-119-2010</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《建筑施工组织设计规范》GB/T 50502-2009</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《福建省建筑工程文件管理规程》DBJ/T13-56-2011</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《园林绿化工程施工及验收规范》CJJ 82-2012</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《城市道路照明工程施工及验收规程》CJJ 89-2012</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《市政工程施工组织设计规范》GB/T 50903-2013</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《福建省市政工程施工技术文件管理规程》DBJ/T13-135-2011</w:t>
      </w:r>
    </w:p>
    <w:p>
      <w:pPr>
        <w:numPr>
          <w:ilvl w:val="2"/>
          <w:numId w:val="23"/>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szCs w:val="22"/>
          <w:highlight w:val="none"/>
        </w:rPr>
      </w:pPr>
      <w:r>
        <w:rPr>
          <w:rFonts w:hint="eastAsia" w:ascii="宋体" w:hAnsi="宋体" w:eastAsia="宋体" w:cs="宋体"/>
          <w:snapToGrid w:val="0"/>
          <w:color w:val="auto"/>
          <w:sz w:val="24"/>
          <w:szCs w:val="22"/>
          <w:highlight w:val="none"/>
        </w:rPr>
        <w:t>《建筑装饰装修工程质量验收标准》GB50210-2018</w:t>
      </w:r>
    </w:p>
    <w:p>
      <w:p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 xml:space="preserve">    ……</w:t>
      </w:r>
    </w:p>
    <w:p>
      <w:pPr>
        <w:tabs>
          <w:tab w:val="left" w:pos="0"/>
          <w:tab w:val="left" w:pos="567"/>
          <w:tab w:val="left" w:pos="993"/>
          <w:tab w:val="left" w:pos="1134"/>
        </w:tabs>
        <w:snapToGrid w:val="0"/>
        <w:spacing w:line="360" w:lineRule="auto"/>
        <w:ind w:firstLine="480" w:firstLineChars="200"/>
        <w:rPr>
          <w:rFonts w:hint="eastAsia" w:ascii="宋体" w:hAnsi="宋体" w:eastAsia="宋体" w:cs="宋体"/>
          <w:snapToGrid w:val="0"/>
          <w:color w:val="auto"/>
          <w:sz w:val="24"/>
          <w:szCs w:val="22"/>
          <w:highlight w:val="none"/>
        </w:rPr>
      </w:pPr>
      <w:r>
        <w:rPr>
          <w:rFonts w:hint="eastAsia" w:ascii="宋体" w:hAnsi="宋体" w:eastAsia="宋体" w:cs="宋体"/>
          <w:snapToGrid w:val="0"/>
          <w:color w:val="auto"/>
          <w:sz w:val="24"/>
          <w:szCs w:val="22"/>
          <w:highlight w:val="none"/>
        </w:rPr>
        <w:t>如上述标准及规范要求有出入则以较严格者为准，如标准、规范修改或更新的，则以修改或更新后的内容为准。</w:t>
      </w:r>
      <w:bookmarkStart w:id="395" w:name="_Toc525120858"/>
    </w:p>
    <w:p>
      <w:pPr>
        <w:pStyle w:val="2"/>
        <w:ind w:firstLine="480"/>
        <w:rPr>
          <w:rFonts w:hint="eastAsia" w:ascii="宋体" w:hAnsi="宋体" w:eastAsia="宋体" w:cs="宋体"/>
          <w:snapToGrid w:val="0"/>
          <w:color w:val="auto"/>
          <w:sz w:val="24"/>
          <w:szCs w:val="22"/>
          <w:highlight w:val="none"/>
        </w:rPr>
      </w:pPr>
    </w:p>
    <w:p>
      <w:pPr>
        <w:pStyle w:val="2"/>
        <w:ind w:firstLine="480"/>
        <w:rPr>
          <w:rFonts w:hint="eastAsia" w:ascii="宋体" w:hAnsi="宋体" w:eastAsia="宋体" w:cs="宋体"/>
          <w:snapToGrid w:val="0"/>
          <w:color w:val="auto"/>
          <w:sz w:val="24"/>
          <w:szCs w:val="22"/>
          <w:highlight w:val="none"/>
        </w:rPr>
      </w:pPr>
    </w:p>
    <w:p>
      <w:pPr>
        <w:pStyle w:val="2"/>
        <w:ind w:firstLine="480"/>
        <w:rPr>
          <w:rFonts w:hint="eastAsia" w:ascii="宋体" w:hAnsi="宋体" w:eastAsia="宋体" w:cs="宋体"/>
          <w:snapToGrid w:val="0"/>
          <w:color w:val="auto"/>
          <w:sz w:val="24"/>
          <w:szCs w:val="22"/>
          <w:highlight w:val="none"/>
        </w:rPr>
      </w:pPr>
    </w:p>
    <w:p>
      <w:pPr>
        <w:pStyle w:val="2"/>
        <w:ind w:firstLine="480"/>
        <w:rPr>
          <w:rFonts w:hint="eastAsia" w:ascii="宋体" w:hAnsi="宋体" w:eastAsia="宋体" w:cs="宋体"/>
          <w:snapToGrid w:val="0"/>
          <w:color w:val="auto"/>
          <w:sz w:val="24"/>
          <w:szCs w:val="22"/>
          <w:highlight w:val="none"/>
        </w:rPr>
      </w:pPr>
    </w:p>
    <w:p>
      <w:pPr>
        <w:pStyle w:val="2"/>
        <w:ind w:firstLine="480"/>
        <w:rPr>
          <w:rFonts w:hint="eastAsia" w:ascii="宋体" w:hAnsi="宋体" w:eastAsia="宋体" w:cs="宋体"/>
          <w:snapToGrid w:val="0"/>
          <w:color w:val="auto"/>
          <w:sz w:val="24"/>
          <w:szCs w:val="22"/>
          <w:highlight w:val="none"/>
        </w:rPr>
      </w:pPr>
    </w:p>
    <w:p>
      <w:pPr>
        <w:pStyle w:val="2"/>
        <w:ind w:firstLine="480"/>
        <w:rPr>
          <w:rFonts w:hint="eastAsia" w:ascii="宋体" w:hAnsi="宋体" w:eastAsia="宋体" w:cs="宋体"/>
          <w:snapToGrid w:val="0"/>
          <w:color w:val="auto"/>
          <w:sz w:val="24"/>
          <w:szCs w:val="22"/>
          <w:highlight w:val="none"/>
        </w:rPr>
      </w:pPr>
    </w:p>
    <w:p>
      <w:pPr>
        <w:pStyle w:val="5"/>
        <w:numPr>
          <w:ilvl w:val="2"/>
          <w:numId w:val="22"/>
        </w:numPr>
        <w:spacing w:line="360" w:lineRule="auto"/>
        <w:rPr>
          <w:rFonts w:hint="eastAsia" w:ascii="宋体" w:hAnsi="宋体" w:eastAsia="宋体" w:cs="宋体"/>
          <w:b w:val="0"/>
          <w:bCs w:val="0"/>
          <w:color w:val="auto"/>
          <w:sz w:val="28"/>
          <w:szCs w:val="28"/>
          <w:highlight w:val="none"/>
        </w:rPr>
      </w:pPr>
      <w:bookmarkStart w:id="396" w:name="_Toc28137"/>
      <w:r>
        <w:rPr>
          <w:rFonts w:hint="eastAsia" w:ascii="宋体" w:hAnsi="宋体" w:eastAsia="宋体" w:cs="宋体"/>
          <w:b w:val="0"/>
          <w:bCs w:val="0"/>
          <w:color w:val="auto"/>
          <w:sz w:val="28"/>
          <w:szCs w:val="28"/>
          <w:highlight w:val="none"/>
        </w:rPr>
        <w:t>招</w:t>
      </w:r>
      <w:bookmarkStart w:id="397" w:name="_Toc49663151"/>
      <w:bookmarkStart w:id="398" w:name="_Toc200708264"/>
      <w:bookmarkStart w:id="399" w:name="_Toc63471520"/>
      <w:bookmarkStart w:id="400" w:name="_Toc215480833"/>
      <w:bookmarkStart w:id="401" w:name="_Toc200772275"/>
      <w:bookmarkStart w:id="402" w:name="_Toc13309421"/>
      <w:r>
        <w:rPr>
          <w:rFonts w:hint="eastAsia" w:ascii="宋体" w:hAnsi="宋体" w:eastAsia="宋体" w:cs="宋体"/>
          <w:b w:val="0"/>
          <w:bCs w:val="0"/>
          <w:color w:val="auto"/>
          <w:sz w:val="28"/>
          <w:szCs w:val="28"/>
          <w:highlight w:val="none"/>
        </w:rPr>
        <w:t>标项目使用的其他工程建设技术标准</w:t>
      </w:r>
      <w:bookmarkEnd w:id="395"/>
      <w:bookmarkEnd w:id="396"/>
    </w:p>
    <w:bookmarkEnd w:id="397"/>
    <w:bookmarkEnd w:id="398"/>
    <w:bookmarkEnd w:id="399"/>
    <w:bookmarkEnd w:id="400"/>
    <w:bookmarkEnd w:id="401"/>
    <w:bookmarkEnd w:id="402"/>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除了上述约定的工程建设技术标准外，有关本招标项目所采用的其他国家级、行业和地方</w:t>
      </w:r>
      <w:r>
        <w:rPr>
          <w:rFonts w:hint="eastAsia" w:ascii="宋体" w:hAnsi="宋体" w:eastAsia="宋体" w:cs="宋体"/>
          <w:snapToGrid w:val="0"/>
          <w:color w:val="auto"/>
          <w:sz w:val="24"/>
          <w:highlight w:val="none"/>
        </w:rPr>
        <w:t>工程建设技术标准</w:t>
      </w:r>
      <w:r>
        <w:rPr>
          <w:rFonts w:hint="eastAsia" w:ascii="宋体" w:hAnsi="宋体" w:eastAsia="宋体" w:cs="宋体"/>
          <w:color w:val="auto"/>
          <w:sz w:val="24"/>
          <w:highlight w:val="none"/>
        </w:rPr>
        <w:t>如下：</w:t>
      </w:r>
      <w:bookmarkStart w:id="403" w:name="_Toc440534892"/>
    </w:p>
    <w:p>
      <w:pPr>
        <w:numPr>
          <w:ilvl w:val="0"/>
          <w:numId w:val="24"/>
        </w:numPr>
        <w:spacing w:line="360" w:lineRule="auto"/>
        <w:ind w:firstLine="480" w:firstLineChars="200"/>
        <w:rPr>
          <w:rFonts w:hint="eastAsia" w:ascii="宋体" w:hAnsi="宋体" w:eastAsia="宋体" w:cs="宋体"/>
          <w:b w:val="0"/>
          <w:bCs w:val="0"/>
          <w:snapToGrid w:val="0"/>
          <w:color w:val="auto"/>
          <w:sz w:val="24"/>
          <w:szCs w:val="20"/>
          <w:highlight w:val="none"/>
          <w:u w:val="single"/>
        </w:rPr>
      </w:pPr>
      <w:r>
        <w:rPr>
          <w:rFonts w:hint="eastAsia" w:ascii="宋体" w:hAnsi="宋体" w:eastAsia="宋体" w:cs="宋体"/>
          <w:b w:val="0"/>
          <w:bCs w:val="0"/>
          <w:snapToGrid w:val="0"/>
          <w:color w:val="auto"/>
          <w:sz w:val="24"/>
          <w:szCs w:val="20"/>
          <w:highlight w:val="none"/>
          <w:u w:val="single"/>
        </w:rPr>
        <w:t>本项目所有施工和材料所涉及的设计标准规范、产品标准规范、工程标准规范、验收标准规范必须符合最新的法定职责、条例、规范。</w:t>
      </w:r>
      <w:bookmarkEnd w:id="403"/>
      <w:bookmarkStart w:id="404" w:name="_Toc440534893"/>
    </w:p>
    <w:p>
      <w:pPr>
        <w:numPr>
          <w:ilvl w:val="0"/>
          <w:numId w:val="24"/>
        </w:numPr>
        <w:spacing w:line="360" w:lineRule="auto"/>
        <w:ind w:left="0" w:leftChars="0" w:firstLine="480" w:firstLineChars="200"/>
        <w:rPr>
          <w:rFonts w:hint="eastAsia" w:ascii="宋体" w:hAnsi="宋体" w:eastAsia="宋体" w:cs="宋体"/>
          <w:b w:val="0"/>
          <w:bCs w:val="0"/>
          <w:snapToGrid w:val="0"/>
          <w:color w:val="auto"/>
          <w:sz w:val="24"/>
          <w:szCs w:val="20"/>
          <w:highlight w:val="none"/>
          <w:u w:val="single"/>
        </w:rPr>
      </w:pPr>
      <w:r>
        <w:rPr>
          <w:rFonts w:hint="eastAsia" w:ascii="宋体" w:hAnsi="宋体" w:eastAsia="宋体" w:cs="宋体"/>
          <w:b w:val="0"/>
          <w:bCs w:val="0"/>
          <w:snapToGrid w:val="0"/>
          <w:color w:val="auto"/>
          <w:sz w:val="24"/>
          <w:szCs w:val="20"/>
          <w:highlight w:val="none"/>
          <w:u w:val="single"/>
        </w:rPr>
        <w:t>常规的技术标准和规范如有不足之处，承包人应选用的设备和材料符合所有最新、最普遍的，适合于标准、规范和应用最新版本的要求，并提供所应用的最新版本有关技术依据性资料。</w:t>
      </w:r>
      <w:bookmarkEnd w:id="404"/>
      <w:bookmarkStart w:id="405" w:name="_Toc440534894"/>
    </w:p>
    <w:p>
      <w:pPr>
        <w:numPr>
          <w:ilvl w:val="0"/>
          <w:numId w:val="24"/>
        </w:numPr>
        <w:spacing w:line="360" w:lineRule="auto"/>
        <w:ind w:left="0" w:leftChars="0" w:firstLine="480" w:firstLineChars="200"/>
        <w:rPr>
          <w:rFonts w:hint="eastAsia" w:ascii="宋体" w:hAnsi="宋体" w:eastAsia="宋体" w:cs="宋体"/>
          <w:b w:val="0"/>
          <w:bCs w:val="0"/>
          <w:snapToGrid w:val="0"/>
          <w:color w:val="auto"/>
          <w:sz w:val="24"/>
          <w:szCs w:val="20"/>
          <w:highlight w:val="none"/>
          <w:u w:val="single"/>
        </w:rPr>
      </w:pPr>
      <w:r>
        <w:rPr>
          <w:rFonts w:hint="eastAsia" w:ascii="宋体" w:hAnsi="宋体" w:eastAsia="宋体" w:cs="宋体"/>
          <w:b w:val="0"/>
          <w:bCs w:val="0"/>
          <w:snapToGrid w:val="0"/>
          <w:color w:val="auto"/>
          <w:sz w:val="24"/>
          <w:szCs w:val="20"/>
          <w:highlight w:val="none"/>
          <w:u w:val="single"/>
        </w:rPr>
        <w:t>本项目应执行以下标准规范但并不仅限于此，标准所包含的条文，通过在本招标文件中引用而构成技术规范的条文，详见招标设计图的技术要求。</w:t>
      </w:r>
      <w:bookmarkEnd w:id="405"/>
    </w:p>
    <w:p>
      <w:pPr>
        <w:pStyle w:val="2"/>
        <w:rPr>
          <w:rFonts w:hint="eastAsia"/>
          <w:color w:val="auto"/>
        </w:rPr>
      </w:pPr>
    </w:p>
    <w:p>
      <w:pPr>
        <w:pStyle w:val="5"/>
        <w:numPr>
          <w:ilvl w:val="2"/>
          <w:numId w:val="22"/>
        </w:numPr>
        <w:spacing w:line="360" w:lineRule="auto"/>
        <w:rPr>
          <w:rFonts w:hint="eastAsia" w:ascii="宋体" w:hAnsi="宋体" w:eastAsia="宋体" w:cs="宋体"/>
          <w:b w:val="0"/>
          <w:bCs w:val="0"/>
          <w:color w:val="auto"/>
          <w:sz w:val="28"/>
          <w:szCs w:val="28"/>
          <w:highlight w:val="none"/>
        </w:rPr>
      </w:pPr>
      <w:bookmarkStart w:id="406" w:name="_Toc7224"/>
      <w:bookmarkStart w:id="407" w:name="_Toc525120859"/>
      <w:r>
        <w:rPr>
          <w:rFonts w:hint="eastAsia" w:ascii="宋体" w:hAnsi="宋体" w:eastAsia="宋体" w:cs="宋体"/>
          <w:b w:val="0"/>
          <w:bCs w:val="0"/>
          <w:snapToGrid w:val="0"/>
          <w:color w:val="auto"/>
          <w:sz w:val="28"/>
          <w:szCs w:val="28"/>
          <w:highlight w:val="none"/>
        </w:rPr>
        <w:t>工</w:t>
      </w:r>
      <w:bookmarkStart w:id="408" w:name="_Toc63471521"/>
      <w:bookmarkStart w:id="409" w:name="_Toc215480834"/>
      <w:bookmarkStart w:id="410" w:name="_Toc13309422"/>
      <w:bookmarkStart w:id="411" w:name="_Toc49663152"/>
      <w:bookmarkStart w:id="412" w:name="_Toc200708265"/>
      <w:bookmarkStart w:id="413" w:name="_Toc200772276"/>
      <w:r>
        <w:rPr>
          <w:rFonts w:hint="eastAsia" w:ascii="宋体" w:hAnsi="宋体" w:eastAsia="宋体" w:cs="宋体"/>
          <w:b w:val="0"/>
          <w:bCs w:val="0"/>
          <w:snapToGrid w:val="0"/>
          <w:color w:val="auto"/>
          <w:sz w:val="28"/>
          <w:szCs w:val="28"/>
          <w:highlight w:val="none"/>
        </w:rPr>
        <w:t>程设计要求的特殊工程材料、施工工艺标准和要求</w:t>
      </w:r>
      <w:bookmarkEnd w:id="406"/>
      <w:bookmarkEnd w:id="407"/>
    </w:p>
    <w:bookmarkEnd w:id="408"/>
    <w:bookmarkEnd w:id="409"/>
    <w:bookmarkEnd w:id="410"/>
    <w:bookmarkEnd w:id="411"/>
    <w:bookmarkEnd w:id="412"/>
    <w:bookmarkEnd w:id="413"/>
    <w:p>
      <w:pPr>
        <w:spacing w:line="360" w:lineRule="auto"/>
        <w:ind w:firstLine="56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根据工程设计要求，该项工程下列项目材料、施工必须达到通用本规定的标准和以上标准外，还应满足下列标准要求：</w:t>
      </w:r>
    </w:p>
    <w:p>
      <w:pPr>
        <w:numPr>
          <w:ilvl w:val="0"/>
          <w:numId w:val="0"/>
        </w:numPr>
        <w:spacing w:line="360" w:lineRule="auto"/>
        <w:ind w:firstLine="480" w:firstLineChars="200"/>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none"/>
          <w:lang w:val="en-US" w:eastAsia="zh-CN"/>
        </w:rPr>
        <w:t>1、</w:t>
      </w:r>
      <w:r>
        <w:rPr>
          <w:rFonts w:hint="eastAsia" w:ascii="宋体" w:hAnsi="宋体" w:eastAsia="宋体" w:cs="宋体"/>
          <w:snapToGrid w:val="0"/>
          <w:color w:val="auto"/>
          <w:sz w:val="24"/>
          <w:highlight w:val="none"/>
          <w:u w:val="single"/>
        </w:rPr>
        <w:t>所有用于本项目产品均须完全符合国家有关标准和规范的要求,符合系统要求的线制等要求。</w:t>
      </w:r>
    </w:p>
    <w:p>
      <w:pPr>
        <w:numPr>
          <w:ilvl w:val="0"/>
          <w:numId w:val="0"/>
        </w:numPr>
        <w:spacing w:line="360" w:lineRule="auto"/>
        <w:ind w:firstLine="480" w:firstLineChars="200"/>
        <w:rPr>
          <w:rFonts w:hint="eastAsia" w:ascii="宋体" w:hAnsi="宋体" w:eastAsia="宋体" w:cs="宋体"/>
          <w:color w:val="auto"/>
        </w:rPr>
      </w:pPr>
      <w:r>
        <w:rPr>
          <w:rFonts w:hint="eastAsia" w:ascii="宋体" w:hAnsi="宋体" w:eastAsia="宋体" w:cs="宋体"/>
          <w:snapToGrid w:val="0"/>
          <w:color w:val="auto"/>
          <w:sz w:val="24"/>
          <w:highlight w:val="none"/>
          <w:u w:val="none"/>
          <w:lang w:val="en-US" w:eastAsia="zh-CN"/>
        </w:rPr>
        <w:t>2、</w:t>
      </w:r>
      <w:r>
        <w:rPr>
          <w:rFonts w:hint="eastAsia" w:ascii="宋体" w:hAnsi="宋体" w:eastAsia="宋体" w:cs="宋体"/>
          <w:snapToGrid w:val="0"/>
          <w:color w:val="auto"/>
          <w:sz w:val="24"/>
          <w:highlight w:val="none"/>
          <w:u w:val="single"/>
        </w:rPr>
        <w:t>承包人应对所用于本项目的设备质量、规格、性能、数量和重量等进行详细而全面的检验，并要求出具一份证明货物符合合同规定的检验证书，检验证书是付款时提交文件的一个组成部份，但不能作为有关质量、规格、性能、数量或重量的最终检验。设备检验的结果和细节应附在质量检验证书后面。</w:t>
      </w:r>
    </w:p>
    <w:p>
      <w:pPr>
        <w:numPr>
          <w:ilvl w:val="0"/>
          <w:numId w:val="0"/>
        </w:numPr>
        <w:spacing w:line="360" w:lineRule="auto"/>
        <w:ind w:firstLine="480" w:firstLineChars="200"/>
        <w:rPr>
          <w:rFonts w:hint="eastAsia"/>
          <w:color w:val="auto"/>
        </w:rPr>
      </w:pPr>
      <w:r>
        <w:rPr>
          <w:rFonts w:hint="eastAsia" w:ascii="宋体" w:hAnsi="宋体" w:eastAsia="宋体" w:cs="宋体"/>
          <w:snapToGrid w:val="0"/>
          <w:color w:val="auto"/>
          <w:sz w:val="24"/>
          <w:highlight w:val="none"/>
          <w:u w:val="none"/>
          <w:lang w:val="en-US" w:eastAsia="zh-CN"/>
        </w:rPr>
        <w:t>3、</w:t>
      </w:r>
      <w:r>
        <w:rPr>
          <w:rFonts w:hint="eastAsia" w:ascii="宋体" w:hAnsi="宋体" w:eastAsia="宋体" w:cs="宋体"/>
          <w:snapToGrid w:val="0"/>
          <w:color w:val="auto"/>
          <w:sz w:val="24"/>
          <w:highlight w:val="none"/>
          <w:u w:val="single"/>
        </w:rPr>
        <w:t>承包人应要求厂家对设备免费保养、保修、质保期为验收合格并正式移交给买方使用之日起</w:t>
      </w:r>
      <w:r>
        <w:rPr>
          <w:rFonts w:hint="eastAsia" w:ascii="宋体" w:hAnsi="宋体" w:eastAsia="宋体" w:cs="宋体"/>
          <w:snapToGrid w:val="0"/>
          <w:color w:val="auto"/>
          <w:sz w:val="24"/>
          <w:highlight w:val="none"/>
          <w:u w:val="single"/>
          <w:lang w:val="en-US" w:eastAsia="zh-CN"/>
        </w:rPr>
        <w:t>24</w:t>
      </w:r>
      <w:r>
        <w:rPr>
          <w:rFonts w:hint="eastAsia" w:ascii="宋体" w:hAnsi="宋体" w:eastAsia="宋体" w:cs="宋体"/>
          <w:snapToGrid w:val="0"/>
          <w:color w:val="auto"/>
          <w:sz w:val="24"/>
          <w:highlight w:val="none"/>
          <w:u w:val="single"/>
        </w:rPr>
        <w:t>个月。如果在规定的保证期内，发现货物的质量或规格与合同要求不符，或货物被证实有缺陷，包括潜在的缺陷,使用不合适的材料等，承包人应承担一切责任及相关费用。</w:t>
      </w:r>
    </w:p>
    <w:p>
      <w:pPr>
        <w:pStyle w:val="5"/>
        <w:numPr>
          <w:ilvl w:val="1"/>
          <w:numId w:val="20"/>
        </w:numPr>
        <w:spacing w:before="720" w:after="12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14" w:name="_Toc525120860"/>
      <w:bookmarkStart w:id="415" w:name="_Toc17245"/>
      <w:bookmarkStart w:id="416" w:name="_Toc63471522"/>
      <w:bookmarkStart w:id="417" w:name="_Toc49663153"/>
      <w:bookmarkStart w:id="418" w:name="_Toc200772282"/>
      <w:bookmarkStart w:id="419" w:name="_Toc215480843"/>
      <w:r>
        <w:rPr>
          <w:rFonts w:hint="eastAsia" w:ascii="宋体" w:hAnsi="宋体" w:eastAsia="宋体" w:cs="宋体"/>
          <w:b w:val="0"/>
          <w:bCs w:val="0"/>
          <w:color w:val="auto"/>
          <w:highlight w:val="none"/>
        </w:rPr>
        <w:t>施</w:t>
      </w:r>
      <w:bookmarkStart w:id="420" w:name="_Toc13309423"/>
      <w:r>
        <w:rPr>
          <w:rFonts w:hint="eastAsia" w:ascii="宋体" w:hAnsi="宋体" w:eastAsia="宋体" w:cs="宋体"/>
          <w:b w:val="0"/>
          <w:bCs w:val="0"/>
          <w:color w:val="auto"/>
          <w:highlight w:val="none"/>
        </w:rPr>
        <w:t>工现场管理要求</w:t>
      </w:r>
      <w:bookmarkEnd w:id="414"/>
      <w:bookmarkEnd w:id="415"/>
    </w:p>
    <w:bookmarkEnd w:id="416"/>
    <w:bookmarkEnd w:id="417"/>
    <w:bookmarkEnd w:id="418"/>
    <w:bookmarkEnd w:id="419"/>
    <w:bookmarkEnd w:id="420"/>
    <w:p>
      <w:pPr>
        <w:pStyle w:val="5"/>
        <w:keepNext w:val="0"/>
        <w:keepLines w:val="0"/>
        <w:numPr>
          <w:ilvl w:val="2"/>
          <w:numId w:val="25"/>
        </w:numPr>
        <w:spacing w:before="0" w:after="0" w:line="400" w:lineRule="exact"/>
        <w:ind w:left="0"/>
        <w:rPr>
          <w:rFonts w:hint="eastAsia" w:ascii="宋体" w:hAnsi="宋体" w:eastAsia="宋体" w:cs="宋体"/>
          <w:b w:val="0"/>
          <w:bCs w:val="0"/>
          <w:snapToGrid w:val="0"/>
          <w:color w:val="auto"/>
          <w:sz w:val="28"/>
          <w:szCs w:val="28"/>
          <w:highlight w:val="none"/>
        </w:rPr>
      </w:pPr>
      <w:bookmarkStart w:id="421" w:name="_Toc13309424"/>
      <w:bookmarkStart w:id="422" w:name="_Toc533752131"/>
      <w:bookmarkStart w:id="423" w:name="_Toc511165203"/>
      <w:bookmarkStart w:id="424" w:name="_Toc13987"/>
      <w:bookmarkStart w:id="425" w:name="_Toc49663154"/>
      <w:bookmarkStart w:id="426" w:name="_Toc200772283"/>
      <w:bookmarkStart w:id="427" w:name="_Toc16140"/>
      <w:bookmarkStart w:id="428" w:name="_Toc459792628"/>
      <w:bookmarkStart w:id="429" w:name="_Toc63471523"/>
      <w:bookmarkStart w:id="430" w:name="_Toc215480844"/>
      <w:bookmarkStart w:id="431" w:name="_Toc63471527"/>
      <w:bookmarkStart w:id="432" w:name="_Toc49663158"/>
      <w:bookmarkStart w:id="433" w:name="_Toc215480857"/>
      <w:bookmarkStart w:id="434" w:name="_Toc525120865"/>
      <w:r>
        <w:rPr>
          <w:rFonts w:hint="eastAsia" w:ascii="宋体" w:hAnsi="宋体" w:eastAsia="宋体" w:cs="宋体"/>
          <w:b w:val="0"/>
          <w:bCs w:val="0"/>
          <w:snapToGrid w:val="0"/>
          <w:color w:val="auto"/>
          <w:sz w:val="28"/>
          <w:szCs w:val="28"/>
          <w:highlight w:val="none"/>
        </w:rPr>
        <w:t>现场安全防护设施要求</w:t>
      </w:r>
      <w:bookmarkEnd w:id="421"/>
      <w:bookmarkEnd w:id="422"/>
      <w:bookmarkEnd w:id="423"/>
      <w:bookmarkEnd w:id="424"/>
      <w:bookmarkEnd w:id="425"/>
      <w:bookmarkEnd w:id="426"/>
      <w:bookmarkEnd w:id="427"/>
      <w:bookmarkEnd w:id="428"/>
      <w:bookmarkEnd w:id="429"/>
      <w:bookmarkEnd w:id="430"/>
    </w:p>
    <w:p>
      <w:pPr>
        <w:pStyle w:val="5"/>
        <w:keepNext w:val="0"/>
        <w:keepLines w:val="0"/>
        <w:numPr>
          <w:ilvl w:val="0"/>
          <w:numId w:val="0"/>
        </w:numPr>
        <w:spacing w:after="0" w:line="400" w:lineRule="exact"/>
        <w:ind w:firstLine="480" w:firstLineChars="200"/>
        <w:rPr>
          <w:rFonts w:hint="eastAsia" w:ascii="宋体" w:hAnsi="宋体" w:eastAsia="宋体" w:cs="宋体"/>
          <w:b w:val="0"/>
          <w:snapToGrid w:val="0"/>
          <w:color w:val="auto"/>
          <w:sz w:val="24"/>
          <w:highlight w:val="none"/>
          <w:u w:val="single"/>
        </w:rPr>
      </w:pPr>
      <w:bookmarkStart w:id="435" w:name="_Toc10298"/>
      <w:bookmarkStart w:id="436" w:name="_Toc7234"/>
      <w:bookmarkStart w:id="437" w:name="_Toc511165204"/>
      <w:bookmarkStart w:id="438" w:name="_Toc533752132"/>
      <w:bookmarkStart w:id="439" w:name="_Toc2118"/>
      <w:bookmarkStart w:id="440" w:name="_Toc459790947"/>
      <w:bookmarkStart w:id="441" w:name="_Toc26077"/>
      <w:bookmarkStart w:id="442" w:name="_Toc459791155"/>
      <w:bookmarkStart w:id="443" w:name="_Toc459792629"/>
      <w:bookmarkStart w:id="444" w:name="_Toc16342"/>
      <w:bookmarkStart w:id="445" w:name="_Toc200772284"/>
      <w:bookmarkStart w:id="446" w:name="_Toc13309425"/>
      <w:bookmarkStart w:id="447" w:name="_Toc49663155"/>
      <w:bookmarkStart w:id="448" w:name="_Toc63471524"/>
      <w:bookmarkStart w:id="449" w:name="_Toc215480845"/>
      <w:r>
        <w:rPr>
          <w:rFonts w:hint="eastAsia" w:ascii="宋体" w:hAnsi="宋体" w:eastAsia="宋体" w:cs="宋体"/>
          <w:b w:val="0"/>
          <w:color w:val="auto"/>
          <w:sz w:val="24"/>
          <w:szCs w:val="24"/>
          <w:highlight w:val="none"/>
          <w:u w:val="single"/>
        </w:rPr>
        <w:t>承担施工安全保卫工作及非夜间施工照明的责任和要求：在实施和完成本合同工程过程中，承包人应：①时刻关注和采取适当措施保障所有在场工作人员的安全，保证工程施工安全，现场施工应当保持有条不紊，避免上述人员的安全受到威胁；②为了保护本合同工程免遭损坏，或为了现场附近和过往群众的安全与方便，在必要的时候和地方，或当监理工程师或有关主管部门要求时，应负责提供照明、警卫、护栅、警告标志等安全防护措施，并承担责任。③施工期间，工地发生的一切安全、违法、违规事件，承包人负责处理并承担因承包人原因造成的责任。</w:t>
      </w:r>
      <w:bookmarkEnd w:id="435"/>
      <w:bookmarkEnd w:id="436"/>
      <w:bookmarkEnd w:id="437"/>
      <w:bookmarkEnd w:id="438"/>
      <w:bookmarkEnd w:id="439"/>
      <w:bookmarkEnd w:id="440"/>
      <w:bookmarkEnd w:id="441"/>
      <w:bookmarkEnd w:id="442"/>
      <w:bookmarkEnd w:id="443"/>
      <w:bookmarkEnd w:id="444"/>
    </w:p>
    <w:p>
      <w:pPr>
        <w:pStyle w:val="5"/>
        <w:keepNext w:val="0"/>
        <w:keepLines w:val="0"/>
        <w:numPr>
          <w:ilvl w:val="2"/>
          <w:numId w:val="25"/>
        </w:numPr>
        <w:spacing w:before="0" w:after="0" w:line="400" w:lineRule="exact"/>
        <w:ind w:left="0"/>
        <w:rPr>
          <w:rFonts w:hint="eastAsia" w:ascii="宋体" w:hAnsi="宋体" w:eastAsia="宋体" w:cs="宋体"/>
          <w:b w:val="0"/>
          <w:bCs w:val="0"/>
          <w:snapToGrid w:val="0"/>
          <w:color w:val="auto"/>
          <w:sz w:val="28"/>
          <w:szCs w:val="28"/>
          <w:highlight w:val="none"/>
        </w:rPr>
      </w:pPr>
      <w:bookmarkStart w:id="450" w:name="_Toc511165205"/>
      <w:bookmarkStart w:id="451" w:name="_Toc13183"/>
      <w:bookmarkStart w:id="452" w:name="_Toc533752133"/>
      <w:bookmarkStart w:id="453" w:name="_Toc459792630"/>
      <w:bookmarkStart w:id="454" w:name="_Toc12765"/>
      <w:r>
        <w:rPr>
          <w:rFonts w:hint="eastAsia" w:ascii="宋体" w:hAnsi="宋体" w:eastAsia="宋体" w:cs="宋体"/>
          <w:b w:val="0"/>
          <w:bCs w:val="0"/>
          <w:snapToGrid w:val="0"/>
          <w:color w:val="auto"/>
          <w:sz w:val="28"/>
          <w:szCs w:val="28"/>
          <w:highlight w:val="none"/>
        </w:rPr>
        <w:t>水土保持与环境要求</w:t>
      </w:r>
      <w:bookmarkEnd w:id="445"/>
      <w:bookmarkEnd w:id="446"/>
      <w:bookmarkEnd w:id="447"/>
      <w:bookmarkEnd w:id="448"/>
      <w:bookmarkEnd w:id="449"/>
      <w:bookmarkEnd w:id="450"/>
      <w:bookmarkEnd w:id="451"/>
      <w:bookmarkEnd w:id="452"/>
      <w:bookmarkEnd w:id="453"/>
      <w:bookmarkEnd w:id="454"/>
    </w:p>
    <w:p>
      <w:pPr>
        <w:spacing w:line="400" w:lineRule="exact"/>
        <w:ind w:firstLine="480" w:firstLineChars="200"/>
        <w:rPr>
          <w:rFonts w:hint="eastAsia" w:ascii="宋体" w:hAnsi="宋体" w:eastAsia="宋体" w:cs="宋体"/>
          <w:color w:val="auto"/>
          <w:highlight w:val="none"/>
          <w:u w:val="single"/>
        </w:rPr>
      </w:pPr>
      <w:r>
        <w:rPr>
          <w:rFonts w:hint="eastAsia" w:ascii="宋体" w:hAnsi="宋体" w:eastAsia="宋体" w:cs="宋体"/>
          <w:snapToGrid w:val="0"/>
          <w:color w:val="auto"/>
          <w:sz w:val="24"/>
          <w:highlight w:val="none"/>
          <w:u w:val="single"/>
        </w:rPr>
        <w:t>承包人应按照有关规定做好施工场地的水土保持，确保工程施工污水不对周边环境造成污染，同时，承包人还应当按照经监理人批准的施工组织设计或施工方案组织施工，减少和减低施工噪声、废气排放，符合环境管理部门的要求。</w:t>
      </w:r>
    </w:p>
    <w:p>
      <w:pPr>
        <w:pStyle w:val="5"/>
        <w:keepNext w:val="0"/>
        <w:keepLines w:val="0"/>
        <w:numPr>
          <w:ilvl w:val="2"/>
          <w:numId w:val="25"/>
        </w:numPr>
        <w:spacing w:before="0" w:after="0" w:line="400" w:lineRule="exact"/>
        <w:ind w:left="0"/>
        <w:rPr>
          <w:rFonts w:hint="eastAsia" w:ascii="宋体" w:hAnsi="宋体" w:eastAsia="宋体" w:cs="宋体"/>
          <w:b w:val="0"/>
          <w:bCs w:val="0"/>
          <w:snapToGrid w:val="0"/>
          <w:color w:val="auto"/>
          <w:sz w:val="28"/>
          <w:szCs w:val="28"/>
          <w:highlight w:val="none"/>
        </w:rPr>
      </w:pPr>
      <w:bookmarkStart w:id="455" w:name="_Toc16672"/>
      <w:bookmarkStart w:id="456" w:name="_Toc13309426"/>
      <w:bookmarkStart w:id="457" w:name="_Toc200772285"/>
      <w:bookmarkStart w:id="458" w:name="_Toc511165206"/>
      <w:bookmarkStart w:id="459" w:name="_Toc459792631"/>
      <w:bookmarkStart w:id="460" w:name="_Toc63471525"/>
      <w:bookmarkStart w:id="461" w:name="_Toc533752134"/>
      <w:bookmarkStart w:id="462" w:name="_Toc5467"/>
      <w:bookmarkStart w:id="463" w:name="_Toc215480846"/>
      <w:bookmarkStart w:id="464" w:name="_Toc49663156"/>
      <w:r>
        <w:rPr>
          <w:rFonts w:hint="eastAsia" w:ascii="宋体" w:hAnsi="宋体" w:eastAsia="宋体" w:cs="宋体"/>
          <w:b w:val="0"/>
          <w:bCs w:val="0"/>
          <w:snapToGrid w:val="0"/>
          <w:color w:val="auto"/>
          <w:sz w:val="28"/>
          <w:szCs w:val="28"/>
          <w:highlight w:val="none"/>
        </w:rPr>
        <w:t>文明施工要求</w:t>
      </w:r>
      <w:bookmarkEnd w:id="455"/>
      <w:bookmarkEnd w:id="456"/>
      <w:bookmarkEnd w:id="457"/>
      <w:bookmarkEnd w:id="458"/>
      <w:bookmarkEnd w:id="459"/>
      <w:bookmarkEnd w:id="460"/>
      <w:bookmarkEnd w:id="461"/>
      <w:bookmarkEnd w:id="462"/>
      <w:bookmarkEnd w:id="463"/>
      <w:bookmarkEnd w:id="464"/>
    </w:p>
    <w:p>
      <w:pPr>
        <w:spacing w:line="400" w:lineRule="exact"/>
        <w:ind w:firstLine="480" w:firstLineChars="200"/>
        <w:rPr>
          <w:rFonts w:hint="eastAsia" w:ascii="宋体" w:hAnsi="宋体" w:eastAsia="宋体" w:cs="宋体"/>
          <w:color w:val="auto"/>
          <w:highlight w:val="none"/>
          <w:u w:val="single"/>
        </w:rPr>
      </w:pPr>
      <w:bookmarkStart w:id="465" w:name="_Toc13309427"/>
      <w:bookmarkStart w:id="466" w:name="_Toc63471526"/>
      <w:bookmarkStart w:id="467" w:name="_Toc49663157"/>
      <w:bookmarkStart w:id="468" w:name="_Toc215480847"/>
      <w:r>
        <w:rPr>
          <w:rFonts w:hint="eastAsia" w:ascii="宋体" w:hAnsi="宋体" w:eastAsia="宋体" w:cs="宋体"/>
          <w:color w:val="auto"/>
          <w:sz w:val="24"/>
          <w:highlight w:val="none"/>
          <w:u w:val="single"/>
        </w:rPr>
        <w:t>国家有关法律法规规定应由施工单位承担安全生产责任的工作、我省和项目所在地建设行政主管部门、安全生产管理部门的建筑施工安全、施工现场环境与卫生标准规定施工单位应履行安全职责的工作以及发包人对建筑工程安全防护、文明施工措施有特殊要求的工作均为承包人的安全工作内容，承包人应予以执行；安全防护、文明施工措施费是发包人按照有关规定给承包人的专项费用，承包人应当确保专款专用；承包人的此项费用开支应接受发包人和监理人的监督；承包人未按照有关规范、标准和合同要求做好安全工作的，发包人有权不予支付费用。</w:t>
      </w:r>
    </w:p>
    <w:p>
      <w:pPr>
        <w:pStyle w:val="5"/>
        <w:keepNext w:val="0"/>
        <w:keepLines w:val="0"/>
        <w:numPr>
          <w:ilvl w:val="2"/>
          <w:numId w:val="25"/>
        </w:numPr>
        <w:spacing w:before="0" w:after="0" w:line="400" w:lineRule="exact"/>
        <w:ind w:left="0"/>
        <w:rPr>
          <w:rFonts w:hint="eastAsia" w:ascii="宋体" w:hAnsi="宋体" w:eastAsia="宋体" w:cs="宋体"/>
          <w:b w:val="0"/>
          <w:bCs w:val="0"/>
          <w:snapToGrid w:val="0"/>
          <w:color w:val="auto"/>
          <w:sz w:val="28"/>
          <w:szCs w:val="28"/>
          <w:highlight w:val="none"/>
        </w:rPr>
      </w:pPr>
      <w:bookmarkStart w:id="469" w:name="_Toc533752135"/>
      <w:bookmarkStart w:id="470" w:name="_Toc511165207"/>
      <w:bookmarkStart w:id="471" w:name="_Toc14706"/>
      <w:bookmarkStart w:id="472" w:name="_Toc459792632"/>
      <w:bookmarkStart w:id="473" w:name="_Toc23484"/>
      <w:r>
        <w:rPr>
          <w:rFonts w:hint="eastAsia" w:ascii="宋体" w:hAnsi="宋体" w:eastAsia="宋体" w:cs="宋体"/>
          <w:b w:val="0"/>
          <w:bCs w:val="0"/>
          <w:snapToGrid w:val="0"/>
          <w:color w:val="auto"/>
          <w:sz w:val="28"/>
          <w:szCs w:val="28"/>
          <w:highlight w:val="none"/>
        </w:rPr>
        <w:t>施工机具进场要求</w:t>
      </w:r>
      <w:bookmarkEnd w:id="465"/>
      <w:bookmarkEnd w:id="466"/>
      <w:bookmarkEnd w:id="467"/>
      <w:bookmarkEnd w:id="468"/>
      <w:bookmarkEnd w:id="469"/>
      <w:bookmarkEnd w:id="470"/>
      <w:bookmarkEnd w:id="471"/>
      <w:bookmarkEnd w:id="472"/>
      <w:bookmarkEnd w:id="473"/>
    </w:p>
    <w:p>
      <w:pPr>
        <w:spacing w:line="400" w:lineRule="exact"/>
        <w:ind w:firstLine="480" w:firstLineChars="20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u w:val="single"/>
        </w:rPr>
        <w:t>承包人必须按照经监理人批准的施工组织设计或施工方案，根据工程施工进度需要，组织施工机具进场。承包人的施工机具进场后，应及时向监理人报备。未经监理人的批准同意，承包人的施工机具不得擅自离场。承包人的施工机具应按照监理人和发包人指定的场所摆放和保管，不得影响他人的施工活动，不得造成安全问题</w:t>
      </w:r>
      <w:r>
        <w:rPr>
          <w:rFonts w:hint="eastAsia" w:ascii="宋体" w:hAnsi="宋体" w:eastAsia="宋体" w:cs="宋体"/>
          <w:snapToGrid w:val="0"/>
          <w:color w:val="auto"/>
          <w:sz w:val="24"/>
          <w:highlight w:val="none"/>
        </w:rPr>
        <w:t>。</w:t>
      </w:r>
    </w:p>
    <w:p>
      <w:pPr>
        <w:pStyle w:val="2"/>
        <w:rPr>
          <w:rFonts w:hint="eastAsia" w:ascii="宋体" w:hAnsi="宋体" w:eastAsia="宋体" w:cs="宋体"/>
          <w:snapToGrid w:val="0"/>
          <w:color w:val="auto"/>
          <w:sz w:val="24"/>
          <w:highlight w:val="none"/>
        </w:rPr>
      </w:pPr>
    </w:p>
    <w:p>
      <w:pPr>
        <w:pStyle w:val="2"/>
        <w:rPr>
          <w:rFonts w:hint="eastAsia" w:ascii="宋体" w:hAnsi="宋体" w:eastAsia="宋体" w:cs="宋体"/>
          <w:snapToGrid w:val="0"/>
          <w:color w:val="auto"/>
          <w:sz w:val="24"/>
          <w:highlight w:val="none"/>
        </w:rPr>
      </w:pPr>
    </w:p>
    <w:p>
      <w:pPr>
        <w:pStyle w:val="2"/>
        <w:rPr>
          <w:rFonts w:hint="eastAsia" w:ascii="宋体" w:hAnsi="宋体" w:eastAsia="宋体" w:cs="宋体"/>
          <w:snapToGrid w:val="0"/>
          <w:color w:val="auto"/>
          <w:sz w:val="24"/>
          <w:highlight w:val="none"/>
        </w:rPr>
      </w:pPr>
    </w:p>
    <w:p>
      <w:pPr>
        <w:pStyle w:val="2"/>
        <w:rPr>
          <w:rFonts w:hint="eastAsia" w:ascii="宋体" w:hAnsi="宋体" w:eastAsia="宋体" w:cs="宋体"/>
          <w:snapToGrid w:val="0"/>
          <w:color w:val="auto"/>
          <w:sz w:val="24"/>
          <w:highlight w:val="none"/>
        </w:rPr>
      </w:pPr>
    </w:p>
    <w:p>
      <w:pPr>
        <w:pStyle w:val="2"/>
        <w:rPr>
          <w:rFonts w:hint="eastAsia" w:ascii="宋体" w:hAnsi="宋体" w:eastAsia="宋体" w:cs="宋体"/>
          <w:snapToGrid w:val="0"/>
          <w:color w:val="auto"/>
          <w:sz w:val="24"/>
          <w:highlight w:val="none"/>
        </w:rPr>
      </w:pPr>
    </w:p>
    <w:p>
      <w:pPr>
        <w:pStyle w:val="2"/>
        <w:rPr>
          <w:rFonts w:hint="eastAsia" w:ascii="宋体" w:hAnsi="宋体" w:eastAsia="宋体" w:cs="宋体"/>
          <w:snapToGrid w:val="0"/>
          <w:color w:val="auto"/>
          <w:sz w:val="24"/>
          <w:highlight w:val="none"/>
        </w:rPr>
      </w:pPr>
    </w:p>
    <w:p>
      <w:pPr>
        <w:pStyle w:val="2"/>
        <w:rPr>
          <w:rFonts w:hint="eastAsia" w:ascii="宋体" w:hAnsi="宋体" w:eastAsia="宋体" w:cs="宋体"/>
          <w:snapToGrid w:val="0"/>
          <w:color w:val="auto"/>
          <w:sz w:val="24"/>
          <w:highlight w:val="none"/>
        </w:rPr>
      </w:pPr>
    </w:p>
    <w:p>
      <w:pPr>
        <w:pStyle w:val="5"/>
        <w:numPr>
          <w:ilvl w:val="1"/>
          <w:numId w:val="20"/>
        </w:numPr>
        <w:spacing w:before="480" w:after="120" w:line="360" w:lineRule="auto"/>
        <w:jc w:val="center"/>
        <w:rPr>
          <w:rFonts w:hint="eastAsia" w:ascii="宋体" w:hAnsi="宋体" w:eastAsia="宋体" w:cs="宋体"/>
          <w:b w:val="0"/>
          <w:bCs w:val="0"/>
          <w:color w:val="auto"/>
          <w:highlight w:val="none"/>
          <w:u w:val="single"/>
        </w:rPr>
      </w:pPr>
      <w:bookmarkStart w:id="474" w:name="_Toc12892"/>
      <w:r>
        <w:rPr>
          <w:rFonts w:hint="eastAsia" w:ascii="宋体" w:hAnsi="宋体" w:eastAsia="宋体" w:cs="宋体"/>
          <w:b w:val="0"/>
          <w:bCs w:val="0"/>
          <w:color w:val="auto"/>
          <w:highlight w:val="none"/>
        </w:rPr>
        <w:t>招</w:t>
      </w:r>
      <w:bookmarkEnd w:id="431"/>
      <w:bookmarkEnd w:id="432"/>
      <w:bookmarkEnd w:id="433"/>
      <w:bookmarkStart w:id="475" w:name="_Toc13309428"/>
      <w:r>
        <w:rPr>
          <w:rFonts w:hint="eastAsia" w:ascii="宋体" w:hAnsi="宋体" w:eastAsia="宋体" w:cs="宋体"/>
          <w:b w:val="0"/>
          <w:bCs w:val="0"/>
          <w:color w:val="auto"/>
          <w:highlight w:val="none"/>
        </w:rPr>
        <w:t>标人对工程主要材料设备的要求</w:t>
      </w:r>
      <w:bookmarkEnd w:id="434"/>
      <w:bookmarkEnd w:id="474"/>
    </w:p>
    <w:bookmarkEnd w:id="475"/>
    <w:p>
      <w:pPr>
        <w:pStyle w:val="5"/>
        <w:numPr>
          <w:ilvl w:val="2"/>
          <w:numId w:val="26"/>
        </w:numPr>
        <w:rPr>
          <w:rFonts w:hint="eastAsia" w:ascii="宋体" w:hAnsi="宋体" w:eastAsia="宋体" w:cs="宋体"/>
          <w:b w:val="0"/>
          <w:bCs w:val="0"/>
          <w:color w:val="auto"/>
          <w:sz w:val="28"/>
          <w:highlight w:val="none"/>
        </w:rPr>
      </w:pPr>
      <w:bookmarkStart w:id="476" w:name="_Toc525120866"/>
      <w:bookmarkStart w:id="477" w:name="_Toc4477"/>
      <w:r>
        <w:rPr>
          <w:rFonts w:hint="eastAsia" w:ascii="宋体" w:hAnsi="宋体" w:eastAsia="宋体" w:cs="宋体"/>
          <w:b w:val="0"/>
          <w:bCs w:val="0"/>
          <w:color w:val="auto"/>
          <w:sz w:val="28"/>
          <w:highlight w:val="none"/>
        </w:rPr>
        <w:t>技</w:t>
      </w:r>
      <w:bookmarkStart w:id="478" w:name="_Toc13309429"/>
      <w:bookmarkStart w:id="479" w:name="_Toc215480858"/>
      <w:bookmarkStart w:id="480" w:name="_Toc49663159"/>
      <w:bookmarkStart w:id="481" w:name="_Toc63471528"/>
      <w:r>
        <w:rPr>
          <w:rFonts w:hint="eastAsia" w:ascii="宋体" w:hAnsi="宋体" w:eastAsia="宋体" w:cs="宋体"/>
          <w:b w:val="0"/>
          <w:bCs w:val="0"/>
          <w:color w:val="auto"/>
          <w:sz w:val="28"/>
          <w:highlight w:val="none"/>
        </w:rPr>
        <w:t>术要求</w:t>
      </w:r>
      <w:bookmarkEnd w:id="476"/>
      <w:bookmarkEnd w:id="477"/>
    </w:p>
    <w:bookmarkEnd w:id="478"/>
    <w:bookmarkEnd w:id="479"/>
    <w:bookmarkEnd w:id="480"/>
    <w:bookmarkEnd w:id="481"/>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pPr>
        <w:pStyle w:val="5"/>
        <w:numPr>
          <w:ilvl w:val="2"/>
          <w:numId w:val="26"/>
        </w:numPr>
        <w:rPr>
          <w:rFonts w:hint="eastAsia" w:ascii="宋体" w:hAnsi="宋体" w:eastAsia="宋体" w:cs="宋体"/>
          <w:b w:val="0"/>
          <w:bCs w:val="0"/>
          <w:color w:val="auto"/>
          <w:sz w:val="28"/>
          <w:highlight w:val="none"/>
        </w:rPr>
      </w:pPr>
      <w:bookmarkStart w:id="482" w:name="_Toc525120867"/>
      <w:bookmarkStart w:id="483" w:name="_Toc27175"/>
      <w:r>
        <w:rPr>
          <w:rFonts w:hint="eastAsia" w:ascii="宋体" w:hAnsi="宋体" w:eastAsia="宋体" w:cs="宋体"/>
          <w:b w:val="0"/>
          <w:bCs w:val="0"/>
          <w:color w:val="auto"/>
          <w:sz w:val="28"/>
          <w:highlight w:val="none"/>
        </w:rPr>
        <w:t>质</w:t>
      </w:r>
      <w:bookmarkStart w:id="484" w:name="_Toc215480859"/>
      <w:bookmarkStart w:id="485" w:name="_Toc63471529"/>
      <w:bookmarkStart w:id="486" w:name="_Toc13309430"/>
      <w:bookmarkStart w:id="487" w:name="_Toc49663160"/>
      <w:r>
        <w:rPr>
          <w:rFonts w:hint="eastAsia" w:ascii="宋体" w:hAnsi="宋体" w:eastAsia="宋体" w:cs="宋体"/>
          <w:b w:val="0"/>
          <w:bCs w:val="0"/>
          <w:color w:val="auto"/>
          <w:sz w:val="28"/>
          <w:highlight w:val="none"/>
        </w:rPr>
        <w:t>量要求</w:t>
      </w:r>
      <w:bookmarkEnd w:id="482"/>
      <w:bookmarkEnd w:id="483"/>
    </w:p>
    <w:bookmarkEnd w:id="484"/>
    <w:bookmarkEnd w:id="485"/>
    <w:bookmarkEnd w:id="486"/>
    <w:bookmarkEnd w:id="487"/>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pPr>
        <w:pStyle w:val="5"/>
        <w:pageBreakBefore/>
        <w:numPr>
          <w:ilvl w:val="2"/>
          <w:numId w:val="26"/>
        </w:numPr>
        <w:ind w:left="-108"/>
        <w:rPr>
          <w:rFonts w:hint="eastAsia" w:ascii="宋体" w:hAnsi="宋体" w:eastAsia="宋体" w:cs="宋体"/>
          <w:b w:val="0"/>
          <w:bCs w:val="0"/>
          <w:color w:val="auto"/>
          <w:sz w:val="28"/>
          <w:highlight w:val="none"/>
        </w:rPr>
      </w:pPr>
      <w:bookmarkStart w:id="488" w:name="_Toc17139"/>
      <w:bookmarkStart w:id="489" w:name="_Toc525120868"/>
      <w:r>
        <w:rPr>
          <w:rFonts w:hint="eastAsia" w:ascii="宋体" w:hAnsi="宋体" w:eastAsia="宋体" w:cs="宋体"/>
          <w:b w:val="0"/>
          <w:bCs w:val="0"/>
          <w:color w:val="auto"/>
          <w:sz w:val="28"/>
          <w:highlight w:val="none"/>
        </w:rPr>
        <w:t>参</w:t>
      </w:r>
      <w:bookmarkStart w:id="490" w:name="_Toc49663161"/>
      <w:bookmarkStart w:id="491" w:name="_Toc215480860"/>
      <w:bookmarkStart w:id="492" w:name="_Toc13309431"/>
      <w:bookmarkStart w:id="493" w:name="_Toc63471530"/>
      <w:r>
        <w:rPr>
          <w:rFonts w:hint="eastAsia" w:ascii="宋体" w:hAnsi="宋体" w:eastAsia="宋体" w:cs="宋体"/>
          <w:b w:val="0"/>
          <w:bCs w:val="0"/>
          <w:color w:val="auto"/>
          <w:sz w:val="28"/>
          <w:highlight w:val="none"/>
        </w:rPr>
        <w:t>考品牌</w:t>
      </w:r>
      <w:bookmarkEnd w:id="488"/>
      <w:bookmarkEnd w:id="489"/>
    </w:p>
    <w:bookmarkEnd w:id="490"/>
    <w:bookmarkEnd w:id="491"/>
    <w:bookmarkEnd w:id="492"/>
    <w:bookmarkEnd w:id="493"/>
    <w:p>
      <w:pPr>
        <w:ind w:firstLine="56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主要材料设备参考品牌明细表</w:t>
      </w:r>
    </w:p>
    <w:tbl>
      <w:tblPr>
        <w:tblStyle w:val="24"/>
        <w:tblW w:w="9098"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2014"/>
        <w:gridCol w:w="1858"/>
        <w:gridCol w:w="1269"/>
        <w:gridCol w:w="1371"/>
        <w:gridCol w:w="1389"/>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581" w:type="dxa"/>
            <w:vMerge w:val="restart"/>
            <w:noWrap w:val="0"/>
            <w:vAlign w:val="center"/>
          </w:tcPr>
          <w:p>
            <w:pPr>
              <w:jc w:val="center"/>
              <w:rPr>
                <w:rFonts w:hint="eastAsia" w:ascii="宋体" w:hAnsi="宋体" w:eastAsia="宋体" w:cs="宋体"/>
                <w:color w:val="auto"/>
                <w:sz w:val="21"/>
                <w:highlight w:val="none"/>
              </w:rPr>
            </w:pPr>
            <w:r>
              <w:rPr>
                <w:rFonts w:hint="eastAsia" w:ascii="宋体" w:hAnsi="宋体" w:cs="宋体"/>
                <w:color w:val="auto"/>
                <w:sz w:val="21"/>
              </w:rPr>
              <w:t>序号</w:t>
            </w:r>
          </w:p>
        </w:tc>
        <w:tc>
          <w:tcPr>
            <w:tcW w:w="2014" w:type="dxa"/>
            <w:vMerge w:val="restart"/>
            <w:noWrap w:val="0"/>
            <w:vAlign w:val="center"/>
          </w:tcPr>
          <w:p>
            <w:pPr>
              <w:jc w:val="center"/>
              <w:rPr>
                <w:rFonts w:hint="eastAsia" w:ascii="宋体" w:hAnsi="宋体" w:eastAsia="宋体" w:cs="宋体"/>
                <w:color w:val="auto"/>
                <w:sz w:val="21"/>
                <w:highlight w:val="none"/>
              </w:rPr>
            </w:pPr>
            <w:r>
              <w:rPr>
                <w:rFonts w:hint="eastAsia" w:ascii="宋体" w:hAnsi="宋体" w:cs="宋体"/>
                <w:color w:val="auto"/>
                <w:sz w:val="21"/>
              </w:rPr>
              <w:t>材料设备名称</w:t>
            </w:r>
          </w:p>
        </w:tc>
        <w:tc>
          <w:tcPr>
            <w:tcW w:w="1858" w:type="dxa"/>
            <w:vMerge w:val="restart"/>
            <w:noWrap w:val="0"/>
            <w:vAlign w:val="center"/>
          </w:tcPr>
          <w:p>
            <w:pPr>
              <w:jc w:val="center"/>
              <w:rPr>
                <w:rFonts w:hint="eastAsia" w:ascii="宋体" w:hAnsi="宋体" w:eastAsia="宋体" w:cs="宋体"/>
                <w:color w:val="auto"/>
                <w:sz w:val="21"/>
                <w:highlight w:val="none"/>
              </w:rPr>
            </w:pPr>
            <w:r>
              <w:rPr>
                <w:rFonts w:hint="eastAsia" w:ascii="宋体" w:hAnsi="宋体" w:cs="宋体"/>
                <w:color w:val="auto"/>
                <w:sz w:val="21"/>
              </w:rPr>
              <w:t>规格、型号、技术参数</w:t>
            </w:r>
          </w:p>
        </w:tc>
        <w:tc>
          <w:tcPr>
            <w:tcW w:w="4029" w:type="dxa"/>
            <w:gridSpan w:val="3"/>
            <w:noWrap w:val="0"/>
            <w:vAlign w:val="center"/>
          </w:tcPr>
          <w:p>
            <w:pPr>
              <w:jc w:val="center"/>
              <w:rPr>
                <w:rFonts w:hint="eastAsia" w:ascii="宋体" w:hAnsi="宋体" w:eastAsia="宋体" w:cs="宋体"/>
                <w:color w:val="auto"/>
                <w:sz w:val="21"/>
                <w:highlight w:val="none"/>
              </w:rPr>
            </w:pPr>
            <w:r>
              <w:rPr>
                <w:rFonts w:hint="eastAsia" w:ascii="宋体" w:hAnsi="宋体" w:cs="宋体"/>
                <w:color w:val="auto"/>
                <w:sz w:val="21"/>
              </w:rPr>
              <w:t>参考品牌</w:t>
            </w:r>
          </w:p>
        </w:tc>
        <w:tc>
          <w:tcPr>
            <w:tcW w:w="616" w:type="dxa"/>
            <w:vMerge w:val="restart"/>
            <w:noWrap w:val="0"/>
            <w:vAlign w:val="center"/>
          </w:tcPr>
          <w:p>
            <w:pPr>
              <w:jc w:val="center"/>
              <w:rPr>
                <w:rFonts w:hint="eastAsia" w:ascii="宋体" w:hAnsi="宋体" w:eastAsia="宋体" w:cs="宋体"/>
                <w:color w:val="auto"/>
                <w:sz w:val="21"/>
                <w:highlight w:val="none"/>
              </w:rPr>
            </w:pPr>
            <w:r>
              <w:rPr>
                <w:rFonts w:hint="eastAsia" w:ascii="宋体" w:hAnsi="宋体" w:cs="宋体"/>
                <w:color w:val="auto"/>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blHeader/>
        </w:trPr>
        <w:tc>
          <w:tcPr>
            <w:tcW w:w="581" w:type="dxa"/>
            <w:vMerge w:val="continue"/>
            <w:noWrap w:val="0"/>
            <w:vAlign w:val="top"/>
          </w:tcPr>
          <w:p>
            <w:pPr>
              <w:rPr>
                <w:rFonts w:hint="eastAsia" w:ascii="宋体" w:hAnsi="宋体" w:eastAsia="宋体" w:cs="宋体"/>
                <w:color w:val="auto"/>
                <w:highlight w:val="none"/>
              </w:rPr>
            </w:pPr>
          </w:p>
        </w:tc>
        <w:tc>
          <w:tcPr>
            <w:tcW w:w="2014" w:type="dxa"/>
            <w:vMerge w:val="continue"/>
            <w:noWrap w:val="0"/>
            <w:vAlign w:val="top"/>
          </w:tcPr>
          <w:p>
            <w:pPr>
              <w:rPr>
                <w:rFonts w:hint="eastAsia" w:ascii="宋体" w:hAnsi="宋体" w:eastAsia="宋体" w:cs="宋体"/>
                <w:color w:val="auto"/>
                <w:highlight w:val="none"/>
              </w:rPr>
            </w:pPr>
          </w:p>
        </w:tc>
        <w:tc>
          <w:tcPr>
            <w:tcW w:w="1858" w:type="dxa"/>
            <w:vMerge w:val="continue"/>
            <w:noWrap w:val="0"/>
            <w:vAlign w:val="top"/>
          </w:tcPr>
          <w:p>
            <w:pPr>
              <w:rPr>
                <w:rFonts w:hint="eastAsia" w:ascii="宋体" w:hAnsi="宋体" w:eastAsia="宋体" w:cs="宋体"/>
                <w:color w:val="auto"/>
                <w:highlight w:val="none"/>
              </w:rPr>
            </w:pPr>
          </w:p>
        </w:tc>
        <w:tc>
          <w:tcPr>
            <w:tcW w:w="1269" w:type="dxa"/>
            <w:noWrap w:val="0"/>
            <w:vAlign w:val="center"/>
          </w:tcPr>
          <w:p>
            <w:pPr>
              <w:jc w:val="center"/>
              <w:rPr>
                <w:rFonts w:hint="eastAsia" w:ascii="宋体" w:hAnsi="宋体" w:eastAsia="宋体" w:cs="宋体"/>
                <w:color w:val="auto"/>
                <w:sz w:val="21"/>
                <w:highlight w:val="none"/>
              </w:rPr>
            </w:pPr>
            <w:r>
              <w:rPr>
                <w:rFonts w:hint="eastAsia" w:ascii="宋体" w:hAnsi="宋体" w:cs="宋体"/>
                <w:color w:val="auto"/>
                <w:sz w:val="21"/>
              </w:rPr>
              <w:t>品牌1</w:t>
            </w:r>
          </w:p>
        </w:tc>
        <w:tc>
          <w:tcPr>
            <w:tcW w:w="1371" w:type="dxa"/>
            <w:noWrap w:val="0"/>
            <w:vAlign w:val="center"/>
          </w:tcPr>
          <w:p>
            <w:pPr>
              <w:jc w:val="center"/>
              <w:rPr>
                <w:rFonts w:hint="eastAsia" w:ascii="宋体" w:hAnsi="宋体" w:eastAsia="宋体" w:cs="宋体"/>
                <w:color w:val="auto"/>
                <w:sz w:val="21"/>
                <w:highlight w:val="none"/>
              </w:rPr>
            </w:pPr>
            <w:r>
              <w:rPr>
                <w:rFonts w:hint="eastAsia" w:ascii="宋体" w:hAnsi="宋体" w:cs="宋体"/>
                <w:color w:val="auto"/>
                <w:sz w:val="21"/>
              </w:rPr>
              <w:t>品牌2</w:t>
            </w:r>
          </w:p>
        </w:tc>
        <w:tc>
          <w:tcPr>
            <w:tcW w:w="1389" w:type="dxa"/>
            <w:noWrap w:val="0"/>
            <w:vAlign w:val="center"/>
          </w:tcPr>
          <w:p>
            <w:pPr>
              <w:jc w:val="center"/>
              <w:rPr>
                <w:rFonts w:hint="eastAsia" w:ascii="宋体" w:hAnsi="宋体" w:eastAsia="宋体" w:cs="宋体"/>
                <w:color w:val="auto"/>
                <w:highlight w:val="none"/>
              </w:rPr>
            </w:pPr>
            <w:r>
              <w:rPr>
                <w:rFonts w:hint="eastAsia" w:ascii="宋体" w:hAnsi="宋体" w:cs="宋体"/>
                <w:color w:val="auto"/>
                <w:sz w:val="21"/>
              </w:rPr>
              <w:t>品牌3</w:t>
            </w:r>
          </w:p>
        </w:tc>
        <w:tc>
          <w:tcPr>
            <w:tcW w:w="616" w:type="dxa"/>
            <w:vMerge w:val="continue"/>
            <w:noWrap w:val="0"/>
            <w:vAlign w:val="top"/>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center"/>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21590</wp:posOffset>
                      </wp:positionV>
                      <wp:extent cx="5696585" cy="3496310"/>
                      <wp:effectExtent l="2540" t="3810" r="15875" b="5080"/>
                      <wp:wrapNone/>
                      <wp:docPr id="3" name="直接箭头连接符 3"/>
                      <wp:cNvGraphicFramePr/>
                      <a:graphic xmlns:a="http://schemas.openxmlformats.org/drawingml/2006/main">
                        <a:graphicData uri="http://schemas.microsoft.com/office/word/2010/wordprocessingShape">
                          <wps:wsp>
                            <wps:cNvCnPr/>
                            <wps:spPr>
                              <a:xfrm>
                                <a:off x="0" y="0"/>
                                <a:ext cx="5696585" cy="34963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pt;margin-top:1.7pt;height:275.3pt;width:448.55pt;z-index:251659264;mso-width-relative:page;mso-height-relative:page;" filled="f" stroked="t" coordsize="21600,21600" o:gfxdata="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4hDatgAAAAIAQAADwAAAAAAAAABACAAAAAiAAAAZHJz&#10;L2Rvd25yZXYueG1sUEsBAhQAFAAAAAgAh07iQEUg70MEAgAA8gMAAA4AAAAAAAAAAQAgAAAAJwEA&#10;AGRycy9lMm9Eb2MueG1sUEsFBgAAAAAGAAYAWQEAAJ0FAAAAAA==&#10;">
                      <v:fill on="f" focussize="0,0"/>
                      <v:stroke color="#000000" joinstyle="round"/>
                      <v:imagedata o:title=""/>
                      <o:lock v:ext="edit" aspectratio="f"/>
                    </v:shape>
                  </w:pict>
                </mc:Fallback>
              </mc:AlternateContent>
            </w:r>
          </w:p>
        </w:tc>
        <w:tc>
          <w:tcPr>
            <w:tcW w:w="2014" w:type="dxa"/>
            <w:noWrap w:val="0"/>
            <w:vAlign w:val="center"/>
          </w:tcPr>
          <w:p>
            <w:pPr>
              <w:jc w:val="center"/>
              <w:rPr>
                <w:rFonts w:hint="eastAsia" w:ascii="宋体" w:hAnsi="宋体" w:eastAsia="宋体" w:cs="宋体"/>
                <w:color w:val="auto"/>
                <w:sz w:val="21"/>
                <w:highlight w:val="none"/>
              </w:rPr>
            </w:pPr>
          </w:p>
        </w:tc>
        <w:tc>
          <w:tcPr>
            <w:tcW w:w="1858" w:type="dxa"/>
            <w:noWrap w:val="0"/>
            <w:vAlign w:val="center"/>
          </w:tcPr>
          <w:p>
            <w:pPr>
              <w:jc w:val="center"/>
              <w:rPr>
                <w:rFonts w:hint="eastAsia" w:ascii="宋体" w:hAnsi="宋体" w:eastAsia="宋体" w:cs="宋体"/>
                <w:color w:val="auto"/>
                <w:sz w:val="21"/>
                <w:highlight w:val="none"/>
              </w:rPr>
            </w:pPr>
          </w:p>
        </w:tc>
        <w:tc>
          <w:tcPr>
            <w:tcW w:w="1269" w:type="dxa"/>
            <w:noWrap w:val="0"/>
            <w:vAlign w:val="center"/>
          </w:tcPr>
          <w:p>
            <w:pPr>
              <w:jc w:val="center"/>
              <w:rPr>
                <w:rFonts w:hint="eastAsia" w:ascii="宋体" w:hAnsi="宋体" w:eastAsia="宋体" w:cs="宋体"/>
                <w:color w:val="auto"/>
                <w:sz w:val="21"/>
                <w:szCs w:val="21"/>
                <w:highlight w:val="none"/>
              </w:rPr>
            </w:pPr>
          </w:p>
        </w:tc>
        <w:tc>
          <w:tcPr>
            <w:tcW w:w="1371" w:type="dxa"/>
            <w:noWrap w:val="0"/>
            <w:vAlign w:val="center"/>
          </w:tcPr>
          <w:p>
            <w:pPr>
              <w:jc w:val="center"/>
              <w:rPr>
                <w:rFonts w:hint="eastAsia" w:ascii="宋体" w:hAnsi="宋体" w:eastAsia="宋体" w:cs="宋体"/>
                <w:color w:val="auto"/>
                <w:sz w:val="21"/>
                <w:szCs w:val="21"/>
                <w:highlight w:val="none"/>
              </w:rPr>
            </w:pPr>
          </w:p>
        </w:tc>
        <w:tc>
          <w:tcPr>
            <w:tcW w:w="1389" w:type="dxa"/>
            <w:noWrap w:val="0"/>
            <w:vAlign w:val="center"/>
          </w:tcPr>
          <w:p>
            <w:pPr>
              <w:jc w:val="center"/>
              <w:rPr>
                <w:rFonts w:hint="eastAsia" w:ascii="宋体" w:hAnsi="宋体" w:eastAsia="宋体" w:cs="宋体"/>
                <w:color w:val="auto"/>
                <w:sz w:val="21"/>
                <w:szCs w:val="22"/>
                <w:highlight w:val="none"/>
              </w:rPr>
            </w:pPr>
          </w:p>
        </w:tc>
        <w:tc>
          <w:tcPr>
            <w:tcW w:w="616" w:type="dxa"/>
            <w:noWrap w:val="0"/>
            <w:vAlign w:val="center"/>
          </w:tcPr>
          <w:p>
            <w:pPr>
              <w:jc w:val="both"/>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center"/>
          </w:tcPr>
          <w:p>
            <w:pPr>
              <w:jc w:val="center"/>
              <w:rPr>
                <w:rFonts w:hint="eastAsia" w:ascii="宋体" w:hAnsi="宋体" w:eastAsia="宋体" w:cs="宋体"/>
                <w:color w:val="auto"/>
                <w:sz w:val="21"/>
                <w:highlight w:val="none"/>
                <w:lang w:val="en-US" w:eastAsia="zh-CN"/>
              </w:rPr>
            </w:pPr>
          </w:p>
        </w:tc>
        <w:tc>
          <w:tcPr>
            <w:tcW w:w="2014" w:type="dxa"/>
            <w:noWrap w:val="0"/>
            <w:vAlign w:val="center"/>
          </w:tcPr>
          <w:p>
            <w:pPr>
              <w:jc w:val="center"/>
              <w:rPr>
                <w:rFonts w:hint="eastAsia" w:ascii="宋体" w:hAnsi="宋体" w:eastAsia="宋体" w:cs="宋体"/>
                <w:color w:val="auto"/>
                <w:sz w:val="21"/>
                <w:szCs w:val="22"/>
                <w:highlight w:val="none"/>
              </w:rPr>
            </w:pPr>
          </w:p>
        </w:tc>
        <w:tc>
          <w:tcPr>
            <w:tcW w:w="1858" w:type="dxa"/>
            <w:noWrap w:val="0"/>
            <w:vAlign w:val="center"/>
          </w:tcPr>
          <w:p>
            <w:pPr>
              <w:jc w:val="center"/>
              <w:rPr>
                <w:rFonts w:hint="eastAsia" w:ascii="宋体" w:hAnsi="宋体" w:eastAsia="宋体" w:cs="宋体"/>
                <w:color w:val="auto"/>
                <w:sz w:val="21"/>
                <w:highlight w:val="none"/>
              </w:rPr>
            </w:pPr>
          </w:p>
        </w:tc>
        <w:tc>
          <w:tcPr>
            <w:tcW w:w="1269" w:type="dxa"/>
            <w:noWrap w:val="0"/>
            <w:vAlign w:val="center"/>
          </w:tcPr>
          <w:p>
            <w:pPr>
              <w:jc w:val="center"/>
              <w:rPr>
                <w:rFonts w:hint="eastAsia" w:ascii="宋体" w:hAnsi="宋体" w:eastAsia="宋体" w:cs="宋体"/>
                <w:color w:val="auto"/>
                <w:kern w:val="2"/>
                <w:sz w:val="21"/>
                <w:szCs w:val="21"/>
                <w:lang w:val="en-US" w:eastAsia="zh-CN" w:bidi="ar-SA"/>
              </w:rPr>
            </w:pPr>
          </w:p>
        </w:tc>
        <w:tc>
          <w:tcPr>
            <w:tcW w:w="1371" w:type="dxa"/>
            <w:noWrap w:val="0"/>
            <w:vAlign w:val="center"/>
          </w:tcPr>
          <w:p>
            <w:pPr>
              <w:jc w:val="center"/>
              <w:rPr>
                <w:rFonts w:hint="eastAsia" w:ascii="宋体" w:hAnsi="宋体" w:eastAsia="宋体" w:cs="宋体"/>
                <w:color w:val="auto"/>
                <w:kern w:val="2"/>
                <w:sz w:val="21"/>
                <w:szCs w:val="21"/>
                <w:lang w:val="en-US" w:eastAsia="zh-CN" w:bidi="ar-SA"/>
              </w:rPr>
            </w:pPr>
          </w:p>
        </w:tc>
        <w:tc>
          <w:tcPr>
            <w:tcW w:w="1389" w:type="dxa"/>
            <w:noWrap w:val="0"/>
            <w:vAlign w:val="center"/>
          </w:tcPr>
          <w:p>
            <w:pPr>
              <w:jc w:val="center"/>
              <w:rPr>
                <w:rFonts w:hint="eastAsia" w:ascii="宋体" w:hAnsi="宋体" w:eastAsia="宋体" w:cs="宋体"/>
                <w:color w:val="auto"/>
                <w:kern w:val="2"/>
                <w:sz w:val="21"/>
                <w:szCs w:val="22"/>
                <w:lang w:val="en-US" w:eastAsia="zh-CN" w:bidi="ar-SA"/>
              </w:rPr>
            </w:pPr>
          </w:p>
        </w:tc>
        <w:tc>
          <w:tcPr>
            <w:tcW w:w="616" w:type="dxa"/>
            <w:noWrap w:val="0"/>
            <w:vAlign w:val="center"/>
          </w:tcPr>
          <w:p>
            <w:pPr>
              <w:jc w:val="both"/>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center"/>
          </w:tcPr>
          <w:p>
            <w:pPr>
              <w:jc w:val="both"/>
              <w:rPr>
                <w:rFonts w:hint="eastAsia" w:ascii="宋体" w:hAnsi="宋体" w:eastAsia="宋体" w:cs="宋体"/>
                <w:color w:val="auto"/>
                <w:sz w:val="21"/>
                <w:highlight w:val="none"/>
              </w:rPr>
            </w:pPr>
          </w:p>
        </w:tc>
        <w:tc>
          <w:tcPr>
            <w:tcW w:w="2014" w:type="dxa"/>
            <w:noWrap w:val="0"/>
            <w:vAlign w:val="center"/>
          </w:tcPr>
          <w:p>
            <w:pPr>
              <w:jc w:val="both"/>
              <w:rPr>
                <w:rFonts w:hint="eastAsia" w:ascii="宋体" w:hAnsi="宋体" w:eastAsia="宋体" w:cs="宋体"/>
                <w:color w:val="auto"/>
                <w:sz w:val="21"/>
                <w:szCs w:val="22"/>
                <w:highlight w:val="none"/>
              </w:rPr>
            </w:pPr>
          </w:p>
        </w:tc>
        <w:tc>
          <w:tcPr>
            <w:tcW w:w="1858" w:type="dxa"/>
            <w:noWrap w:val="0"/>
            <w:vAlign w:val="center"/>
          </w:tcPr>
          <w:p>
            <w:pPr>
              <w:jc w:val="both"/>
              <w:rPr>
                <w:rFonts w:hint="eastAsia" w:ascii="宋体" w:hAnsi="宋体" w:eastAsia="宋体" w:cs="宋体"/>
                <w:color w:val="auto"/>
                <w:sz w:val="21"/>
                <w:highlight w:val="none"/>
              </w:rPr>
            </w:pPr>
          </w:p>
        </w:tc>
        <w:tc>
          <w:tcPr>
            <w:tcW w:w="1269" w:type="dxa"/>
            <w:noWrap w:val="0"/>
            <w:vAlign w:val="center"/>
          </w:tcPr>
          <w:p>
            <w:pPr>
              <w:jc w:val="both"/>
              <w:rPr>
                <w:rFonts w:hint="eastAsia" w:ascii="宋体" w:hAnsi="宋体" w:eastAsia="宋体" w:cs="宋体"/>
                <w:color w:val="auto"/>
                <w:sz w:val="21"/>
                <w:szCs w:val="21"/>
                <w:highlight w:val="none"/>
              </w:rPr>
            </w:pPr>
          </w:p>
        </w:tc>
        <w:tc>
          <w:tcPr>
            <w:tcW w:w="1371" w:type="dxa"/>
            <w:noWrap w:val="0"/>
            <w:vAlign w:val="center"/>
          </w:tcPr>
          <w:p>
            <w:pPr>
              <w:jc w:val="both"/>
              <w:rPr>
                <w:rFonts w:hint="eastAsia" w:ascii="宋体" w:hAnsi="宋体" w:eastAsia="宋体" w:cs="宋体"/>
                <w:color w:val="auto"/>
                <w:sz w:val="21"/>
                <w:szCs w:val="21"/>
                <w:highlight w:val="none"/>
              </w:rPr>
            </w:pPr>
          </w:p>
        </w:tc>
        <w:tc>
          <w:tcPr>
            <w:tcW w:w="1389" w:type="dxa"/>
            <w:noWrap w:val="0"/>
            <w:vAlign w:val="center"/>
          </w:tcPr>
          <w:p>
            <w:pPr>
              <w:jc w:val="both"/>
              <w:rPr>
                <w:rFonts w:hint="eastAsia" w:ascii="宋体" w:hAnsi="宋体" w:eastAsia="宋体" w:cs="宋体"/>
                <w:color w:val="auto"/>
                <w:sz w:val="21"/>
                <w:szCs w:val="22"/>
                <w:highlight w:val="none"/>
              </w:rPr>
            </w:pPr>
          </w:p>
        </w:tc>
        <w:tc>
          <w:tcPr>
            <w:tcW w:w="616" w:type="dxa"/>
            <w:noWrap w:val="0"/>
            <w:vAlign w:val="center"/>
          </w:tcPr>
          <w:p>
            <w:pPr>
              <w:jc w:val="both"/>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pPr>
              <w:rPr>
                <w:rFonts w:hint="eastAsia" w:ascii="宋体" w:hAnsi="宋体" w:eastAsia="宋体" w:cs="宋体"/>
                <w:color w:val="auto"/>
                <w:sz w:val="21"/>
                <w:highlight w:val="none"/>
              </w:rPr>
            </w:pPr>
          </w:p>
        </w:tc>
        <w:tc>
          <w:tcPr>
            <w:tcW w:w="2014" w:type="dxa"/>
            <w:noWrap w:val="0"/>
            <w:vAlign w:val="top"/>
          </w:tcPr>
          <w:p>
            <w:pPr>
              <w:rPr>
                <w:rFonts w:hint="eastAsia" w:ascii="宋体" w:hAnsi="宋体" w:eastAsia="宋体" w:cs="宋体"/>
                <w:color w:val="auto"/>
                <w:sz w:val="21"/>
                <w:szCs w:val="22"/>
                <w:highlight w:val="none"/>
              </w:rPr>
            </w:pPr>
          </w:p>
        </w:tc>
        <w:tc>
          <w:tcPr>
            <w:tcW w:w="1858" w:type="dxa"/>
            <w:noWrap w:val="0"/>
            <w:vAlign w:val="top"/>
          </w:tcPr>
          <w:p>
            <w:pPr>
              <w:rPr>
                <w:rFonts w:hint="eastAsia" w:ascii="宋体" w:hAnsi="宋体" w:eastAsia="宋体" w:cs="宋体"/>
                <w:color w:val="auto"/>
                <w:sz w:val="21"/>
                <w:highlight w:val="none"/>
              </w:rPr>
            </w:pPr>
          </w:p>
        </w:tc>
        <w:tc>
          <w:tcPr>
            <w:tcW w:w="1269" w:type="dxa"/>
            <w:noWrap w:val="0"/>
            <w:vAlign w:val="top"/>
          </w:tcPr>
          <w:p>
            <w:pPr>
              <w:rPr>
                <w:rFonts w:hint="eastAsia" w:ascii="宋体" w:hAnsi="宋体" w:eastAsia="宋体" w:cs="宋体"/>
                <w:color w:val="auto"/>
                <w:sz w:val="21"/>
                <w:szCs w:val="21"/>
                <w:highlight w:val="none"/>
              </w:rPr>
            </w:pPr>
          </w:p>
        </w:tc>
        <w:tc>
          <w:tcPr>
            <w:tcW w:w="1371" w:type="dxa"/>
            <w:noWrap w:val="0"/>
            <w:vAlign w:val="top"/>
          </w:tcPr>
          <w:p>
            <w:pPr>
              <w:rPr>
                <w:rFonts w:hint="eastAsia" w:ascii="宋体" w:hAnsi="宋体" w:eastAsia="宋体" w:cs="宋体"/>
                <w:color w:val="auto"/>
                <w:sz w:val="21"/>
                <w:szCs w:val="21"/>
                <w:highlight w:val="none"/>
              </w:rPr>
            </w:pPr>
          </w:p>
        </w:tc>
        <w:tc>
          <w:tcPr>
            <w:tcW w:w="1389" w:type="dxa"/>
            <w:noWrap w:val="0"/>
            <w:vAlign w:val="top"/>
          </w:tcPr>
          <w:p>
            <w:pPr>
              <w:rPr>
                <w:rFonts w:hint="eastAsia" w:ascii="宋体" w:hAnsi="宋体" w:eastAsia="宋体" w:cs="宋体"/>
                <w:color w:val="auto"/>
                <w:sz w:val="21"/>
                <w:szCs w:val="22"/>
                <w:highlight w:val="none"/>
              </w:rPr>
            </w:pPr>
          </w:p>
        </w:tc>
        <w:tc>
          <w:tcPr>
            <w:tcW w:w="616" w:type="dxa"/>
            <w:noWrap w:val="0"/>
            <w:vAlign w:val="top"/>
          </w:tcPr>
          <w:p>
            <w:pPr>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pPr>
              <w:rPr>
                <w:rFonts w:hint="eastAsia" w:ascii="宋体" w:hAnsi="宋体" w:eastAsia="宋体" w:cs="宋体"/>
                <w:color w:val="auto"/>
                <w:sz w:val="21"/>
                <w:highlight w:val="none"/>
              </w:rPr>
            </w:pPr>
          </w:p>
        </w:tc>
        <w:tc>
          <w:tcPr>
            <w:tcW w:w="2014" w:type="dxa"/>
            <w:noWrap w:val="0"/>
            <w:vAlign w:val="top"/>
          </w:tcPr>
          <w:p>
            <w:pPr>
              <w:rPr>
                <w:rFonts w:hint="eastAsia" w:ascii="宋体" w:hAnsi="宋体" w:eastAsia="宋体" w:cs="宋体"/>
                <w:color w:val="auto"/>
                <w:sz w:val="21"/>
                <w:szCs w:val="22"/>
                <w:highlight w:val="none"/>
              </w:rPr>
            </w:pPr>
          </w:p>
        </w:tc>
        <w:tc>
          <w:tcPr>
            <w:tcW w:w="1858" w:type="dxa"/>
            <w:noWrap w:val="0"/>
            <w:vAlign w:val="top"/>
          </w:tcPr>
          <w:p>
            <w:pPr>
              <w:rPr>
                <w:rFonts w:hint="eastAsia" w:ascii="宋体" w:hAnsi="宋体" w:eastAsia="宋体" w:cs="宋体"/>
                <w:color w:val="auto"/>
                <w:sz w:val="21"/>
                <w:highlight w:val="none"/>
              </w:rPr>
            </w:pPr>
          </w:p>
        </w:tc>
        <w:tc>
          <w:tcPr>
            <w:tcW w:w="1269" w:type="dxa"/>
            <w:noWrap w:val="0"/>
            <w:vAlign w:val="top"/>
          </w:tcPr>
          <w:p>
            <w:pPr>
              <w:rPr>
                <w:rFonts w:hint="eastAsia" w:ascii="宋体" w:hAnsi="宋体" w:eastAsia="宋体" w:cs="宋体"/>
                <w:color w:val="auto"/>
                <w:sz w:val="21"/>
                <w:szCs w:val="21"/>
                <w:highlight w:val="none"/>
              </w:rPr>
            </w:pPr>
          </w:p>
        </w:tc>
        <w:tc>
          <w:tcPr>
            <w:tcW w:w="1371" w:type="dxa"/>
            <w:noWrap w:val="0"/>
            <w:vAlign w:val="top"/>
          </w:tcPr>
          <w:p>
            <w:pPr>
              <w:rPr>
                <w:rFonts w:hint="eastAsia" w:ascii="宋体" w:hAnsi="宋体" w:eastAsia="宋体" w:cs="宋体"/>
                <w:color w:val="auto"/>
                <w:sz w:val="21"/>
                <w:szCs w:val="21"/>
                <w:highlight w:val="none"/>
              </w:rPr>
            </w:pPr>
          </w:p>
        </w:tc>
        <w:tc>
          <w:tcPr>
            <w:tcW w:w="1389" w:type="dxa"/>
            <w:noWrap w:val="0"/>
            <w:vAlign w:val="top"/>
          </w:tcPr>
          <w:p>
            <w:pPr>
              <w:rPr>
                <w:rFonts w:hint="eastAsia" w:ascii="宋体" w:hAnsi="宋体" w:eastAsia="宋体" w:cs="宋体"/>
                <w:color w:val="auto"/>
                <w:sz w:val="21"/>
                <w:szCs w:val="22"/>
                <w:highlight w:val="none"/>
              </w:rPr>
            </w:pPr>
          </w:p>
        </w:tc>
        <w:tc>
          <w:tcPr>
            <w:tcW w:w="616" w:type="dxa"/>
            <w:noWrap w:val="0"/>
            <w:vAlign w:val="top"/>
          </w:tcPr>
          <w:p>
            <w:pPr>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pPr>
              <w:rPr>
                <w:rFonts w:hint="eastAsia" w:ascii="宋体" w:hAnsi="宋体" w:eastAsia="宋体" w:cs="宋体"/>
                <w:color w:val="auto"/>
                <w:sz w:val="21"/>
                <w:highlight w:val="none"/>
              </w:rPr>
            </w:pPr>
          </w:p>
        </w:tc>
        <w:tc>
          <w:tcPr>
            <w:tcW w:w="2014" w:type="dxa"/>
            <w:noWrap w:val="0"/>
            <w:vAlign w:val="top"/>
          </w:tcPr>
          <w:p>
            <w:pPr>
              <w:rPr>
                <w:rFonts w:hint="eastAsia" w:ascii="宋体" w:hAnsi="宋体" w:eastAsia="宋体" w:cs="宋体"/>
                <w:color w:val="auto"/>
                <w:sz w:val="21"/>
                <w:szCs w:val="22"/>
                <w:highlight w:val="none"/>
              </w:rPr>
            </w:pPr>
          </w:p>
        </w:tc>
        <w:tc>
          <w:tcPr>
            <w:tcW w:w="1858" w:type="dxa"/>
            <w:noWrap w:val="0"/>
            <w:vAlign w:val="top"/>
          </w:tcPr>
          <w:p>
            <w:pPr>
              <w:rPr>
                <w:rFonts w:hint="eastAsia" w:ascii="宋体" w:hAnsi="宋体" w:eastAsia="宋体" w:cs="宋体"/>
                <w:color w:val="auto"/>
                <w:sz w:val="21"/>
                <w:highlight w:val="none"/>
              </w:rPr>
            </w:pPr>
          </w:p>
        </w:tc>
        <w:tc>
          <w:tcPr>
            <w:tcW w:w="1269" w:type="dxa"/>
            <w:noWrap w:val="0"/>
            <w:vAlign w:val="top"/>
          </w:tcPr>
          <w:p>
            <w:pPr>
              <w:rPr>
                <w:rFonts w:hint="eastAsia" w:ascii="宋体" w:hAnsi="宋体" w:eastAsia="宋体" w:cs="宋体"/>
                <w:color w:val="auto"/>
                <w:sz w:val="21"/>
                <w:szCs w:val="21"/>
                <w:highlight w:val="none"/>
              </w:rPr>
            </w:pPr>
          </w:p>
        </w:tc>
        <w:tc>
          <w:tcPr>
            <w:tcW w:w="1371" w:type="dxa"/>
            <w:noWrap w:val="0"/>
            <w:vAlign w:val="top"/>
          </w:tcPr>
          <w:p>
            <w:pPr>
              <w:rPr>
                <w:rFonts w:hint="eastAsia" w:ascii="宋体" w:hAnsi="宋体" w:eastAsia="宋体" w:cs="宋体"/>
                <w:color w:val="auto"/>
                <w:sz w:val="21"/>
                <w:szCs w:val="21"/>
                <w:highlight w:val="none"/>
              </w:rPr>
            </w:pPr>
          </w:p>
        </w:tc>
        <w:tc>
          <w:tcPr>
            <w:tcW w:w="1389" w:type="dxa"/>
            <w:noWrap w:val="0"/>
            <w:vAlign w:val="top"/>
          </w:tcPr>
          <w:p>
            <w:pPr>
              <w:rPr>
                <w:rFonts w:hint="eastAsia" w:ascii="宋体" w:hAnsi="宋体" w:eastAsia="宋体" w:cs="宋体"/>
                <w:color w:val="auto"/>
                <w:sz w:val="21"/>
                <w:szCs w:val="22"/>
                <w:highlight w:val="none"/>
              </w:rPr>
            </w:pPr>
          </w:p>
        </w:tc>
        <w:tc>
          <w:tcPr>
            <w:tcW w:w="616" w:type="dxa"/>
            <w:noWrap w:val="0"/>
            <w:vAlign w:val="top"/>
          </w:tcPr>
          <w:p>
            <w:pPr>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pPr>
              <w:rPr>
                <w:rFonts w:hint="eastAsia" w:ascii="宋体" w:hAnsi="宋体" w:eastAsia="宋体" w:cs="宋体"/>
                <w:color w:val="auto"/>
                <w:sz w:val="21"/>
                <w:highlight w:val="none"/>
              </w:rPr>
            </w:pPr>
          </w:p>
        </w:tc>
        <w:tc>
          <w:tcPr>
            <w:tcW w:w="2014" w:type="dxa"/>
            <w:noWrap w:val="0"/>
            <w:vAlign w:val="top"/>
          </w:tcPr>
          <w:p>
            <w:pPr>
              <w:rPr>
                <w:rFonts w:hint="eastAsia" w:ascii="宋体" w:hAnsi="宋体" w:eastAsia="宋体" w:cs="宋体"/>
                <w:color w:val="auto"/>
                <w:sz w:val="21"/>
                <w:szCs w:val="22"/>
                <w:highlight w:val="none"/>
              </w:rPr>
            </w:pPr>
          </w:p>
        </w:tc>
        <w:tc>
          <w:tcPr>
            <w:tcW w:w="1858" w:type="dxa"/>
            <w:noWrap w:val="0"/>
            <w:vAlign w:val="top"/>
          </w:tcPr>
          <w:p>
            <w:pPr>
              <w:rPr>
                <w:rFonts w:hint="eastAsia" w:ascii="宋体" w:hAnsi="宋体" w:eastAsia="宋体" w:cs="宋体"/>
                <w:color w:val="auto"/>
                <w:sz w:val="21"/>
                <w:highlight w:val="none"/>
              </w:rPr>
            </w:pPr>
          </w:p>
        </w:tc>
        <w:tc>
          <w:tcPr>
            <w:tcW w:w="1269" w:type="dxa"/>
            <w:noWrap w:val="0"/>
            <w:vAlign w:val="top"/>
          </w:tcPr>
          <w:p>
            <w:pPr>
              <w:rPr>
                <w:rFonts w:hint="eastAsia" w:ascii="宋体" w:hAnsi="宋体" w:eastAsia="宋体" w:cs="宋体"/>
                <w:color w:val="auto"/>
                <w:sz w:val="21"/>
                <w:szCs w:val="21"/>
                <w:highlight w:val="none"/>
              </w:rPr>
            </w:pPr>
          </w:p>
        </w:tc>
        <w:tc>
          <w:tcPr>
            <w:tcW w:w="1371" w:type="dxa"/>
            <w:noWrap w:val="0"/>
            <w:vAlign w:val="top"/>
          </w:tcPr>
          <w:p>
            <w:pPr>
              <w:rPr>
                <w:rFonts w:hint="eastAsia" w:ascii="宋体" w:hAnsi="宋体" w:eastAsia="宋体" w:cs="宋体"/>
                <w:color w:val="auto"/>
                <w:sz w:val="21"/>
                <w:szCs w:val="21"/>
                <w:highlight w:val="none"/>
              </w:rPr>
            </w:pPr>
          </w:p>
        </w:tc>
        <w:tc>
          <w:tcPr>
            <w:tcW w:w="1389" w:type="dxa"/>
            <w:noWrap w:val="0"/>
            <w:vAlign w:val="top"/>
          </w:tcPr>
          <w:p>
            <w:pPr>
              <w:rPr>
                <w:rFonts w:hint="eastAsia" w:ascii="宋体" w:hAnsi="宋体" w:eastAsia="宋体" w:cs="宋体"/>
                <w:color w:val="auto"/>
                <w:sz w:val="21"/>
                <w:szCs w:val="22"/>
                <w:highlight w:val="none"/>
              </w:rPr>
            </w:pPr>
          </w:p>
        </w:tc>
        <w:tc>
          <w:tcPr>
            <w:tcW w:w="616" w:type="dxa"/>
            <w:noWrap w:val="0"/>
            <w:vAlign w:val="top"/>
          </w:tcPr>
          <w:p>
            <w:pPr>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pPr>
              <w:rPr>
                <w:rFonts w:hint="eastAsia" w:ascii="宋体" w:hAnsi="宋体" w:eastAsia="宋体" w:cs="宋体"/>
                <w:color w:val="auto"/>
                <w:sz w:val="21"/>
                <w:highlight w:val="none"/>
              </w:rPr>
            </w:pPr>
          </w:p>
        </w:tc>
        <w:tc>
          <w:tcPr>
            <w:tcW w:w="2014" w:type="dxa"/>
            <w:noWrap w:val="0"/>
            <w:vAlign w:val="top"/>
          </w:tcPr>
          <w:p>
            <w:pPr>
              <w:rPr>
                <w:rFonts w:hint="eastAsia" w:ascii="宋体" w:hAnsi="宋体" w:eastAsia="宋体" w:cs="宋体"/>
                <w:color w:val="auto"/>
                <w:sz w:val="21"/>
                <w:szCs w:val="22"/>
                <w:highlight w:val="none"/>
              </w:rPr>
            </w:pPr>
          </w:p>
        </w:tc>
        <w:tc>
          <w:tcPr>
            <w:tcW w:w="1858" w:type="dxa"/>
            <w:noWrap w:val="0"/>
            <w:vAlign w:val="top"/>
          </w:tcPr>
          <w:p>
            <w:pPr>
              <w:rPr>
                <w:rFonts w:hint="eastAsia" w:ascii="宋体" w:hAnsi="宋体" w:eastAsia="宋体" w:cs="宋体"/>
                <w:color w:val="auto"/>
                <w:sz w:val="21"/>
                <w:highlight w:val="none"/>
              </w:rPr>
            </w:pPr>
          </w:p>
        </w:tc>
        <w:tc>
          <w:tcPr>
            <w:tcW w:w="1269" w:type="dxa"/>
            <w:noWrap w:val="0"/>
            <w:vAlign w:val="top"/>
          </w:tcPr>
          <w:p>
            <w:pPr>
              <w:rPr>
                <w:rFonts w:hint="eastAsia" w:ascii="宋体" w:hAnsi="宋体" w:eastAsia="宋体" w:cs="宋体"/>
                <w:color w:val="auto"/>
                <w:sz w:val="21"/>
                <w:szCs w:val="21"/>
                <w:highlight w:val="none"/>
              </w:rPr>
            </w:pPr>
          </w:p>
        </w:tc>
        <w:tc>
          <w:tcPr>
            <w:tcW w:w="1371" w:type="dxa"/>
            <w:noWrap w:val="0"/>
            <w:vAlign w:val="top"/>
          </w:tcPr>
          <w:p>
            <w:pPr>
              <w:rPr>
                <w:rFonts w:hint="eastAsia" w:ascii="宋体" w:hAnsi="宋体" w:eastAsia="宋体" w:cs="宋体"/>
                <w:color w:val="auto"/>
                <w:sz w:val="21"/>
                <w:szCs w:val="21"/>
                <w:highlight w:val="none"/>
              </w:rPr>
            </w:pPr>
          </w:p>
        </w:tc>
        <w:tc>
          <w:tcPr>
            <w:tcW w:w="1389" w:type="dxa"/>
            <w:noWrap w:val="0"/>
            <w:vAlign w:val="top"/>
          </w:tcPr>
          <w:p>
            <w:pPr>
              <w:rPr>
                <w:rFonts w:hint="eastAsia" w:ascii="宋体" w:hAnsi="宋体" w:eastAsia="宋体" w:cs="宋体"/>
                <w:color w:val="auto"/>
                <w:sz w:val="21"/>
                <w:szCs w:val="22"/>
                <w:highlight w:val="none"/>
              </w:rPr>
            </w:pPr>
          </w:p>
        </w:tc>
        <w:tc>
          <w:tcPr>
            <w:tcW w:w="616" w:type="dxa"/>
            <w:noWrap w:val="0"/>
            <w:vAlign w:val="top"/>
          </w:tcPr>
          <w:p>
            <w:pPr>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pPr>
              <w:rPr>
                <w:rFonts w:hint="eastAsia" w:ascii="宋体" w:hAnsi="宋体" w:eastAsia="宋体" w:cs="宋体"/>
                <w:color w:val="auto"/>
                <w:sz w:val="21"/>
                <w:highlight w:val="none"/>
              </w:rPr>
            </w:pPr>
          </w:p>
        </w:tc>
        <w:tc>
          <w:tcPr>
            <w:tcW w:w="2014" w:type="dxa"/>
            <w:noWrap w:val="0"/>
            <w:vAlign w:val="top"/>
          </w:tcPr>
          <w:p>
            <w:pPr>
              <w:rPr>
                <w:rFonts w:hint="eastAsia" w:ascii="宋体" w:hAnsi="宋体" w:eastAsia="宋体" w:cs="宋体"/>
                <w:color w:val="auto"/>
                <w:sz w:val="21"/>
                <w:szCs w:val="22"/>
                <w:highlight w:val="none"/>
              </w:rPr>
            </w:pPr>
          </w:p>
        </w:tc>
        <w:tc>
          <w:tcPr>
            <w:tcW w:w="1858" w:type="dxa"/>
            <w:noWrap w:val="0"/>
            <w:vAlign w:val="top"/>
          </w:tcPr>
          <w:p>
            <w:pPr>
              <w:rPr>
                <w:rFonts w:hint="eastAsia" w:ascii="宋体" w:hAnsi="宋体" w:eastAsia="宋体" w:cs="宋体"/>
                <w:color w:val="auto"/>
                <w:sz w:val="21"/>
                <w:highlight w:val="none"/>
              </w:rPr>
            </w:pPr>
          </w:p>
        </w:tc>
        <w:tc>
          <w:tcPr>
            <w:tcW w:w="1269" w:type="dxa"/>
            <w:noWrap w:val="0"/>
            <w:vAlign w:val="top"/>
          </w:tcPr>
          <w:p>
            <w:pPr>
              <w:rPr>
                <w:rFonts w:hint="eastAsia" w:ascii="宋体" w:hAnsi="宋体" w:eastAsia="宋体" w:cs="宋体"/>
                <w:color w:val="auto"/>
                <w:sz w:val="21"/>
                <w:szCs w:val="21"/>
                <w:highlight w:val="none"/>
              </w:rPr>
            </w:pPr>
          </w:p>
        </w:tc>
        <w:tc>
          <w:tcPr>
            <w:tcW w:w="1371" w:type="dxa"/>
            <w:noWrap w:val="0"/>
            <w:vAlign w:val="top"/>
          </w:tcPr>
          <w:p>
            <w:pPr>
              <w:rPr>
                <w:rFonts w:hint="eastAsia" w:ascii="宋体" w:hAnsi="宋体" w:eastAsia="宋体" w:cs="宋体"/>
                <w:color w:val="auto"/>
                <w:sz w:val="21"/>
                <w:szCs w:val="21"/>
                <w:highlight w:val="none"/>
              </w:rPr>
            </w:pPr>
          </w:p>
        </w:tc>
        <w:tc>
          <w:tcPr>
            <w:tcW w:w="1389" w:type="dxa"/>
            <w:noWrap w:val="0"/>
            <w:vAlign w:val="top"/>
          </w:tcPr>
          <w:p>
            <w:pPr>
              <w:rPr>
                <w:rFonts w:hint="eastAsia" w:ascii="宋体" w:hAnsi="宋体" w:eastAsia="宋体" w:cs="宋体"/>
                <w:color w:val="auto"/>
                <w:sz w:val="21"/>
                <w:szCs w:val="22"/>
                <w:highlight w:val="none"/>
              </w:rPr>
            </w:pPr>
          </w:p>
        </w:tc>
        <w:tc>
          <w:tcPr>
            <w:tcW w:w="616" w:type="dxa"/>
            <w:noWrap w:val="0"/>
            <w:vAlign w:val="top"/>
          </w:tcPr>
          <w:p>
            <w:pPr>
              <w:rPr>
                <w:rFonts w:hint="eastAsia" w:ascii="宋体" w:hAnsi="宋体" w:eastAsia="宋体" w:cs="宋体"/>
                <w:color w:val="auto"/>
                <w:sz w:val="21"/>
                <w:highlight w:val="none"/>
              </w:rPr>
            </w:pPr>
          </w:p>
        </w:tc>
      </w:tr>
    </w:tbl>
    <w:p>
      <w:pPr>
        <w:spacing w:before="156" w:beforeLines="50" w:line="360" w:lineRule="exact"/>
        <w:ind w:left="-420" w:leftChars="-200" w:right="-525" w:rightChars="-250" w:firstLine="396" w:firstLineChars="16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说明：</w:t>
      </w:r>
      <w:r>
        <w:rPr>
          <w:rFonts w:hint="eastAsia" w:ascii="宋体" w:hAnsi="宋体" w:eastAsia="宋体" w:cs="宋体"/>
          <w:color w:val="auto"/>
          <w:sz w:val="24"/>
          <w:highlight w:val="none"/>
        </w:rPr>
        <w:t>1.本招标项目招标人推荐的主要材料设备参考品牌如上表。参考品牌作为投标人投标参考。投标人可以直接选用参考品牌中的一种，也可以自行另选品牌，但</w:t>
      </w:r>
      <w:r>
        <w:rPr>
          <w:rFonts w:hint="eastAsia" w:ascii="宋体" w:hAnsi="宋体" w:eastAsia="宋体" w:cs="宋体"/>
          <w:b/>
          <w:color w:val="auto"/>
          <w:sz w:val="24"/>
          <w:highlight w:val="none"/>
          <w:u w:val="double"/>
        </w:rPr>
        <w:t>所选的品牌品质（品牌知名度、技术标准和质量等级）应当相当于或不低于参考品牌，否则，其投标将</w:t>
      </w:r>
      <w:r>
        <w:rPr>
          <w:rFonts w:hint="eastAsia" w:ascii="宋体" w:hAnsi="宋体" w:eastAsia="宋体" w:cs="宋体"/>
          <w:b/>
          <w:color w:val="auto"/>
          <w:spacing w:val="-6"/>
          <w:sz w:val="24"/>
          <w:highlight w:val="none"/>
          <w:u w:val="double"/>
        </w:rPr>
        <w:t>被拒绝</w:t>
      </w:r>
      <w:r>
        <w:rPr>
          <w:rFonts w:hint="eastAsia" w:ascii="宋体" w:hAnsi="宋体" w:eastAsia="宋体" w:cs="宋体"/>
          <w:color w:val="auto"/>
          <w:spacing w:val="-6"/>
          <w:sz w:val="24"/>
          <w:highlight w:val="none"/>
        </w:rPr>
        <w:t>。投标文件中未明确品牌的，投标人中标后应在参考品牌中选择一种经招标人同意的品牌进行采购和施工。在工程施工中，发包人与承包人协商后可更改部分品牌，并按实调整主材（设备）价格。承包人所用的主材（设备）须事先得到发包人批准后方可使用，发包人有权拒绝使用不符合招标文件规定标准的材料设备。</w:t>
      </w:r>
    </w:p>
    <w:p>
      <w:pPr>
        <w:spacing w:line="360" w:lineRule="exact"/>
        <w:ind w:left="-420" w:leftChars="-200" w:right="-525" w:rightChars="-250" w:firstLine="396" w:firstLineChars="16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2.投标人应同时阅读本招标工程量清单中的“主要材料设备参考品牌明细表”。</w:t>
      </w:r>
    </w:p>
    <w:p>
      <w:pPr>
        <w:spacing w:line="360" w:lineRule="exact"/>
        <w:ind w:left="-420" w:leftChars="-200" w:right="-525" w:rightChars="-250" w:firstLine="396" w:firstLineChars="165"/>
        <w:rPr>
          <w:rFonts w:hint="eastAsia" w:ascii="宋体" w:hAnsi="宋体" w:eastAsia="宋体" w:cs="宋体"/>
          <w:color w:val="auto"/>
          <w:sz w:val="24"/>
          <w:highlight w:val="none"/>
        </w:rPr>
      </w:pPr>
      <w:r>
        <w:rPr>
          <w:rFonts w:hint="eastAsia" w:ascii="宋体" w:hAnsi="宋体" w:eastAsia="宋体" w:cs="宋体"/>
          <w:color w:val="auto"/>
          <w:sz w:val="24"/>
          <w:highlight w:val="none"/>
        </w:rPr>
        <w:t>3.财政性投资项目的招标人或招标代理单位在推荐材料品牌时，优先选用福建的名优产品。</w:t>
      </w:r>
    </w:p>
    <w:p>
      <w:pPr>
        <w:pStyle w:val="5"/>
        <w:numPr>
          <w:ilvl w:val="1"/>
          <w:numId w:val="20"/>
        </w:numPr>
        <w:spacing w:before="480" w:after="120" w:line="360" w:lineRule="auto"/>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br w:type="page"/>
      </w:r>
      <w:bookmarkStart w:id="494" w:name="_Toc525120869"/>
      <w:bookmarkStart w:id="495" w:name="_Toc352"/>
      <w:r>
        <w:rPr>
          <w:rFonts w:hint="eastAsia" w:ascii="宋体" w:hAnsi="宋体" w:eastAsia="宋体" w:cs="宋体"/>
          <w:b w:val="0"/>
          <w:bCs w:val="0"/>
          <w:color w:val="auto"/>
          <w:highlight w:val="none"/>
        </w:rPr>
        <w:t>招</w:t>
      </w:r>
      <w:bookmarkStart w:id="496" w:name="_Toc63471531"/>
      <w:bookmarkStart w:id="497" w:name="_Toc49663162"/>
      <w:bookmarkStart w:id="498" w:name="_Toc215480861"/>
      <w:bookmarkStart w:id="499" w:name="_Toc13309432"/>
      <w:r>
        <w:rPr>
          <w:rFonts w:hint="eastAsia" w:ascii="宋体" w:hAnsi="宋体" w:eastAsia="宋体" w:cs="宋体"/>
          <w:b w:val="0"/>
          <w:bCs w:val="0"/>
          <w:color w:val="auto"/>
          <w:highlight w:val="none"/>
        </w:rPr>
        <w:t>标人自行采购的材料设备</w:t>
      </w:r>
      <w:bookmarkEnd w:id="494"/>
      <w:bookmarkEnd w:id="495"/>
    </w:p>
    <w:bookmarkEnd w:id="496"/>
    <w:bookmarkEnd w:id="497"/>
    <w:bookmarkEnd w:id="498"/>
    <w:bookmarkEnd w:id="499"/>
    <w:p>
      <w:pPr>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具体内容详见本招标工程量清单中的“发包人提供材料和工程设备一览表”。</w:t>
      </w:r>
    </w:p>
    <w:p>
      <w:pPr>
        <w:jc w:val="center"/>
        <w:rPr>
          <w:rFonts w:hint="eastAsia" w:ascii="宋体" w:hAnsi="宋体" w:eastAsia="宋体" w:cs="宋体"/>
          <w:color w:val="auto"/>
          <w:sz w:val="21"/>
          <w:szCs w:val="21"/>
          <w:highlight w:val="none"/>
        </w:rPr>
      </w:pPr>
    </w:p>
    <w:p>
      <w:pPr>
        <w:pStyle w:val="5"/>
        <w:numPr>
          <w:ilvl w:val="1"/>
          <w:numId w:val="20"/>
        </w:numPr>
        <w:spacing w:before="720" w:after="120" w:line="360" w:lineRule="auto"/>
        <w:jc w:val="center"/>
        <w:rPr>
          <w:rFonts w:hint="eastAsia" w:ascii="宋体" w:hAnsi="宋体" w:eastAsia="宋体" w:cs="宋体"/>
          <w:color w:val="auto"/>
          <w:sz w:val="28"/>
          <w:highlight w:val="none"/>
        </w:rPr>
      </w:pPr>
      <w:bookmarkStart w:id="500" w:name="_Toc503786593"/>
      <w:bookmarkStart w:id="501" w:name="_Toc22553"/>
      <w:r>
        <w:rPr>
          <w:rFonts w:hint="eastAsia" w:ascii="宋体" w:hAnsi="宋体" w:eastAsia="宋体" w:cs="宋体"/>
          <w:b w:val="0"/>
          <w:bCs w:val="0"/>
          <w:color w:val="auto"/>
          <w:highlight w:val="none"/>
        </w:rPr>
        <w:t>其他要求</w:t>
      </w:r>
      <w:bookmarkEnd w:id="500"/>
      <w:bookmarkEnd w:id="501"/>
    </w:p>
    <w:p>
      <w:pPr>
        <w:rPr>
          <w:rFonts w:hint="eastAsia" w:ascii="宋体" w:hAnsi="宋体" w:eastAsia="宋体" w:cs="宋体"/>
          <w:color w:val="auto"/>
          <w:highlight w:val="none"/>
        </w:rPr>
      </w:pPr>
    </w:p>
    <w:p>
      <w:pPr>
        <w:spacing w:line="520" w:lineRule="exact"/>
        <w:ind w:left="-2" w:leftChars="-1" w:firstLine="2"/>
        <w:rPr>
          <w:rFonts w:hint="default" w:ascii="宋体" w:hAnsi="宋体" w:eastAsia="宋体" w:cs="宋体"/>
          <w:snapToGrid w:val="0"/>
          <w:color w:val="auto"/>
          <w:sz w:val="24"/>
          <w:highlight w:val="none"/>
          <w:u w:val="single"/>
          <w:lang w:val="en-US" w:eastAsia="zh-CN"/>
        </w:rPr>
      </w:pPr>
      <w:r>
        <w:rPr>
          <w:rFonts w:hint="eastAsia" w:ascii="宋体" w:hAnsi="宋体" w:eastAsia="宋体" w:cs="宋体"/>
          <w:snapToGrid w:val="0"/>
          <w:color w:val="auto"/>
          <w:sz w:val="24"/>
          <w:highlight w:val="none"/>
          <w:u w:val="single"/>
          <w:lang w:val="en-US" w:eastAsia="zh-CN"/>
        </w:rPr>
        <w:t xml:space="preserve">   </w:t>
      </w:r>
      <w:r>
        <w:rPr>
          <w:rFonts w:hint="eastAsia" w:ascii="宋体" w:hAnsi="宋体" w:eastAsia="宋体" w:cs="宋体"/>
          <w:snapToGrid w:val="0"/>
          <w:color w:val="auto"/>
          <w:sz w:val="24"/>
          <w:highlight w:val="none"/>
          <w:u w:val="single"/>
        </w:rPr>
        <w:t>无</w:t>
      </w:r>
      <w:r>
        <w:rPr>
          <w:rFonts w:hint="eastAsia" w:ascii="宋体" w:hAnsi="宋体" w:eastAsia="宋体" w:cs="宋体"/>
          <w:snapToGrid w:val="0"/>
          <w:color w:val="auto"/>
          <w:sz w:val="24"/>
          <w:highlight w:val="none"/>
          <w:u w:val="single"/>
          <w:lang w:val="en-US" w:eastAsia="zh-CN"/>
        </w:rPr>
        <w:t xml:space="preserve">  </w:t>
      </w:r>
    </w:p>
    <w:p>
      <w:pPr>
        <w:rPr>
          <w:rFonts w:hint="eastAsia" w:ascii="宋体" w:hAnsi="宋体" w:eastAsia="宋体" w:cs="宋体"/>
          <w:color w:val="auto"/>
          <w:highlight w:val="none"/>
        </w:rPr>
      </w:pPr>
    </w:p>
    <w:p>
      <w:pPr>
        <w:pStyle w:val="4"/>
        <w:pageBreakBefore/>
        <w:spacing w:before="1440" w:after="120" w:line="360" w:lineRule="auto"/>
        <w:jc w:val="center"/>
        <w:rPr>
          <w:rFonts w:hint="eastAsia" w:ascii="宋体" w:hAnsi="宋体" w:eastAsia="宋体" w:cs="宋体"/>
          <w:color w:val="auto"/>
          <w:highlight w:val="none"/>
        </w:rPr>
      </w:pPr>
      <w:bookmarkStart w:id="502" w:name="_Toc6306"/>
      <w:bookmarkStart w:id="503" w:name="_Toc525120871"/>
      <w:r>
        <w:rPr>
          <w:rFonts w:hint="eastAsia" w:ascii="宋体" w:hAnsi="宋体" w:eastAsia="宋体" w:cs="宋体"/>
          <w:color w:val="auto"/>
          <w:highlight w:val="none"/>
        </w:rPr>
        <w:t>投</w:t>
      </w:r>
      <w:bookmarkEnd w:id="354"/>
      <w:bookmarkStart w:id="504" w:name="_Toc13309434"/>
      <w:r>
        <w:rPr>
          <w:rFonts w:hint="eastAsia" w:ascii="宋体" w:hAnsi="宋体" w:eastAsia="宋体" w:cs="宋体"/>
          <w:color w:val="auto"/>
          <w:highlight w:val="none"/>
        </w:rPr>
        <w:t>标文件格式</w:t>
      </w:r>
      <w:bookmarkEnd w:id="502"/>
      <w:bookmarkEnd w:id="503"/>
    </w:p>
    <w:p>
      <w:pPr>
        <w:jc w:val="center"/>
        <w:rPr>
          <w:rFonts w:hint="eastAsia" w:ascii="宋体" w:hAnsi="宋体" w:eastAsia="宋体" w:cs="宋体"/>
          <w:color w:val="auto"/>
          <w:kern w:val="2"/>
          <w:sz w:val="24"/>
          <w:szCs w:val="24"/>
          <w:highlight w:val="none"/>
        </w:rPr>
      </w:pPr>
      <w:r>
        <w:rPr>
          <w:rFonts w:hint="eastAsia" w:ascii="宋体" w:hAnsi="宋体" w:eastAsia="宋体" w:cs="宋体"/>
          <w:b/>
          <w:color w:val="auto"/>
          <w:sz w:val="32"/>
          <w:szCs w:val="32"/>
          <w:highlight w:val="none"/>
        </w:rPr>
        <w:t>说    明</w:t>
      </w:r>
    </w:p>
    <w:p>
      <w:pPr>
        <w:rPr>
          <w:rFonts w:hint="eastAsia" w:ascii="宋体" w:hAnsi="宋体" w:eastAsia="宋体" w:cs="宋体"/>
          <w:color w:val="auto"/>
          <w:kern w:val="2"/>
          <w:sz w:val="24"/>
          <w:szCs w:val="24"/>
          <w:highlight w:val="none"/>
        </w:rPr>
      </w:pPr>
    </w:p>
    <w:p>
      <w:pPr>
        <w:adjustRightInd/>
        <w:spacing w:line="600" w:lineRule="exact"/>
        <w:ind w:firstLine="480" w:firstLineChars="200"/>
        <w:rPr>
          <w:rFonts w:hint="eastAsia" w:ascii="宋体" w:hAnsi="宋体" w:eastAsia="宋体" w:cs="宋体"/>
          <w:b/>
          <w:bCs/>
          <w:color w:val="auto"/>
          <w:kern w:val="2"/>
          <w:sz w:val="24"/>
          <w:szCs w:val="24"/>
          <w:highlight w:val="none"/>
          <w:u w:val="double"/>
        </w:rPr>
      </w:pPr>
      <w:r>
        <w:rPr>
          <w:rFonts w:hint="eastAsia" w:ascii="宋体" w:hAnsi="宋体" w:eastAsia="宋体" w:cs="宋体"/>
          <w:b/>
          <w:bCs/>
          <w:color w:val="auto"/>
          <w:kern w:val="2"/>
          <w:sz w:val="24"/>
          <w:szCs w:val="24"/>
          <w:highlight w:val="none"/>
          <w:u w:val="double"/>
        </w:rPr>
        <w:t>1.本章格式文件中要求盖单位公章处是指加盖投标人的电子单位公章，个人盖章处是指加盖相应人员的电子姓名章。</w:t>
      </w:r>
    </w:p>
    <w:p>
      <w:pPr>
        <w:adjustRightInd/>
        <w:spacing w:line="600" w:lineRule="exact"/>
        <w:ind w:firstLine="480" w:firstLineChars="200"/>
        <w:rPr>
          <w:rFonts w:hint="eastAsia" w:ascii="宋体" w:hAnsi="宋体" w:eastAsia="宋体" w:cs="宋体"/>
          <w:b/>
          <w:bCs/>
          <w:color w:val="auto"/>
          <w:kern w:val="2"/>
          <w:sz w:val="24"/>
          <w:szCs w:val="24"/>
          <w:highlight w:val="none"/>
          <w:u w:val="double"/>
        </w:rPr>
      </w:pPr>
      <w:r>
        <w:rPr>
          <w:rFonts w:hint="eastAsia" w:ascii="宋体" w:hAnsi="宋体" w:eastAsia="宋体" w:cs="宋体"/>
          <w:b/>
          <w:bCs/>
          <w:color w:val="auto"/>
          <w:kern w:val="2"/>
          <w:sz w:val="24"/>
          <w:szCs w:val="24"/>
          <w:highlight w:val="none"/>
          <w:u w:val="double"/>
        </w:rPr>
        <w:t>2.本章格式文件中除另有说明外，投标格式中的盖投标人单位公章系指盖独立投标人或联合体牵头人单位公章。联合体投标需由法定代表人或委托代理人盖章的地方，应由联合体牵头人的法定代表人或其委托代理人盖章。</w:t>
      </w:r>
    </w:p>
    <w:p>
      <w:pPr>
        <w:adjustRightInd/>
        <w:spacing w:line="600" w:lineRule="exact"/>
        <w:ind w:firstLine="480" w:firstLineChars="200"/>
        <w:jc w:val="left"/>
        <w:rPr>
          <w:rFonts w:hint="eastAsia" w:ascii="宋体" w:hAnsi="宋体" w:eastAsia="宋体" w:cs="宋体"/>
          <w:b/>
          <w:bCs/>
          <w:color w:val="auto"/>
          <w:kern w:val="2"/>
          <w:sz w:val="24"/>
          <w:szCs w:val="24"/>
          <w:highlight w:val="none"/>
          <w:u w:val="double"/>
        </w:rPr>
      </w:pPr>
      <w:r>
        <w:rPr>
          <w:rFonts w:hint="eastAsia" w:ascii="宋体" w:hAnsi="宋体" w:eastAsia="宋体" w:cs="宋体"/>
          <w:b/>
          <w:color w:val="auto"/>
          <w:kern w:val="2"/>
          <w:sz w:val="24"/>
          <w:szCs w:val="24"/>
          <w:highlight w:val="none"/>
        </w:rPr>
        <w:t>3.</w:t>
      </w:r>
      <w:r>
        <w:rPr>
          <w:rFonts w:hint="eastAsia" w:ascii="宋体" w:hAnsi="宋体" w:eastAsia="宋体" w:cs="宋体"/>
          <w:b/>
          <w:bCs/>
          <w:color w:val="auto"/>
          <w:kern w:val="2"/>
          <w:sz w:val="24"/>
          <w:szCs w:val="24"/>
          <w:highlight w:val="none"/>
          <w:u w:val="double"/>
        </w:rPr>
        <w:t>招标文件要求提交的证件、单据等证明材料扫描件，应为原件彩色扫描件。</w:t>
      </w:r>
    </w:p>
    <w:p>
      <w:pPr>
        <w:adjustRightInd/>
        <w:spacing w:line="600" w:lineRule="exact"/>
        <w:rPr>
          <w:rFonts w:hint="eastAsia" w:ascii="宋体" w:hAnsi="宋体" w:eastAsia="宋体" w:cs="宋体"/>
          <w:color w:val="auto"/>
          <w:kern w:val="2"/>
          <w:sz w:val="21"/>
          <w:szCs w:val="21"/>
          <w:highlight w:val="none"/>
        </w:rPr>
        <w:sectPr>
          <w:pgSz w:w="11905" w:h="16838"/>
          <w:pgMar w:top="1134" w:right="1219" w:bottom="1134" w:left="1332" w:header="652" w:footer="652" w:gutter="0"/>
          <w:cols w:space="720" w:num="1"/>
          <w:rtlGutter w:val="0"/>
          <w:docGrid w:type="linesAndChars" w:linePitch="312" w:charSpace="0"/>
        </w:sectPr>
      </w:pPr>
    </w:p>
    <w:bookmarkEnd w:id="351"/>
    <w:bookmarkEnd w:id="504"/>
    <w:p>
      <w:pPr>
        <w:pStyle w:val="5"/>
        <w:keepNext w:val="0"/>
        <w:keepLines w:val="0"/>
        <w:pageBreakBefore/>
        <w:numPr>
          <w:ilvl w:val="0"/>
          <w:numId w:val="0"/>
        </w:numPr>
        <w:spacing w:before="1440" w:after="120" w:line="360" w:lineRule="auto"/>
        <w:jc w:val="center"/>
        <w:rPr>
          <w:rFonts w:hint="eastAsia" w:ascii="宋体" w:hAnsi="宋体" w:eastAsia="宋体" w:cs="宋体"/>
          <w:b w:val="0"/>
          <w:color w:val="auto"/>
          <w:sz w:val="36"/>
          <w:szCs w:val="36"/>
          <w:highlight w:val="none"/>
        </w:rPr>
      </w:pPr>
      <w:bookmarkStart w:id="505" w:name="_Toc22749"/>
      <w:bookmarkStart w:id="506" w:name="_Toc525120872"/>
      <w:r>
        <w:rPr>
          <w:rFonts w:hint="eastAsia" w:ascii="宋体" w:hAnsi="宋体" w:eastAsia="宋体" w:cs="宋体"/>
          <w:b w:val="0"/>
          <w:color w:val="auto"/>
          <w:sz w:val="36"/>
          <w:szCs w:val="36"/>
          <w:highlight w:val="none"/>
        </w:rPr>
        <w:t>第</w:t>
      </w:r>
      <w:bookmarkStart w:id="507" w:name="_Toc300038998"/>
      <w:bookmarkStart w:id="508" w:name="_Toc13309435"/>
      <w:bookmarkStart w:id="509" w:name="_Toc374616490"/>
      <w:r>
        <w:rPr>
          <w:rFonts w:hint="eastAsia" w:ascii="宋体" w:hAnsi="宋体" w:eastAsia="宋体" w:cs="宋体"/>
          <w:b w:val="0"/>
          <w:color w:val="auto"/>
          <w:sz w:val="36"/>
          <w:szCs w:val="36"/>
          <w:highlight w:val="none"/>
        </w:rPr>
        <w:t>1节 资格文件</w:t>
      </w:r>
      <w:bookmarkEnd w:id="505"/>
      <w:bookmarkEnd w:id="506"/>
    </w:p>
    <w:bookmarkEnd w:id="507"/>
    <w:bookmarkEnd w:id="508"/>
    <w:bookmarkEnd w:id="509"/>
    <w:p>
      <w:pPr>
        <w:pStyle w:val="9"/>
        <w:snapToGrid w:val="0"/>
        <w:spacing w:line="360" w:lineRule="auto"/>
        <w:ind w:firstLine="0"/>
        <w:jc w:val="center"/>
        <w:rPr>
          <w:rFonts w:hint="eastAsia" w:ascii="宋体" w:hAnsi="宋体" w:eastAsia="宋体" w:cs="宋体"/>
          <w:b/>
          <w:color w:val="auto"/>
          <w:sz w:val="32"/>
          <w:szCs w:val="32"/>
          <w:highlight w:val="none"/>
        </w:rPr>
      </w:pPr>
    </w:p>
    <w:p>
      <w:pPr>
        <w:pStyle w:val="9"/>
        <w:snapToGrid w:val="0"/>
        <w:spacing w:line="360" w:lineRule="auto"/>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说    明</w:t>
      </w:r>
    </w:p>
    <w:p>
      <w:pPr>
        <w:pStyle w:val="9"/>
        <w:snapToGrid w:val="0"/>
        <w:spacing w:line="360" w:lineRule="auto"/>
        <w:ind w:firstLine="0"/>
        <w:jc w:val="center"/>
        <w:rPr>
          <w:rFonts w:hint="eastAsia" w:ascii="宋体" w:hAnsi="宋体" w:eastAsia="宋体" w:cs="宋体"/>
          <w:b/>
          <w:color w:val="auto"/>
          <w:sz w:val="32"/>
          <w:szCs w:val="32"/>
          <w:highlight w:val="none"/>
        </w:rPr>
      </w:pPr>
    </w:p>
    <w:p>
      <w:pPr>
        <w:pStyle w:val="9"/>
        <w:numPr>
          <w:ilvl w:val="0"/>
          <w:numId w:val="27"/>
        </w:numPr>
        <w:snapToGrid w:val="0"/>
        <w:spacing w:line="360" w:lineRule="auto"/>
        <w:rPr>
          <w:rFonts w:hint="eastAsia" w:ascii="宋体" w:hAnsi="宋体" w:eastAsia="宋体" w:cs="宋体"/>
          <w:b/>
          <w:bCs/>
          <w:color w:val="auto"/>
          <w:sz w:val="24"/>
          <w:highlight w:val="none"/>
          <w:u w:val="double"/>
        </w:rPr>
      </w:pPr>
      <w:r>
        <w:rPr>
          <w:rFonts w:hint="eastAsia" w:ascii="宋体" w:hAnsi="宋体" w:eastAsia="宋体" w:cs="宋体"/>
          <w:b/>
          <w:bCs/>
          <w:color w:val="auto"/>
          <w:sz w:val="24"/>
          <w:highlight w:val="none"/>
          <w:u w:val="double"/>
        </w:rPr>
        <w:t>《资格文件》应按照本招标文件第2章“投标须知”第15.1.1项和本章规定的内容和格式进行编制，如有必要，可以增加附页，并作为《资格文件》的组成部分。</w:t>
      </w:r>
    </w:p>
    <w:p>
      <w:pPr>
        <w:pStyle w:val="9"/>
        <w:numPr>
          <w:ilvl w:val="0"/>
          <w:numId w:val="27"/>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招标文件中未要求提供“类似工程业绩”的，投标人无需提交《资格文件》第十项的内容。</w:t>
      </w: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color w:val="auto"/>
          <w:kern w:val="2"/>
          <w:sz w:val="21"/>
          <w:szCs w:val="21"/>
          <w:highlight w:val="none"/>
        </w:rPr>
      </w:pPr>
    </w:p>
    <w:p>
      <w:pPr>
        <w:pStyle w:val="16"/>
        <w:spacing w:before="312" w:beforeLines="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（用于资格文件封面）</w:t>
      </w:r>
    </w:p>
    <w:p>
      <w:pPr>
        <w:pStyle w:val="16"/>
        <w:spacing w:line="264" w:lineRule="auto"/>
        <w:jc w:val="center"/>
        <w:rPr>
          <w:rFonts w:hint="eastAsia" w:ascii="宋体" w:hAnsi="宋体" w:eastAsia="宋体" w:cs="宋体"/>
          <w:color w:val="auto"/>
          <w:sz w:val="36"/>
          <w:highlight w:val="none"/>
        </w:rPr>
      </w:pPr>
    </w:p>
    <w:p>
      <w:pPr>
        <w:pStyle w:val="16"/>
        <w:spacing w:before="312" w:beforeLines="100" w:after="312" w:afterLines="100" w:line="264"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标段</w:t>
      </w:r>
    </w:p>
    <w:p>
      <w:pPr>
        <w:pStyle w:val="16"/>
        <w:spacing w:before="312" w:beforeLines="100" w:after="312" w:afterLines="100" w:line="264" w:lineRule="auto"/>
        <w:jc w:val="center"/>
        <w:rPr>
          <w:rFonts w:hint="eastAsia" w:ascii="宋体" w:hAnsi="宋体" w:eastAsia="宋体" w:cs="宋体"/>
          <w:b/>
          <w:color w:val="auto"/>
          <w:sz w:val="32"/>
          <w:highlight w:val="none"/>
        </w:rPr>
      </w:pPr>
      <w:r>
        <w:rPr>
          <w:rFonts w:hint="eastAsia" w:ascii="宋体" w:hAnsi="宋体" w:eastAsia="宋体" w:cs="宋体"/>
          <w:color w:val="auto"/>
          <w:sz w:val="32"/>
          <w:highlight w:val="none"/>
        </w:rPr>
        <w:t>招标项目编号：</w:t>
      </w:r>
      <w:r>
        <w:rPr>
          <w:rFonts w:hint="eastAsia" w:ascii="宋体" w:hAnsi="宋体" w:eastAsia="宋体" w:cs="宋体"/>
          <w:color w:val="auto"/>
          <w:sz w:val="36"/>
          <w:highlight w:val="none"/>
        </w:rPr>
        <w:t>________________</w:t>
      </w:r>
    </w:p>
    <w:p>
      <w:pPr>
        <w:pStyle w:val="16"/>
        <w:spacing w:before="312" w:beforeLines="100" w:after="312" w:afterLines="100" w:line="264" w:lineRule="auto"/>
        <w:jc w:val="center"/>
        <w:rPr>
          <w:rFonts w:hint="eastAsia" w:ascii="宋体" w:hAnsi="宋体" w:eastAsia="宋体" w:cs="宋体"/>
          <w:color w:val="auto"/>
          <w:sz w:val="44"/>
          <w:highlight w:val="none"/>
        </w:rPr>
      </w:pPr>
    </w:p>
    <w:p>
      <w:pPr>
        <w:pStyle w:val="16"/>
        <w:spacing w:line="264" w:lineRule="auto"/>
        <w:jc w:val="center"/>
        <w:rPr>
          <w:rFonts w:hint="eastAsia" w:ascii="宋体" w:hAnsi="宋体" w:eastAsia="宋体" w:cs="宋体"/>
          <w:b/>
          <w:color w:val="auto"/>
          <w:sz w:val="84"/>
          <w:highlight w:val="none"/>
        </w:rPr>
      </w:pPr>
      <w:r>
        <w:rPr>
          <w:rFonts w:hint="eastAsia" w:ascii="宋体" w:hAnsi="宋体" w:eastAsia="宋体" w:cs="宋体"/>
          <w:b/>
          <w:color w:val="auto"/>
          <w:sz w:val="84"/>
          <w:highlight w:val="none"/>
        </w:rPr>
        <w:t>投 标 文 件</w:t>
      </w:r>
    </w:p>
    <w:p>
      <w:pPr>
        <w:pStyle w:val="16"/>
        <w:spacing w:line="264" w:lineRule="auto"/>
        <w:jc w:val="center"/>
        <w:rPr>
          <w:rFonts w:hint="eastAsia" w:ascii="宋体" w:hAnsi="宋体" w:eastAsia="宋体" w:cs="宋体"/>
          <w:color w:val="auto"/>
          <w:sz w:val="44"/>
          <w:highlight w:val="none"/>
        </w:rPr>
      </w:pPr>
    </w:p>
    <w:p>
      <w:pPr>
        <w:pStyle w:val="16"/>
        <w:spacing w:line="264" w:lineRule="auto"/>
        <w:jc w:val="center"/>
        <w:rPr>
          <w:rFonts w:hint="eastAsia" w:ascii="宋体" w:hAnsi="宋体" w:eastAsia="宋体" w:cs="宋体"/>
          <w:color w:val="auto"/>
          <w:sz w:val="44"/>
          <w:highlight w:val="none"/>
        </w:rPr>
      </w:pPr>
    </w:p>
    <w:p>
      <w:pPr>
        <w:pStyle w:val="16"/>
        <w:spacing w:line="264" w:lineRule="auto"/>
        <w:jc w:val="center"/>
        <w:rPr>
          <w:rFonts w:hint="eastAsia" w:ascii="宋体" w:hAnsi="宋体" w:eastAsia="宋体" w:cs="宋体"/>
          <w:color w:val="auto"/>
          <w:sz w:val="44"/>
          <w:highlight w:val="none"/>
        </w:rPr>
      </w:pPr>
    </w:p>
    <w:p>
      <w:pPr>
        <w:pStyle w:val="16"/>
        <w:spacing w:line="264" w:lineRule="auto"/>
        <w:jc w:val="center"/>
        <w:rPr>
          <w:rFonts w:hint="eastAsia" w:ascii="宋体" w:hAnsi="宋体" w:eastAsia="宋体" w:cs="宋体"/>
          <w:color w:val="auto"/>
          <w:sz w:val="72"/>
          <w:highlight w:val="none"/>
        </w:rPr>
      </w:pPr>
    </w:p>
    <w:p>
      <w:pPr>
        <w:pStyle w:val="16"/>
        <w:spacing w:before="120" w:after="120" w:line="480" w:lineRule="auto"/>
        <w:ind w:firstLine="560" w:firstLineChars="200"/>
        <w:rPr>
          <w:rFonts w:hint="default" w:ascii="宋体" w:hAnsi="宋体" w:eastAsia="宋体" w:cs="宋体"/>
          <w:color w:val="auto"/>
          <w:sz w:val="36"/>
          <w:highlight w:val="none"/>
          <w:lang w:val="en-US" w:eastAsia="zh-CN"/>
        </w:rPr>
      </w:pPr>
      <w:r>
        <w:rPr>
          <w:rFonts w:hint="eastAsia" w:ascii="宋体" w:hAnsi="宋体" w:eastAsia="宋体" w:cs="宋体"/>
          <w:color w:val="auto"/>
          <w:sz w:val="28"/>
          <w:highlight w:val="none"/>
        </w:rPr>
        <w:t>投标文件内容：</w:t>
      </w:r>
      <w:r>
        <w:rPr>
          <w:rFonts w:hint="eastAsia" w:ascii="宋体" w:hAnsi="宋体" w:eastAsia="宋体" w:cs="宋体"/>
          <w:color w:val="auto"/>
          <w:sz w:val="28"/>
          <w:highlight w:val="none"/>
          <w:u w:val="single"/>
        </w:rPr>
        <w:t xml:space="preserve">　　　      </w:t>
      </w:r>
      <w:r>
        <w:rPr>
          <w:rFonts w:hint="eastAsia" w:ascii="宋体" w:hAnsi="宋体" w:eastAsia="宋体" w:cs="宋体"/>
          <w:b/>
          <w:color w:val="auto"/>
          <w:sz w:val="36"/>
          <w:highlight w:val="none"/>
          <w:u w:val="single"/>
        </w:rPr>
        <w:t>资格文件</w:t>
      </w:r>
      <w:r>
        <w:rPr>
          <w:rFonts w:hint="eastAsia" w:hAnsi="宋体" w:eastAsia="宋体" w:cs="宋体"/>
          <w:color w:val="auto"/>
          <w:sz w:val="28"/>
          <w:highlight w:val="none"/>
          <w:u w:val="single"/>
          <w:lang w:val="en-US" w:eastAsia="zh-CN"/>
        </w:rPr>
        <w:t xml:space="preserve">           </w:t>
      </w:r>
    </w:p>
    <w:p>
      <w:pPr>
        <w:pStyle w:val="16"/>
        <w:spacing w:before="120" w:after="120" w:line="480" w:lineRule="auto"/>
        <w:ind w:firstLine="560" w:firstLineChars="20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szCs w:val="28"/>
          <w:highlight w:val="none"/>
        </w:rPr>
        <w:t>（盖单位公章）</w:t>
      </w:r>
    </w:p>
    <w:p>
      <w:pPr>
        <w:pStyle w:val="16"/>
        <w:spacing w:before="120" w:after="120" w:line="480" w:lineRule="auto"/>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法定代表人或其委托代理人：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（盖章）</w:t>
      </w:r>
    </w:p>
    <w:p>
      <w:pPr>
        <w:spacing w:before="120" w:after="120" w:line="480" w:lineRule="auto"/>
        <w:ind w:left="54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日期：_______年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 xml:space="preserve">月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日</w:t>
      </w:r>
    </w:p>
    <w:p>
      <w:pPr>
        <w:spacing w:before="120" w:after="120"/>
        <w:ind w:left="540"/>
        <w:rPr>
          <w:rFonts w:hint="eastAsia" w:ascii="宋体" w:hAnsi="宋体" w:eastAsia="宋体" w:cs="宋体"/>
          <w:color w:val="auto"/>
          <w:sz w:val="24"/>
          <w:highlight w:val="none"/>
        </w:rPr>
      </w:pPr>
    </w:p>
    <w:p>
      <w:pPr>
        <w:spacing w:before="120" w:after="120"/>
        <w:ind w:left="54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pPr>
        <w:spacing w:before="120" w:after="120"/>
        <w:ind w:left="540"/>
        <w:jc w:val="center"/>
        <w:rPr>
          <w:rFonts w:hint="eastAsia" w:ascii="宋体" w:hAnsi="宋体" w:eastAsia="宋体" w:cs="宋体"/>
          <w:b/>
          <w:color w:val="auto"/>
          <w:sz w:val="30"/>
          <w:highlight w:val="none"/>
        </w:rPr>
      </w:pPr>
    </w:p>
    <w:p>
      <w:pPr>
        <w:spacing w:before="120" w:after="120"/>
        <w:ind w:left="54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一、投标人基本情况表</w:t>
      </w:r>
    </w:p>
    <w:p>
      <w:pPr>
        <w:tabs>
          <w:tab w:val="left" w:pos="840"/>
          <w:tab w:val="left" w:pos="1600"/>
        </w:tabs>
        <w:snapToGrid w:val="0"/>
        <w:spacing w:line="560" w:lineRule="exact"/>
        <w:ind w:left="84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二、联合体协议书</w:t>
      </w:r>
      <w:r>
        <w:rPr>
          <w:rFonts w:hint="eastAsia" w:ascii="宋体" w:hAnsi="宋体" w:eastAsia="宋体" w:cs="宋体"/>
          <w:color w:val="auto"/>
          <w:sz w:val="24"/>
          <w:highlight w:val="none"/>
        </w:rPr>
        <w:t>（如有时）</w:t>
      </w:r>
    </w:p>
    <w:p>
      <w:pPr>
        <w:tabs>
          <w:tab w:val="left" w:pos="840"/>
          <w:tab w:val="left" w:pos="1600"/>
        </w:tabs>
        <w:snapToGrid w:val="0"/>
        <w:spacing w:line="560" w:lineRule="exact"/>
        <w:ind w:left="84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三、法定代表人资格证明书</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rPr>
        <w:t>四、授权委托书（如有时）</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rPr>
        <w:t>五、拟分包企业情况（如有时）</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rPr>
        <w:t>六、拟派出项目负责人简要情况表</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rPr>
        <w:t>七、拟派出项目技术负责人简要情况表</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rPr>
        <w:t>八、项目部施工管理人员到位承诺书</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rPr>
        <w:t>九、投标人基本账户信息</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rPr>
        <w:t>十、“类似工程业绩”情况表（如有时）</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rPr>
        <w:t>十一、投标保证金有关单据扫描件</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rPr>
        <w:t>十二、其他资料</w:t>
      </w:r>
    </w:p>
    <w:p>
      <w:pPr>
        <w:tabs>
          <w:tab w:val="left" w:pos="840"/>
          <w:tab w:val="left" w:pos="1600"/>
        </w:tabs>
        <w:snapToGrid w:val="0"/>
        <w:spacing w:line="560" w:lineRule="exact"/>
        <w:ind w:left="330"/>
        <w:rPr>
          <w:rFonts w:hint="eastAsia" w:ascii="宋体" w:hAnsi="宋体" w:eastAsia="宋体" w:cs="宋体"/>
          <w:color w:val="auto"/>
          <w:sz w:val="24"/>
          <w:highlight w:val="none"/>
        </w:rPr>
      </w:pPr>
    </w:p>
    <w:p>
      <w:pPr>
        <w:tabs>
          <w:tab w:val="left" w:pos="840"/>
          <w:tab w:val="left" w:pos="1600"/>
        </w:tabs>
        <w:snapToGrid w:val="0"/>
        <w:spacing w:line="560" w:lineRule="exact"/>
        <w:ind w:left="330"/>
        <w:rPr>
          <w:rFonts w:hint="eastAsia" w:ascii="宋体" w:hAnsi="宋体" w:eastAsia="宋体" w:cs="宋体"/>
          <w:color w:val="auto"/>
          <w:sz w:val="24"/>
          <w:highlight w:val="none"/>
        </w:rPr>
      </w:pPr>
    </w:p>
    <w:p>
      <w:pPr>
        <w:tabs>
          <w:tab w:val="left" w:pos="840"/>
          <w:tab w:val="left" w:pos="1600"/>
        </w:tabs>
        <w:snapToGrid w:val="0"/>
        <w:spacing w:line="560" w:lineRule="exact"/>
        <w:ind w:left="330"/>
        <w:jc w:val="center"/>
        <w:rPr>
          <w:rFonts w:hint="eastAsia" w:ascii="宋体" w:hAnsi="宋体" w:eastAsia="宋体" w:cs="宋体"/>
          <w:b/>
          <w:color w:val="auto"/>
          <w:sz w:val="30"/>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0"/>
          <w:highlight w:val="none"/>
        </w:rPr>
        <w:t>一、投标人基本情况表</w:t>
      </w:r>
    </w:p>
    <w:tbl>
      <w:tblPr>
        <w:tblStyle w:val="24"/>
        <w:tblW w:w="9328" w:type="dxa"/>
        <w:tblInd w:w="122" w:type="dxa"/>
        <w:tblLayout w:type="fixed"/>
        <w:tblCellMar>
          <w:top w:w="0" w:type="dxa"/>
          <w:left w:w="108" w:type="dxa"/>
          <w:bottom w:w="0" w:type="dxa"/>
          <w:right w:w="108" w:type="dxa"/>
        </w:tblCellMar>
      </w:tblPr>
      <w:tblGrid>
        <w:gridCol w:w="2219"/>
        <w:gridCol w:w="1000"/>
        <w:gridCol w:w="1100"/>
        <w:gridCol w:w="1264"/>
        <w:gridCol w:w="1236"/>
        <w:gridCol w:w="329"/>
        <w:gridCol w:w="680"/>
        <w:gridCol w:w="180"/>
        <w:gridCol w:w="1320"/>
      </w:tblGrid>
      <w:tr>
        <w:tblPrEx>
          <w:tblCellMar>
            <w:top w:w="0" w:type="dxa"/>
            <w:left w:w="108" w:type="dxa"/>
            <w:bottom w:w="0" w:type="dxa"/>
            <w:right w:w="108" w:type="dxa"/>
          </w:tblCellMar>
        </w:tblPrEx>
        <w:trPr>
          <w:trHeight w:val="540"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pPr>
              <w:pStyle w:val="29"/>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注册地址</w:t>
            </w:r>
          </w:p>
        </w:tc>
        <w:tc>
          <w:tcPr>
            <w:tcW w:w="3364" w:type="dxa"/>
            <w:gridSpan w:val="3"/>
            <w:tcBorders>
              <w:top w:val="single" w:color="000000" w:sz="4" w:space="0"/>
              <w:left w:val="single" w:color="000000" w:sz="4" w:space="0"/>
              <w:bottom w:val="single" w:color="000000" w:sz="4" w:space="0"/>
              <w:right w:val="single" w:color="000000" w:sz="4" w:space="0"/>
            </w:tcBorders>
            <w:noWrap w:val="0"/>
            <w:vAlign w:val="top"/>
          </w:tcPr>
          <w:p>
            <w:pPr>
              <w:pStyle w:val="29"/>
              <w:jc w:val="center"/>
              <w:rPr>
                <w:rFonts w:hint="eastAsia" w:ascii="宋体" w:hAnsi="宋体" w:eastAsia="宋体" w:cs="宋体"/>
                <w:color w:val="auto"/>
                <w:szCs w:val="24"/>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邮政编码</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pPr>
              <w:pStyle w:val="29"/>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联系方式</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pPr>
              <w:pStyle w:val="29"/>
              <w:jc w:val="center"/>
              <w:rPr>
                <w:rFonts w:hint="eastAsia" w:ascii="宋体" w:hAnsi="宋体" w:eastAsia="宋体" w:cs="宋体"/>
                <w:color w:val="auto"/>
                <w:szCs w:val="24"/>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  话</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pPr>
              <w:pStyle w:val="29"/>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  真</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pPr>
              <w:pStyle w:val="29"/>
              <w:jc w:val="center"/>
              <w:rPr>
                <w:rFonts w:hint="eastAsia" w:ascii="宋体" w:hAnsi="宋体" w:eastAsia="宋体" w:cs="宋体"/>
                <w:color w:val="auto"/>
                <w:szCs w:val="24"/>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网  址</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pPr>
              <w:pStyle w:val="29"/>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组织结构</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pPr>
              <w:pStyle w:val="29"/>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50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pPr>
              <w:pStyle w:val="29"/>
              <w:jc w:val="center"/>
              <w:rPr>
                <w:rFonts w:hint="eastAsia" w:ascii="宋体" w:hAnsi="宋体" w:eastAsia="宋体" w:cs="宋体"/>
                <w:color w:val="auto"/>
                <w:szCs w:val="24"/>
                <w:highlight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技术职称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top"/>
          </w:tcPr>
          <w:p>
            <w:pPr>
              <w:pStyle w:val="29"/>
              <w:rPr>
                <w:rFonts w:hint="eastAsia" w:ascii="宋体" w:hAnsi="宋体" w:eastAsia="宋体" w:cs="宋体"/>
                <w:color w:val="auto"/>
                <w:szCs w:val="24"/>
                <w:highlight w:val="none"/>
              </w:rPr>
            </w:pPr>
          </w:p>
        </w:tc>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pStyle w:val="29"/>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57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技术负责人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pPr>
              <w:pStyle w:val="29"/>
              <w:jc w:val="center"/>
              <w:rPr>
                <w:rFonts w:hint="eastAsia" w:ascii="宋体" w:hAnsi="宋体" w:eastAsia="宋体" w:cs="宋体"/>
                <w:color w:val="auto"/>
                <w:szCs w:val="24"/>
                <w:highlight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技术职称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top"/>
          </w:tcPr>
          <w:p>
            <w:pPr>
              <w:pStyle w:val="29"/>
              <w:rPr>
                <w:rFonts w:hint="eastAsia" w:ascii="宋体" w:hAnsi="宋体" w:eastAsia="宋体" w:cs="宋体"/>
                <w:color w:val="auto"/>
                <w:szCs w:val="24"/>
                <w:highlight w:val="none"/>
              </w:rPr>
            </w:pPr>
          </w:p>
        </w:tc>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pStyle w:val="29"/>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成立时间</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29"/>
              <w:jc w:val="center"/>
              <w:rPr>
                <w:rFonts w:hint="eastAsia" w:ascii="宋体" w:hAnsi="宋体" w:eastAsia="宋体" w:cs="宋体"/>
                <w:color w:val="auto"/>
                <w:szCs w:val="24"/>
                <w:highlight w:val="none"/>
              </w:rPr>
            </w:pPr>
          </w:p>
        </w:tc>
        <w:tc>
          <w:tcPr>
            <w:tcW w:w="5009"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员工总人数：</w:t>
            </w: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企业资质等级</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29"/>
              <w:jc w:val="center"/>
              <w:rPr>
                <w:rFonts w:hint="eastAsia" w:ascii="宋体" w:hAnsi="宋体" w:eastAsia="宋体" w:cs="宋体"/>
                <w:color w:val="auto"/>
                <w:szCs w:val="24"/>
                <w:highlight w:val="none"/>
              </w:rPr>
            </w:pPr>
          </w:p>
        </w:tc>
        <w:tc>
          <w:tcPr>
            <w:tcW w:w="1264" w:type="dxa"/>
            <w:vMerge w:val="restart"/>
            <w:tcBorders>
              <w:top w:val="single" w:color="000000" w:sz="4" w:space="0"/>
              <w:left w:val="single" w:color="000000" w:sz="4" w:space="0"/>
              <w:bottom w:val="nil"/>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其中</w:t>
            </w: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项目负责人</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29"/>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29"/>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nil"/>
              <w:right w:val="single" w:color="000000" w:sz="4" w:space="0"/>
            </w:tcBorders>
            <w:noWrap w:val="0"/>
            <w:vAlign w:val="top"/>
          </w:tcPr>
          <w:p>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高级职称人员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29"/>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注册资金</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29"/>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nil"/>
              <w:right w:val="single" w:color="000000" w:sz="4" w:space="0"/>
            </w:tcBorders>
            <w:noWrap w:val="0"/>
            <w:vAlign w:val="center"/>
          </w:tcPr>
          <w:p>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29"/>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开户银行</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29"/>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nil"/>
              <w:right w:val="single" w:color="000000" w:sz="4" w:space="0"/>
            </w:tcBorders>
            <w:noWrap w:val="0"/>
            <w:vAlign w:val="top"/>
          </w:tcPr>
          <w:p>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初级职称人员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29"/>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账    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29"/>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9"/>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技工</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29"/>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1546"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29"/>
              <w:jc w:val="both"/>
              <w:rPr>
                <w:rFonts w:hint="eastAsia" w:ascii="宋体" w:hAnsi="宋体" w:eastAsia="宋体" w:cs="宋体"/>
                <w:color w:val="auto"/>
                <w:szCs w:val="24"/>
                <w:highlight w:val="none"/>
              </w:rPr>
            </w:pPr>
            <w:r>
              <w:rPr>
                <w:rFonts w:hint="eastAsia" w:ascii="宋体" w:hAnsi="宋体" w:eastAsia="宋体" w:cs="宋体"/>
                <w:b/>
                <w:color w:val="auto"/>
                <w:sz w:val="21"/>
                <w:highlight w:val="none"/>
                <w:u w:val="double"/>
              </w:rPr>
              <w:t>是否存在招标文件</w:t>
            </w:r>
            <w:r>
              <w:rPr>
                <w:rFonts w:hint="eastAsia" w:ascii="宋体" w:hAnsi="宋体" w:eastAsia="宋体" w:cs="宋体"/>
                <w:b/>
                <w:color w:val="auto"/>
                <w:kern w:val="2"/>
                <w:sz w:val="21"/>
                <w:highlight w:val="none"/>
                <w:u w:val="double"/>
              </w:rPr>
              <w:t>第2章投标须知第4.3款</w:t>
            </w:r>
            <w:r>
              <w:rPr>
                <w:rFonts w:hint="eastAsia" w:ascii="宋体" w:hAnsi="宋体" w:eastAsia="宋体" w:cs="宋体"/>
                <w:b/>
                <w:color w:val="auto"/>
                <w:sz w:val="21"/>
                <w:highlight w:val="none"/>
                <w:u w:val="double"/>
              </w:rPr>
              <w:t>规定的任何一种情形（第13项除外）。</w:t>
            </w:r>
            <w:r>
              <w:rPr>
                <w:rFonts w:hint="eastAsia" w:ascii="宋体" w:hAnsi="宋体" w:eastAsia="宋体" w:cs="宋体"/>
                <w:b/>
                <w:bCs/>
                <w:color w:val="auto"/>
                <w:sz w:val="21"/>
                <w:highlight w:val="none"/>
                <w:u w:val="double"/>
              </w:rPr>
              <w:t>其中，投标人存在财产被司法机关接管或冻结的，应当如实填写具体情况，由评标委员会对是否会导致中标后合同无法履行作出判断。</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pPr>
              <w:pStyle w:val="29"/>
              <w:jc w:val="both"/>
              <w:rPr>
                <w:rFonts w:hint="eastAsia" w:ascii="宋体" w:hAnsi="宋体" w:eastAsia="宋体" w:cs="宋体"/>
                <w:color w:val="auto"/>
                <w:szCs w:val="24"/>
                <w:highlight w:val="none"/>
              </w:rPr>
            </w:pPr>
          </w:p>
        </w:tc>
      </w:tr>
    </w:tbl>
    <w:p>
      <w:pPr>
        <w:pStyle w:val="9"/>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9"/>
        <w:spacing w:line="36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tabs>
          <w:tab w:val="left" w:pos="1600"/>
        </w:tabs>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highlight w:val="none"/>
        </w:rPr>
        <w:t>注：</w:t>
      </w:r>
      <w:r>
        <w:rPr>
          <w:rFonts w:hint="eastAsia" w:ascii="宋体" w:hAnsi="宋体" w:eastAsia="宋体" w:cs="宋体"/>
          <w:b/>
          <w:color w:val="auto"/>
          <w:sz w:val="21"/>
          <w:szCs w:val="21"/>
          <w:highlight w:val="none"/>
        </w:rPr>
        <w:t xml:space="preserve">1. </w:t>
      </w:r>
      <w:r>
        <w:rPr>
          <w:rFonts w:hint="eastAsia" w:ascii="宋体" w:hAnsi="宋体" w:eastAsia="宋体" w:cs="宋体"/>
          <w:b/>
          <w:color w:val="auto"/>
          <w:sz w:val="21"/>
          <w:szCs w:val="21"/>
          <w:highlight w:val="none"/>
          <w:u w:val="double"/>
        </w:rPr>
        <w:t>独立投标人或联合体投标的联合体各方均须填写此表，并加盖单位公章</w:t>
      </w:r>
      <w:r>
        <w:rPr>
          <w:rFonts w:hint="eastAsia" w:ascii="宋体" w:hAnsi="宋体" w:eastAsia="宋体" w:cs="宋体"/>
          <w:b/>
          <w:color w:val="auto"/>
          <w:sz w:val="21"/>
          <w:szCs w:val="21"/>
          <w:highlight w:val="none"/>
        </w:rPr>
        <w:t>。</w:t>
      </w:r>
    </w:p>
    <w:p>
      <w:pPr>
        <w:numPr>
          <w:ilvl w:val="0"/>
          <w:numId w:val="28"/>
        </w:numPr>
        <w:tabs>
          <w:tab w:val="left" w:pos="1600"/>
        </w:tabs>
        <w:snapToGrid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double"/>
        </w:rPr>
        <w:t>独立投标人或联合体投标的联合体各方均须附上营业执照、资质证书和施工企业安全生产许可证的扫描件，并加盖单位公章</w:t>
      </w:r>
      <w:r>
        <w:rPr>
          <w:rFonts w:hint="eastAsia" w:ascii="宋体" w:hAnsi="宋体" w:eastAsia="宋体" w:cs="宋体"/>
          <w:b/>
          <w:color w:val="auto"/>
          <w:sz w:val="21"/>
          <w:szCs w:val="21"/>
          <w:highlight w:val="none"/>
        </w:rPr>
        <w:t>。</w:t>
      </w:r>
    </w:p>
    <w:p>
      <w:pPr>
        <w:numPr>
          <w:ilvl w:val="0"/>
          <w:numId w:val="28"/>
        </w:numPr>
        <w:tabs>
          <w:tab w:val="left" w:pos="1600"/>
        </w:tabs>
        <w:snapToGrid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double"/>
        </w:rPr>
        <w:t>上述各类证书发生变更的，应办理完变更手续方可参加投标，并以发证机关核准的变更为准；否则评标委员会应以视为证书无效进行评定</w:t>
      </w:r>
      <w:r>
        <w:rPr>
          <w:rFonts w:hint="eastAsia" w:ascii="宋体" w:hAnsi="宋体" w:eastAsia="宋体" w:cs="宋体"/>
          <w:b/>
          <w:color w:val="auto"/>
          <w:sz w:val="21"/>
          <w:szCs w:val="21"/>
          <w:highlight w:val="none"/>
        </w:rPr>
        <w:t>。</w:t>
      </w:r>
    </w:p>
    <w:p>
      <w:pPr>
        <w:numPr>
          <w:ilvl w:val="0"/>
          <w:numId w:val="28"/>
        </w:numPr>
        <w:tabs>
          <w:tab w:val="left" w:pos="1600"/>
        </w:tabs>
        <w:snapToGrid w:val="0"/>
        <w:spacing w:line="400" w:lineRule="exact"/>
        <w:ind w:firstLine="420" w:firstLineChars="200"/>
        <w:rPr>
          <w:rFonts w:hint="eastAsia" w:ascii="宋体" w:hAnsi="宋体" w:eastAsia="宋体" w:cs="宋体"/>
          <w:b/>
          <w:color w:val="auto"/>
          <w:sz w:val="21"/>
          <w:highlight w:val="none"/>
        </w:rPr>
      </w:pPr>
      <w:r>
        <w:rPr>
          <w:rFonts w:hint="eastAsia" w:ascii="宋体" w:hAnsi="宋体" w:eastAsia="宋体" w:cs="宋体"/>
          <w:b/>
          <w:color w:val="auto"/>
          <w:sz w:val="21"/>
          <w:szCs w:val="21"/>
          <w:highlight w:val="none"/>
          <w:u w:val="double"/>
        </w:rPr>
        <w:t>未如实填写“是否存在招标文件第2章投标须知第4.3款规定的任何一种情形（第13项除外）”的，按弄虚作假处理。</w:t>
      </w:r>
    </w:p>
    <w:p>
      <w:pPr>
        <w:tabs>
          <w:tab w:val="left" w:pos="1600"/>
        </w:tabs>
        <w:snapToGrid w:val="0"/>
        <w:spacing w:line="560" w:lineRule="exact"/>
        <w:ind w:left="840"/>
        <w:rPr>
          <w:rFonts w:hint="eastAsia" w:ascii="宋体" w:hAnsi="宋体" w:eastAsia="宋体" w:cs="宋体"/>
          <w:b/>
          <w:color w:val="auto"/>
          <w:kern w:val="2"/>
          <w:sz w:val="30"/>
          <w:highlight w:val="none"/>
        </w:rPr>
      </w:pPr>
    </w:p>
    <w:p>
      <w:pPr>
        <w:tabs>
          <w:tab w:val="left" w:pos="1600"/>
        </w:tabs>
        <w:snapToGrid w:val="0"/>
        <w:spacing w:line="600" w:lineRule="auto"/>
        <w:jc w:val="center"/>
        <w:rPr>
          <w:rFonts w:hint="eastAsia" w:ascii="宋体" w:hAnsi="宋体" w:eastAsia="宋体" w:cs="宋体"/>
          <w:b/>
          <w:color w:val="auto"/>
          <w:kern w:val="2"/>
          <w:sz w:val="30"/>
          <w:highlight w:val="none"/>
        </w:rPr>
      </w:pPr>
    </w:p>
    <w:p>
      <w:pPr>
        <w:tabs>
          <w:tab w:val="left" w:pos="1600"/>
        </w:tabs>
        <w:snapToGrid w:val="0"/>
        <w:spacing w:line="600" w:lineRule="auto"/>
        <w:jc w:val="center"/>
        <w:rPr>
          <w:rFonts w:hint="eastAsia" w:ascii="宋体" w:hAnsi="宋体" w:eastAsia="宋体" w:cs="宋体"/>
          <w:b/>
          <w:color w:val="auto"/>
          <w:kern w:val="2"/>
          <w:sz w:val="30"/>
          <w:highlight w:val="none"/>
        </w:rPr>
      </w:pPr>
      <w:r>
        <w:rPr>
          <w:rFonts w:hint="eastAsia" w:ascii="宋体" w:hAnsi="宋体" w:eastAsia="宋体" w:cs="宋体"/>
          <w:b/>
          <w:color w:val="auto"/>
          <w:kern w:val="2"/>
          <w:sz w:val="30"/>
          <w:highlight w:val="none"/>
        </w:rPr>
        <w:t>二、联合体协议书</w:t>
      </w:r>
    </w:p>
    <w:p>
      <w:pPr>
        <w:tabs>
          <w:tab w:val="left" w:pos="1600"/>
        </w:tabs>
        <w:snapToGrid w:val="0"/>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（所有成员单位名称）</w:t>
      </w:r>
      <w:r>
        <w:rPr>
          <w:rFonts w:hint="eastAsia" w:ascii="宋体" w:hAnsi="宋体" w:eastAsia="宋体" w:cs="宋体"/>
          <w:color w:val="auto"/>
          <w:sz w:val="24"/>
          <w:szCs w:val="24"/>
          <w:highlight w:val="none"/>
        </w:rPr>
        <w:t>自愿组成</w:t>
      </w:r>
      <w:r>
        <w:rPr>
          <w:rFonts w:hint="eastAsia" w:ascii="宋体" w:hAnsi="宋体" w:eastAsia="宋体" w:cs="宋体"/>
          <w:color w:val="auto"/>
          <w:sz w:val="24"/>
          <w:szCs w:val="24"/>
          <w:highlight w:val="none"/>
          <w:u w:val="single"/>
        </w:rPr>
        <w:t xml:space="preserve">       （联合体名称）</w:t>
      </w:r>
      <w:r>
        <w:rPr>
          <w:rFonts w:hint="eastAsia" w:ascii="宋体" w:hAnsi="宋体" w:eastAsia="宋体" w:cs="宋体"/>
          <w:color w:val="auto"/>
          <w:sz w:val="24"/>
          <w:szCs w:val="24"/>
          <w:highlight w:val="none"/>
        </w:rPr>
        <w:t>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rPr>
        <w:t>　　          （项目名称及标段）</w:t>
      </w:r>
      <w:r>
        <w:rPr>
          <w:rFonts w:hint="eastAsia" w:ascii="宋体" w:hAnsi="宋体" w:eastAsia="宋体" w:cs="宋体"/>
          <w:color w:val="auto"/>
          <w:sz w:val="24"/>
          <w:szCs w:val="24"/>
          <w:highlight w:val="none"/>
        </w:rPr>
        <w:t>施工投标。现就联合体投标事宜订立如下协议：</w:t>
      </w:r>
    </w:p>
    <w:p>
      <w:pPr>
        <w:tabs>
          <w:tab w:val="left" w:pos="1600"/>
        </w:tabs>
        <w:snapToGrid w:val="0"/>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 xml:space="preserve">                      （牵头人单位名称）</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（联合体名称）</w:t>
      </w:r>
      <w:r>
        <w:rPr>
          <w:rFonts w:hint="eastAsia" w:ascii="宋体" w:hAnsi="宋体" w:eastAsia="宋体" w:cs="宋体"/>
          <w:color w:val="auto"/>
          <w:sz w:val="24"/>
          <w:szCs w:val="24"/>
          <w:highlight w:val="none"/>
        </w:rPr>
        <w:t>牵头人。</w:t>
      </w:r>
    </w:p>
    <w:p>
      <w:pPr>
        <w:tabs>
          <w:tab w:val="left" w:pos="1600"/>
        </w:tabs>
        <w:snapToGrid w:val="0"/>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abs>
          <w:tab w:val="left" w:pos="1600"/>
        </w:tabs>
        <w:snapToGrid w:val="0"/>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3.联合体将严格按照招标文件的各项要求，递交投标文件，履行合同，并对外承担连带责任。</w:t>
      </w:r>
    </w:p>
    <w:p>
      <w:pPr>
        <w:tabs>
          <w:tab w:val="left" w:pos="1600"/>
        </w:tabs>
        <w:snapToGrid w:val="0"/>
        <w:spacing w:line="400" w:lineRule="exact"/>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p>
    <w:p>
      <w:pPr>
        <w:tabs>
          <w:tab w:val="left" w:pos="1600"/>
        </w:tabs>
        <w:snapToGrid w:val="0"/>
        <w:spacing w:line="400" w:lineRule="exact"/>
        <w:ind w:firstLine="482"/>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pPr>
        <w:tabs>
          <w:tab w:val="left" w:pos="1600"/>
        </w:tabs>
        <w:snapToGrid w:val="0"/>
        <w:spacing w:line="400" w:lineRule="exact"/>
        <w:ind w:firstLine="48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5.本协议书自签署之日起生效，合同履行完毕后自动失效。</w:t>
      </w:r>
    </w:p>
    <w:p>
      <w:pPr>
        <w:tabs>
          <w:tab w:val="left" w:pos="1600"/>
        </w:tabs>
        <w:snapToGrid w:val="0"/>
        <w:spacing w:line="400" w:lineRule="exact"/>
        <w:ind w:firstLine="48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6.本协议书一式</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份，联合体各方和招标人各执一份。</w:t>
      </w:r>
    </w:p>
    <w:p>
      <w:pPr>
        <w:tabs>
          <w:tab w:val="left" w:pos="1600"/>
        </w:tabs>
        <w:snapToGrid w:val="0"/>
        <w:spacing w:line="400" w:lineRule="exact"/>
        <w:ind w:firstLine="48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注：本协议书由委托代理人盖章的，应附法定代表人的授权委托书。</w:t>
      </w:r>
    </w:p>
    <w:p>
      <w:pPr>
        <w:tabs>
          <w:tab w:val="left" w:pos="1600"/>
        </w:tabs>
        <w:snapToGrid w:val="0"/>
        <w:spacing w:line="400" w:lineRule="exact"/>
        <w:ind w:firstLine="482"/>
        <w:rPr>
          <w:rFonts w:hint="eastAsia" w:ascii="宋体" w:hAnsi="宋体" w:eastAsia="宋体" w:cs="宋体"/>
          <w:color w:val="auto"/>
          <w:kern w:val="2"/>
          <w:sz w:val="24"/>
          <w:szCs w:val="24"/>
          <w:highlight w:val="none"/>
        </w:rPr>
      </w:pPr>
    </w:p>
    <w:p>
      <w:pPr>
        <w:tabs>
          <w:tab w:val="left" w:pos="1600"/>
        </w:tabs>
        <w:snapToGrid w:val="0"/>
        <w:spacing w:line="400" w:lineRule="exact"/>
        <w:ind w:firstLine="48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联合体牵头人名称：</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（盖单位公章）</w:t>
      </w:r>
    </w:p>
    <w:p>
      <w:pPr>
        <w:tabs>
          <w:tab w:val="left" w:pos="1600"/>
        </w:tabs>
        <w:snapToGrid w:val="0"/>
        <w:spacing w:line="400" w:lineRule="exact"/>
        <w:ind w:firstLine="482"/>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法定代表人或其委托代理人：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（盖章）</w:t>
      </w:r>
    </w:p>
    <w:p>
      <w:pPr>
        <w:tabs>
          <w:tab w:val="left" w:pos="1600"/>
        </w:tabs>
        <w:snapToGrid w:val="0"/>
        <w:spacing w:line="400" w:lineRule="exact"/>
        <w:ind w:firstLine="482"/>
        <w:rPr>
          <w:rFonts w:hint="eastAsia" w:ascii="宋体" w:hAnsi="宋体" w:eastAsia="宋体" w:cs="宋体"/>
          <w:color w:val="auto"/>
          <w:kern w:val="2"/>
          <w:sz w:val="24"/>
          <w:szCs w:val="24"/>
          <w:highlight w:val="none"/>
        </w:rPr>
      </w:pPr>
    </w:p>
    <w:p>
      <w:pPr>
        <w:tabs>
          <w:tab w:val="left" w:pos="1600"/>
        </w:tabs>
        <w:snapToGrid w:val="0"/>
        <w:spacing w:line="400" w:lineRule="exact"/>
        <w:ind w:firstLine="48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联合体</w:t>
      </w:r>
      <w:r>
        <w:rPr>
          <w:rFonts w:hint="eastAsia" w:ascii="宋体" w:hAnsi="宋体" w:eastAsia="宋体" w:cs="宋体"/>
          <w:color w:val="auto"/>
          <w:sz w:val="24"/>
          <w:szCs w:val="24"/>
          <w:highlight w:val="none"/>
        </w:rPr>
        <w:t>成员</w:t>
      </w:r>
      <w:r>
        <w:rPr>
          <w:rFonts w:hint="eastAsia" w:ascii="宋体" w:hAnsi="宋体" w:eastAsia="宋体" w:cs="宋体"/>
          <w:color w:val="auto"/>
          <w:kern w:val="2"/>
          <w:sz w:val="24"/>
          <w:szCs w:val="24"/>
          <w:highlight w:val="none"/>
        </w:rPr>
        <w:t>一名称：</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（盖单位公章）</w:t>
      </w:r>
    </w:p>
    <w:p>
      <w:pPr>
        <w:tabs>
          <w:tab w:val="left" w:pos="1600"/>
        </w:tabs>
        <w:snapToGrid w:val="0"/>
        <w:spacing w:line="400" w:lineRule="exact"/>
        <w:ind w:firstLine="482"/>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法定代表人或其委托代理人：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（盖章）</w:t>
      </w:r>
    </w:p>
    <w:p>
      <w:pPr>
        <w:tabs>
          <w:tab w:val="left" w:pos="1600"/>
        </w:tabs>
        <w:snapToGrid w:val="0"/>
        <w:spacing w:line="400" w:lineRule="exact"/>
        <w:ind w:firstLine="482"/>
        <w:rPr>
          <w:rFonts w:hint="eastAsia" w:ascii="宋体" w:hAnsi="宋体" w:eastAsia="宋体" w:cs="宋体"/>
          <w:color w:val="auto"/>
          <w:kern w:val="2"/>
          <w:sz w:val="24"/>
          <w:szCs w:val="24"/>
          <w:highlight w:val="none"/>
        </w:rPr>
      </w:pPr>
    </w:p>
    <w:p>
      <w:pPr>
        <w:tabs>
          <w:tab w:val="left" w:pos="1600"/>
        </w:tabs>
        <w:snapToGrid w:val="0"/>
        <w:spacing w:line="400" w:lineRule="exact"/>
        <w:ind w:firstLine="48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联合体</w:t>
      </w:r>
      <w:r>
        <w:rPr>
          <w:rFonts w:hint="eastAsia" w:ascii="宋体" w:hAnsi="宋体" w:eastAsia="宋体" w:cs="宋体"/>
          <w:color w:val="auto"/>
          <w:sz w:val="24"/>
          <w:szCs w:val="24"/>
          <w:highlight w:val="none"/>
        </w:rPr>
        <w:t>成员</w:t>
      </w:r>
      <w:r>
        <w:rPr>
          <w:rFonts w:hint="eastAsia" w:ascii="宋体" w:hAnsi="宋体" w:eastAsia="宋体" w:cs="宋体"/>
          <w:color w:val="auto"/>
          <w:kern w:val="2"/>
          <w:sz w:val="24"/>
          <w:szCs w:val="24"/>
          <w:highlight w:val="none"/>
        </w:rPr>
        <w:t>二名称：</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（盖单位公章）</w:t>
      </w:r>
    </w:p>
    <w:p>
      <w:pPr>
        <w:tabs>
          <w:tab w:val="left" w:pos="1600"/>
        </w:tabs>
        <w:snapToGrid w:val="0"/>
        <w:spacing w:line="400" w:lineRule="exact"/>
        <w:ind w:firstLine="48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法定代表人或其委托代理人：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（盖章）</w:t>
      </w:r>
    </w:p>
    <w:p>
      <w:pPr>
        <w:tabs>
          <w:tab w:val="left" w:pos="1600"/>
        </w:tabs>
        <w:snapToGrid w:val="0"/>
        <w:spacing w:line="400" w:lineRule="exact"/>
        <w:ind w:firstLine="482"/>
        <w:rPr>
          <w:rFonts w:hint="eastAsia" w:ascii="宋体" w:hAnsi="宋体" w:eastAsia="宋体" w:cs="宋体"/>
          <w:color w:val="auto"/>
          <w:kern w:val="2"/>
          <w:sz w:val="24"/>
          <w:szCs w:val="24"/>
          <w:highlight w:val="none"/>
        </w:rPr>
      </w:pPr>
    </w:p>
    <w:p>
      <w:pPr>
        <w:tabs>
          <w:tab w:val="left" w:pos="1600"/>
        </w:tabs>
        <w:snapToGrid w:val="0"/>
        <w:spacing w:line="400" w:lineRule="exact"/>
        <w:ind w:firstLine="48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联合体</w:t>
      </w:r>
      <w:r>
        <w:rPr>
          <w:rFonts w:hint="eastAsia" w:ascii="宋体" w:hAnsi="宋体" w:eastAsia="宋体" w:cs="宋体"/>
          <w:color w:val="auto"/>
          <w:sz w:val="24"/>
          <w:szCs w:val="24"/>
          <w:highlight w:val="none"/>
        </w:rPr>
        <w:t>成员</w:t>
      </w:r>
      <w:r>
        <w:rPr>
          <w:rFonts w:hint="eastAsia" w:ascii="宋体" w:hAnsi="宋体" w:eastAsia="宋体" w:cs="宋体"/>
          <w:color w:val="auto"/>
          <w:kern w:val="2"/>
          <w:sz w:val="24"/>
          <w:szCs w:val="24"/>
          <w:highlight w:val="none"/>
        </w:rPr>
        <w:t>三名称：</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（盖单位公章）</w:t>
      </w:r>
    </w:p>
    <w:p>
      <w:pPr>
        <w:tabs>
          <w:tab w:val="left" w:pos="1600"/>
        </w:tabs>
        <w:snapToGrid w:val="0"/>
        <w:spacing w:line="400" w:lineRule="exact"/>
        <w:ind w:firstLine="48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法定代表人或其委托代理人：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（盖章）</w:t>
      </w:r>
    </w:p>
    <w:p>
      <w:pPr>
        <w:tabs>
          <w:tab w:val="left" w:pos="1600"/>
        </w:tabs>
        <w:snapToGrid w:val="0"/>
        <w:spacing w:line="360" w:lineRule="auto"/>
        <w:ind w:firstLine="48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p>
    <w:p>
      <w:pPr>
        <w:tabs>
          <w:tab w:val="left" w:pos="1600"/>
        </w:tabs>
        <w:snapToGrid w:val="0"/>
        <w:spacing w:line="360" w:lineRule="auto"/>
        <w:ind w:firstLine="482"/>
        <w:rPr>
          <w:rFonts w:hint="eastAsia" w:ascii="宋体" w:hAnsi="宋体" w:eastAsia="宋体" w:cs="宋体"/>
          <w:color w:val="auto"/>
          <w:kern w:val="2"/>
          <w:sz w:val="24"/>
          <w:szCs w:val="24"/>
          <w:highlight w:val="none"/>
        </w:rPr>
      </w:pPr>
    </w:p>
    <w:p>
      <w:pPr>
        <w:tabs>
          <w:tab w:val="left" w:pos="1600"/>
        </w:tabs>
        <w:snapToGrid w:val="0"/>
        <w:spacing w:line="360" w:lineRule="auto"/>
        <w:ind w:firstLine="48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pPr>
        <w:tabs>
          <w:tab w:val="left" w:pos="1600"/>
        </w:tabs>
        <w:snapToGrid w:val="0"/>
        <w:spacing w:line="560" w:lineRule="exact"/>
        <w:ind w:left="840"/>
        <w:rPr>
          <w:rFonts w:hint="eastAsia" w:ascii="宋体" w:hAnsi="宋体" w:eastAsia="宋体" w:cs="宋体"/>
          <w:b/>
          <w:color w:val="auto"/>
          <w:kern w:val="2"/>
          <w:sz w:val="32"/>
          <w:highlight w:val="none"/>
        </w:rPr>
      </w:pPr>
      <w:r>
        <w:rPr>
          <w:rFonts w:hint="eastAsia" w:ascii="宋体" w:hAnsi="宋体" w:eastAsia="宋体" w:cs="宋体"/>
          <w:b/>
          <w:color w:val="auto"/>
          <w:kern w:val="2"/>
          <w:sz w:val="24"/>
          <w:szCs w:val="24"/>
          <w:highlight w:val="none"/>
        </w:rPr>
        <w:br w:type="page"/>
      </w:r>
      <w:r>
        <w:rPr>
          <w:rFonts w:hint="eastAsia" w:ascii="宋体" w:hAnsi="宋体" w:eastAsia="宋体" w:cs="宋体"/>
          <w:color w:val="auto"/>
          <w:kern w:val="2"/>
          <w:sz w:val="28"/>
          <w:highlight w:val="none"/>
        </w:rPr>
        <w:t xml:space="preserve"> </w:t>
      </w:r>
    </w:p>
    <w:p>
      <w:pPr>
        <w:snapToGrid w:val="0"/>
        <w:spacing w:before="312" w:beforeLines="100" w:line="440" w:lineRule="atLeast"/>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三、法定代表人资格证明书</w:t>
      </w:r>
    </w:p>
    <w:p>
      <w:pPr>
        <w:snapToGrid w:val="0"/>
        <w:spacing w:before="312" w:beforeLines="100" w:line="440" w:lineRule="atLeast"/>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法定代表人资格证明书</w:t>
      </w:r>
    </w:p>
    <w:p>
      <w:pPr>
        <w:spacing w:line="480" w:lineRule="auto"/>
        <w:ind w:left="546" w:leftChars="260"/>
        <w:rPr>
          <w:rFonts w:hint="eastAsia" w:ascii="宋体" w:hAnsi="宋体" w:eastAsia="宋体" w:cs="宋体"/>
          <w:color w:val="auto"/>
          <w:kern w:val="2"/>
          <w:sz w:val="26"/>
          <w:highlight w:val="none"/>
        </w:rPr>
      </w:pPr>
    </w:p>
    <w:p>
      <w:pPr>
        <w:spacing w:line="360" w:lineRule="auto"/>
        <w:ind w:left="546" w:leftChars="2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投标人名称：</w:t>
      </w:r>
      <w:r>
        <w:rPr>
          <w:rFonts w:hint="eastAsia" w:ascii="宋体" w:hAnsi="宋体" w:eastAsia="宋体" w:cs="宋体"/>
          <w:color w:val="auto"/>
          <w:kern w:val="2"/>
          <w:sz w:val="24"/>
          <w:szCs w:val="24"/>
          <w:highlight w:val="none"/>
          <w:u w:val="single"/>
        </w:rPr>
        <w:t xml:space="preserve">                                                       </w:t>
      </w:r>
    </w:p>
    <w:p>
      <w:pPr>
        <w:spacing w:line="360" w:lineRule="auto"/>
        <w:ind w:left="546" w:leftChars="2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r>
        <w:rPr>
          <w:rFonts w:hint="eastAsia" w:ascii="宋体" w:hAnsi="宋体" w:eastAsia="宋体" w:cs="宋体"/>
          <w:color w:val="auto"/>
          <w:kern w:val="2"/>
          <w:sz w:val="24"/>
          <w:szCs w:val="24"/>
          <w:highlight w:val="none"/>
          <w:u w:val="single"/>
        </w:rPr>
        <w:t xml:space="preserve">                                                             </w:t>
      </w:r>
    </w:p>
    <w:p>
      <w:pPr>
        <w:spacing w:line="360" w:lineRule="auto"/>
        <w:ind w:left="546" w:leftChars="26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姓名：</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性别：</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身份证号码：</w:t>
      </w:r>
      <w:r>
        <w:rPr>
          <w:rFonts w:hint="eastAsia" w:ascii="宋体" w:hAnsi="宋体" w:eastAsia="宋体" w:cs="宋体"/>
          <w:color w:val="auto"/>
          <w:kern w:val="2"/>
          <w:sz w:val="24"/>
          <w:szCs w:val="24"/>
          <w:highlight w:val="none"/>
          <w:u w:val="single"/>
        </w:rPr>
        <w:t xml:space="preserve">                    </w:t>
      </w:r>
    </w:p>
    <w:p>
      <w:pPr>
        <w:spacing w:line="360" w:lineRule="auto"/>
        <w:ind w:left="546" w:leftChars="2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职务：</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手机号码：</w:t>
      </w:r>
      <w:r>
        <w:rPr>
          <w:rFonts w:hint="eastAsia" w:ascii="宋体" w:hAnsi="宋体" w:eastAsia="宋体" w:cs="宋体"/>
          <w:color w:val="auto"/>
          <w:kern w:val="2"/>
          <w:sz w:val="24"/>
          <w:szCs w:val="24"/>
          <w:highlight w:val="none"/>
          <w:u w:val="single"/>
        </w:rPr>
        <w:t xml:space="preserve">               </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系</w:t>
      </w:r>
      <w:r>
        <w:rPr>
          <w:rFonts w:hint="eastAsia" w:ascii="宋体" w:hAnsi="宋体" w:eastAsia="宋体" w:cs="宋体"/>
          <w:color w:val="auto"/>
          <w:kern w:val="2"/>
          <w:sz w:val="24"/>
          <w:szCs w:val="24"/>
          <w:highlight w:val="none"/>
          <w:u w:val="single"/>
        </w:rPr>
        <w:t xml:space="preserve">                               （投标人名称）</w:t>
      </w:r>
      <w:r>
        <w:rPr>
          <w:rFonts w:hint="eastAsia" w:ascii="宋体" w:hAnsi="宋体" w:eastAsia="宋体" w:cs="宋体"/>
          <w:color w:val="auto"/>
          <w:kern w:val="2"/>
          <w:sz w:val="24"/>
          <w:szCs w:val="24"/>
          <w:highlight w:val="none"/>
        </w:rPr>
        <w:t>的法定代表人。</w:t>
      </w:r>
    </w:p>
    <w:p>
      <w:pPr>
        <w:spacing w:line="360" w:lineRule="auto"/>
        <w:ind w:firstLine="480" w:firstLineChars="200"/>
        <w:rPr>
          <w:rFonts w:hint="eastAsia" w:ascii="宋体" w:hAnsi="宋体" w:eastAsia="宋体" w:cs="宋体"/>
          <w:color w:val="auto"/>
          <w:kern w:val="2"/>
          <w:sz w:val="24"/>
          <w:szCs w:val="24"/>
          <w:highlight w:val="none"/>
        </w:rPr>
      </w:pPr>
    </w:p>
    <w:p>
      <w:pPr>
        <w:spacing w:line="360" w:lineRule="auto"/>
        <w:ind w:firstLine="960" w:firstLineChars="4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pPr>
        <w:pStyle w:val="9"/>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pStyle w:val="9"/>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9"/>
        <w:spacing w:line="360" w:lineRule="auto"/>
        <w:ind w:firstLine="0"/>
        <w:rPr>
          <w:rFonts w:hint="eastAsia" w:ascii="宋体" w:hAnsi="宋体" w:eastAsia="宋体" w:cs="宋体"/>
          <w:color w:val="auto"/>
          <w:sz w:val="26"/>
          <w:highlight w:val="none"/>
        </w:rPr>
      </w:pPr>
    </w:p>
    <w:p>
      <w:pPr>
        <w:pStyle w:val="9"/>
        <w:spacing w:line="440" w:lineRule="exact"/>
        <w:ind w:firstLine="0"/>
        <w:jc w:val="center"/>
        <w:rPr>
          <w:rFonts w:hint="eastAsia" w:ascii="宋体" w:hAnsi="宋体" w:eastAsia="宋体" w:cs="宋体"/>
          <w:color w:val="auto"/>
          <w:sz w:val="26"/>
          <w:highlight w:val="none"/>
        </w:rPr>
      </w:pPr>
    </w:p>
    <w:p>
      <w:pPr>
        <w:tabs>
          <w:tab w:val="left" w:pos="1600"/>
        </w:tabs>
        <w:snapToGrid w:val="0"/>
        <w:spacing w:line="560" w:lineRule="exact"/>
        <w:ind w:left="840"/>
        <w:rPr>
          <w:rFonts w:hint="eastAsia" w:ascii="宋体" w:hAnsi="宋体" w:eastAsia="宋体" w:cs="宋体"/>
          <w:color w:val="auto"/>
          <w:sz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26"/>
          <w:highlight w:val="none"/>
        </w:rPr>
        <w:t xml:space="preserve"> </w:t>
      </w:r>
    </w:p>
    <w:p>
      <w:pPr>
        <w:pStyle w:val="9"/>
        <w:spacing w:line="440" w:lineRule="exact"/>
        <w:ind w:firstLine="0"/>
        <w:jc w:val="center"/>
        <w:rPr>
          <w:rStyle w:val="36"/>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四、授权委托书</w:t>
      </w:r>
    </w:p>
    <w:p>
      <w:pPr>
        <w:pStyle w:val="9"/>
        <w:spacing w:line="440" w:lineRule="exact"/>
        <w:ind w:firstLine="0"/>
        <w:jc w:val="center"/>
        <w:rPr>
          <w:rFonts w:hint="eastAsia" w:ascii="宋体" w:hAnsi="宋体" w:eastAsia="宋体" w:cs="宋体"/>
          <w:color w:val="auto"/>
          <w:sz w:val="26"/>
          <w:highlight w:val="none"/>
        </w:rPr>
      </w:pPr>
    </w:p>
    <w:p>
      <w:pPr>
        <w:pStyle w:val="9"/>
        <w:spacing w:line="480" w:lineRule="exact"/>
        <w:ind w:firstLine="50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为我方代理人。代理人根据授权，以我方名义签署、澄清、说明、补正、递交、撤回、撤销</w:t>
      </w:r>
      <w:r>
        <w:rPr>
          <w:rFonts w:hint="eastAsia" w:ascii="宋体" w:hAnsi="宋体" w:eastAsia="宋体" w:cs="宋体"/>
          <w:color w:val="auto"/>
          <w:sz w:val="24"/>
          <w:szCs w:val="24"/>
          <w:highlight w:val="none"/>
          <w:u w:val="single"/>
        </w:rPr>
        <w:t xml:space="preserve">                    （项目名称及标段） </w:t>
      </w:r>
      <w:r>
        <w:rPr>
          <w:rFonts w:hint="eastAsia" w:ascii="宋体" w:hAnsi="宋体" w:eastAsia="宋体" w:cs="宋体"/>
          <w:color w:val="auto"/>
          <w:sz w:val="24"/>
          <w:szCs w:val="24"/>
          <w:highlight w:val="none"/>
        </w:rPr>
        <w:t>施工投标文件、递交招标文件要求的有关书面证明材料、签订合同和处理有关事宜，其法律后果由我方承担</w:t>
      </w:r>
      <w:r>
        <w:rPr>
          <w:rFonts w:hint="eastAsia" w:ascii="宋体" w:hAnsi="宋体" w:eastAsia="宋体" w:cs="宋体"/>
          <w:color w:val="auto"/>
          <w:sz w:val="24"/>
          <w:highlight w:val="none"/>
        </w:rPr>
        <w:t>。</w:t>
      </w:r>
    </w:p>
    <w:p>
      <w:pPr>
        <w:pStyle w:val="9"/>
        <w:spacing w:line="480" w:lineRule="exact"/>
        <w:ind w:firstLine="50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pStyle w:val="9"/>
        <w:spacing w:line="480" w:lineRule="exact"/>
        <w:ind w:firstLine="508"/>
        <w:jc w:val="left"/>
        <w:rPr>
          <w:rFonts w:hint="eastAsia" w:ascii="宋体" w:hAnsi="宋体" w:eastAsia="宋体" w:cs="宋体"/>
          <w:color w:val="auto"/>
          <w:sz w:val="24"/>
          <w:highlight w:val="none"/>
        </w:rPr>
      </w:pPr>
    </w:p>
    <w:p>
      <w:pPr>
        <w:pStyle w:val="9"/>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手机号码：</w:t>
      </w:r>
      <w:r>
        <w:rPr>
          <w:rFonts w:hint="eastAsia" w:ascii="宋体" w:hAnsi="宋体" w:eastAsia="宋体" w:cs="宋体"/>
          <w:color w:val="auto"/>
          <w:sz w:val="24"/>
          <w:highlight w:val="none"/>
          <w:u w:val="single"/>
        </w:rPr>
        <w:t xml:space="preserve">         </w:t>
      </w:r>
    </w:p>
    <w:p>
      <w:pPr>
        <w:pStyle w:val="9"/>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      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pStyle w:val="9"/>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pStyle w:val="9"/>
        <w:spacing w:line="480" w:lineRule="exact"/>
        <w:ind w:firstLine="480" w:firstLineChars="200"/>
        <w:rPr>
          <w:rFonts w:hint="eastAsia" w:ascii="宋体" w:hAnsi="宋体" w:eastAsia="宋体" w:cs="宋体"/>
          <w:color w:val="auto"/>
          <w:sz w:val="24"/>
          <w:highlight w:val="none"/>
        </w:rPr>
      </w:pPr>
    </w:p>
    <w:p>
      <w:pPr>
        <w:pStyle w:val="9"/>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附：委托代理人身份证扫描件</w:t>
      </w:r>
    </w:p>
    <w:p>
      <w:pPr>
        <w:pStyle w:val="9"/>
        <w:spacing w:line="480" w:lineRule="exact"/>
        <w:ind w:firstLine="480" w:firstLineChars="200"/>
        <w:rPr>
          <w:rFonts w:hint="eastAsia" w:ascii="宋体" w:hAnsi="宋体" w:eastAsia="宋体" w:cs="宋体"/>
          <w:color w:val="auto"/>
          <w:sz w:val="24"/>
          <w:highlight w:val="none"/>
        </w:rPr>
      </w:pPr>
    </w:p>
    <w:p>
      <w:pPr>
        <w:pStyle w:val="9"/>
        <w:spacing w:line="480" w:lineRule="exact"/>
        <w:ind w:firstLine="480" w:firstLineChars="200"/>
        <w:rPr>
          <w:rFonts w:hint="eastAsia" w:ascii="宋体" w:hAnsi="宋体" w:eastAsia="宋体" w:cs="宋体"/>
          <w:color w:val="auto"/>
          <w:sz w:val="24"/>
          <w:highlight w:val="none"/>
          <w:u w:val="single"/>
        </w:rPr>
      </w:pPr>
    </w:p>
    <w:p>
      <w:pPr>
        <w:pStyle w:val="9"/>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6"/>
          <w:highlight w:val="none"/>
        </w:rPr>
        <w:t xml:space="preserve">                          </w:t>
      </w:r>
      <w:r>
        <w:rPr>
          <w:rFonts w:hint="eastAsia" w:ascii="宋体" w:hAnsi="宋体" w:eastAsia="宋体" w:cs="宋体"/>
          <w:color w:val="auto"/>
          <w:sz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pStyle w:val="9"/>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pStyle w:val="9"/>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（盖章或签字）</w:t>
      </w:r>
    </w:p>
    <w:p>
      <w:pPr>
        <w:pStyle w:val="9"/>
        <w:spacing w:line="480" w:lineRule="exact"/>
        <w:ind w:firstLine="0"/>
        <w:rPr>
          <w:rFonts w:hint="eastAsia" w:ascii="宋体" w:hAnsi="宋体" w:eastAsia="宋体" w:cs="宋体"/>
          <w:color w:val="auto"/>
          <w:sz w:val="24"/>
          <w:highlight w:val="none"/>
        </w:rPr>
      </w:pPr>
    </w:p>
    <w:p>
      <w:pPr>
        <w:pStyle w:val="9"/>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9"/>
        <w:spacing w:line="480" w:lineRule="exact"/>
        <w:ind w:firstLine="0"/>
        <w:rPr>
          <w:rFonts w:hint="eastAsia" w:ascii="宋体" w:hAnsi="宋体" w:eastAsia="宋体" w:cs="宋体"/>
          <w:color w:val="auto"/>
          <w:sz w:val="24"/>
          <w:highlight w:val="none"/>
        </w:rPr>
      </w:pPr>
    </w:p>
    <w:p>
      <w:pPr>
        <w:pStyle w:val="9"/>
        <w:spacing w:line="480" w:lineRule="exact"/>
        <w:ind w:firstLine="0"/>
        <w:rPr>
          <w:rFonts w:hint="eastAsia" w:ascii="宋体" w:hAnsi="宋体" w:eastAsia="宋体" w:cs="宋体"/>
          <w:color w:val="auto"/>
          <w:sz w:val="24"/>
          <w:highlight w:val="none"/>
        </w:rPr>
      </w:pPr>
    </w:p>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u w:val="double"/>
        </w:rPr>
        <w:t>委托代理人（签字）是指本委托书由委托代理人签字后，再进行扫描并上传</w:t>
      </w:r>
      <w:r>
        <w:rPr>
          <w:rFonts w:hint="eastAsia" w:ascii="宋体" w:hAnsi="宋体" w:eastAsia="宋体" w:cs="宋体"/>
          <w:b/>
          <w:color w:val="auto"/>
          <w:sz w:val="21"/>
          <w:szCs w:val="21"/>
          <w:highlight w:val="none"/>
        </w:rPr>
        <w:t>。</w:t>
      </w:r>
    </w:p>
    <w:p>
      <w:pPr>
        <w:pStyle w:val="9"/>
        <w:spacing w:line="480" w:lineRule="exact"/>
        <w:ind w:firstLine="0"/>
        <w:rPr>
          <w:rFonts w:hint="eastAsia" w:ascii="宋体" w:hAnsi="宋体" w:eastAsia="宋体" w:cs="宋体"/>
          <w:color w:val="auto"/>
          <w:sz w:val="24"/>
          <w:highlight w:val="none"/>
        </w:rPr>
      </w:pPr>
    </w:p>
    <w:p>
      <w:pPr>
        <w:pStyle w:val="9"/>
        <w:spacing w:line="480" w:lineRule="exact"/>
        <w:ind w:firstLine="0"/>
        <w:rPr>
          <w:rFonts w:hint="eastAsia" w:ascii="宋体" w:hAnsi="宋体" w:eastAsia="宋体" w:cs="宋体"/>
          <w:color w:val="auto"/>
          <w:sz w:val="24"/>
          <w:highlight w:val="none"/>
        </w:rPr>
      </w:pPr>
    </w:p>
    <w:p>
      <w:pPr>
        <w:pStyle w:val="9"/>
        <w:spacing w:line="480" w:lineRule="exact"/>
        <w:ind w:firstLine="0"/>
        <w:rPr>
          <w:rFonts w:hint="eastAsia" w:ascii="宋体" w:hAnsi="宋体" w:eastAsia="宋体" w:cs="宋体"/>
          <w:color w:val="auto"/>
          <w:sz w:val="24"/>
          <w:highlight w:val="none"/>
        </w:rPr>
      </w:pPr>
    </w:p>
    <w:p>
      <w:pPr>
        <w:tabs>
          <w:tab w:val="left" w:pos="1600"/>
        </w:tabs>
        <w:snapToGrid w:val="0"/>
        <w:spacing w:line="560" w:lineRule="exact"/>
        <w:ind w:left="840"/>
        <w:rPr>
          <w:rFonts w:hint="eastAsia" w:ascii="宋体" w:hAnsi="宋体" w:eastAsia="宋体" w:cs="宋体"/>
          <w:b/>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4"/>
          <w:highlight w:val="none"/>
        </w:rPr>
        <w:t xml:space="preserve"> </w:t>
      </w:r>
    </w:p>
    <w:p>
      <w:pPr>
        <w:spacing w:line="5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五、拟分包企业情况</w:t>
      </w:r>
    </w:p>
    <w:p>
      <w:pPr>
        <w:spacing w:line="500" w:lineRule="exact"/>
        <w:jc w:val="center"/>
        <w:rPr>
          <w:rFonts w:hint="eastAsia" w:ascii="宋体" w:hAnsi="宋体" w:eastAsia="宋体" w:cs="宋体"/>
          <w:b/>
          <w:color w:val="auto"/>
          <w:sz w:val="28"/>
          <w:highlight w:val="none"/>
        </w:rPr>
      </w:pPr>
    </w:p>
    <w:tbl>
      <w:tblPr>
        <w:tblStyle w:val="24"/>
        <w:tblW w:w="0" w:type="auto"/>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8" w:type="dxa"/>
            <w:noWrap w:val="0"/>
            <w:vAlign w:val="center"/>
          </w:tcPr>
          <w:p>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分包人名称</w:t>
            </w:r>
          </w:p>
        </w:tc>
        <w:tc>
          <w:tcPr>
            <w:tcW w:w="7423" w:type="dxa"/>
            <w:noWrap w:val="0"/>
            <w:vAlign w:val="center"/>
          </w:tcPr>
          <w:p>
            <w:pPr>
              <w:spacing w:line="5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8" w:type="dxa"/>
            <w:noWrap w:val="0"/>
            <w:vAlign w:val="center"/>
          </w:tcPr>
          <w:p>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tc>
        <w:tc>
          <w:tcPr>
            <w:tcW w:w="7423" w:type="dxa"/>
            <w:noWrap w:val="0"/>
            <w:vAlign w:val="center"/>
          </w:tcPr>
          <w:p>
            <w:pPr>
              <w:spacing w:line="5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8" w:type="dxa"/>
            <w:noWrap w:val="0"/>
            <w:vAlign w:val="center"/>
          </w:tcPr>
          <w:p>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7423" w:type="dxa"/>
            <w:noWrap w:val="0"/>
            <w:vAlign w:val="center"/>
          </w:tcPr>
          <w:p>
            <w:pPr>
              <w:spacing w:line="5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8" w:type="dxa"/>
            <w:noWrap w:val="0"/>
            <w:vAlign w:val="center"/>
          </w:tcPr>
          <w:p>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7423" w:type="dxa"/>
            <w:noWrap w:val="0"/>
            <w:vAlign w:val="center"/>
          </w:tcPr>
          <w:p>
            <w:pPr>
              <w:spacing w:line="5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8" w:type="dxa"/>
            <w:noWrap w:val="0"/>
            <w:vAlign w:val="center"/>
          </w:tcPr>
          <w:p>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w:t>
            </w:r>
          </w:p>
        </w:tc>
        <w:tc>
          <w:tcPr>
            <w:tcW w:w="7423" w:type="dxa"/>
            <w:noWrap w:val="0"/>
            <w:vAlign w:val="center"/>
          </w:tcPr>
          <w:p>
            <w:pPr>
              <w:spacing w:line="5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8" w:type="dxa"/>
            <w:noWrap w:val="0"/>
            <w:vAlign w:val="center"/>
          </w:tcPr>
          <w:p>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资质等级</w:t>
            </w:r>
          </w:p>
        </w:tc>
        <w:tc>
          <w:tcPr>
            <w:tcW w:w="7423" w:type="dxa"/>
            <w:noWrap w:val="0"/>
            <w:vAlign w:val="center"/>
          </w:tcPr>
          <w:p>
            <w:pPr>
              <w:spacing w:line="5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8" w:type="dxa"/>
            <w:noWrap w:val="0"/>
            <w:vAlign w:val="center"/>
          </w:tcPr>
          <w:p>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拟分包工程</w:t>
            </w:r>
          </w:p>
        </w:tc>
        <w:tc>
          <w:tcPr>
            <w:tcW w:w="7423" w:type="dxa"/>
            <w:noWrap w:val="0"/>
            <w:vAlign w:val="center"/>
          </w:tcPr>
          <w:p>
            <w:pPr>
              <w:spacing w:line="5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6" w:hRule="atLeast"/>
        </w:trPr>
        <w:tc>
          <w:tcPr>
            <w:tcW w:w="1808" w:type="dxa"/>
            <w:noWrap w:val="0"/>
            <w:vAlign w:val="center"/>
          </w:tcPr>
          <w:p>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 包 理 由</w:t>
            </w:r>
          </w:p>
        </w:tc>
        <w:tc>
          <w:tcPr>
            <w:tcW w:w="7423" w:type="dxa"/>
            <w:noWrap w:val="0"/>
            <w:vAlign w:val="center"/>
          </w:tcPr>
          <w:p>
            <w:pPr>
              <w:spacing w:line="500" w:lineRule="exact"/>
              <w:jc w:val="center"/>
              <w:rPr>
                <w:rFonts w:hint="eastAsia" w:ascii="宋体" w:hAnsi="宋体" w:eastAsia="宋体" w:cs="宋体"/>
                <w:color w:val="auto"/>
                <w:sz w:val="24"/>
                <w:szCs w:val="24"/>
                <w:highlight w:val="none"/>
              </w:rPr>
            </w:pPr>
          </w:p>
        </w:tc>
      </w:tr>
    </w:tbl>
    <w:p>
      <w:pPr>
        <w:pStyle w:val="9"/>
        <w:spacing w:line="56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r>
        <w:rPr>
          <w:rFonts w:hint="eastAsia" w:ascii="宋体" w:hAnsi="宋体" w:eastAsia="宋体" w:cs="宋体"/>
          <w:b/>
          <w:color w:val="auto"/>
          <w:sz w:val="24"/>
          <w:szCs w:val="24"/>
          <w:highlight w:val="none"/>
          <w:u w:val="double"/>
        </w:rPr>
        <w:t>拟分包企业的营业执照和资质证书扫描件，并加盖拟分包企业和投标人的单位公章。</w:t>
      </w:r>
    </w:p>
    <w:p>
      <w:pPr>
        <w:pStyle w:val="9"/>
        <w:spacing w:line="560" w:lineRule="exact"/>
        <w:ind w:firstLine="0"/>
        <w:jc w:val="right"/>
        <w:rPr>
          <w:rFonts w:hint="eastAsia" w:ascii="宋体" w:hAnsi="宋体" w:eastAsia="宋体" w:cs="宋体"/>
          <w:color w:val="auto"/>
          <w:highlight w:val="none"/>
        </w:rPr>
      </w:pPr>
    </w:p>
    <w:p>
      <w:pPr>
        <w:pStyle w:val="9"/>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pStyle w:val="9"/>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9"/>
        <w:spacing w:line="360" w:lineRule="auto"/>
        <w:ind w:firstLine="0"/>
        <w:rPr>
          <w:rFonts w:hint="eastAsia" w:ascii="宋体" w:hAnsi="宋体" w:eastAsia="宋体" w:cs="宋体"/>
          <w:color w:val="auto"/>
          <w:sz w:val="24"/>
          <w:szCs w:val="24"/>
          <w:highlight w:val="none"/>
        </w:rPr>
      </w:pPr>
    </w:p>
    <w:p>
      <w:pPr>
        <w:pStyle w:val="9"/>
        <w:spacing w:line="360" w:lineRule="auto"/>
        <w:ind w:firstLine="3240" w:firstLineChars="1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拟分包企业：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line="500" w:lineRule="exact"/>
        <w:rPr>
          <w:rFonts w:hint="eastAsia" w:ascii="宋体" w:hAnsi="宋体" w:eastAsia="宋体" w:cs="宋体"/>
          <w:color w:val="auto"/>
          <w:sz w:val="24"/>
          <w:szCs w:val="24"/>
          <w:highlight w:val="none"/>
        </w:rPr>
      </w:pPr>
    </w:p>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注：1、</w:t>
      </w:r>
      <w:r>
        <w:rPr>
          <w:rFonts w:hint="eastAsia" w:ascii="宋体" w:hAnsi="宋体" w:eastAsia="宋体" w:cs="宋体"/>
          <w:b/>
          <w:color w:val="auto"/>
          <w:sz w:val="21"/>
          <w:szCs w:val="21"/>
          <w:highlight w:val="none"/>
          <w:u w:val="double"/>
        </w:rPr>
        <w:t>每个拟分包企业均应分别填写本表</w:t>
      </w:r>
      <w:r>
        <w:rPr>
          <w:rFonts w:hint="eastAsia" w:ascii="宋体" w:hAnsi="宋体" w:eastAsia="宋体" w:cs="宋体"/>
          <w:b/>
          <w:color w:val="auto"/>
          <w:sz w:val="21"/>
          <w:szCs w:val="21"/>
          <w:highlight w:val="none"/>
        </w:rPr>
        <w:t>。</w:t>
      </w:r>
    </w:p>
    <w:p>
      <w:pPr>
        <w:snapToGrid w:val="0"/>
        <w:spacing w:line="360" w:lineRule="exact"/>
        <w:ind w:firstLine="42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2、拟分包工程仅限于承包人自行施工范围内的非主体、非关键工程。</w:t>
      </w:r>
    </w:p>
    <w:p>
      <w:pPr>
        <w:snapToGrid w:val="0"/>
        <w:spacing w:line="360" w:lineRule="exact"/>
        <w:ind w:firstLine="42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3、选择分包企业时，优先选择项目所在地具有相应经验的分包企业。</w:t>
      </w:r>
    </w:p>
    <w:p>
      <w:pPr>
        <w:tabs>
          <w:tab w:val="left" w:pos="1600"/>
        </w:tabs>
        <w:snapToGrid w:val="0"/>
        <w:spacing w:line="560" w:lineRule="exact"/>
        <w:ind w:left="840"/>
        <w:rPr>
          <w:rFonts w:hint="eastAsia" w:ascii="宋体" w:hAnsi="宋体" w:eastAsia="宋体" w:cs="宋体"/>
          <w:b/>
          <w:color w:val="auto"/>
          <w:sz w:val="32"/>
          <w:highlight w:val="none"/>
        </w:rPr>
      </w:pPr>
      <w:r>
        <w:rPr>
          <w:rFonts w:hint="eastAsia" w:ascii="宋体" w:hAnsi="宋体" w:eastAsia="宋体" w:cs="宋体"/>
          <w:color w:val="auto"/>
          <w:sz w:val="21"/>
          <w:highlight w:val="none"/>
        </w:rPr>
        <w:br w:type="page"/>
      </w:r>
      <w:r>
        <w:rPr>
          <w:rFonts w:hint="eastAsia" w:ascii="宋体" w:hAnsi="宋体" w:eastAsia="宋体" w:cs="宋体"/>
          <w:b/>
          <w:color w:val="auto"/>
          <w:sz w:val="24"/>
          <w:highlight w:val="none"/>
        </w:rPr>
        <w:t xml:space="preserve">  </w:t>
      </w:r>
      <w:r>
        <w:rPr>
          <w:rFonts w:hint="eastAsia" w:ascii="宋体" w:hAnsi="宋体" w:eastAsia="宋体" w:cs="宋体"/>
          <w:b/>
          <w:color w:val="auto"/>
          <w:sz w:val="28"/>
          <w:highlight w:val="none"/>
        </w:rPr>
        <w:t xml:space="preserve"> </w:t>
      </w:r>
    </w:p>
    <w:p>
      <w:pPr>
        <w:tabs>
          <w:tab w:val="left" w:pos="0"/>
          <w:tab w:val="left" w:pos="567"/>
          <w:tab w:val="left" w:pos="993"/>
          <w:tab w:val="left" w:pos="1134"/>
        </w:tabs>
        <w:snapToGrid w:val="0"/>
        <w:spacing w:before="156" w:beforeLines="50" w:after="156" w:afterLines="50" w:line="30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六、拟派出项目负责人简要情况表</w:t>
      </w:r>
    </w:p>
    <w:tbl>
      <w:tblPr>
        <w:tblStyle w:val="24"/>
        <w:tblW w:w="0" w:type="auto"/>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924"/>
        <w:gridCol w:w="1810"/>
        <w:gridCol w:w="910"/>
        <w:gridCol w:w="1727"/>
        <w:gridCol w:w="104"/>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924" w:type="dxa"/>
            <w:noWrap w:val="0"/>
            <w:vAlign w:val="center"/>
          </w:tcPr>
          <w:p>
            <w:pPr>
              <w:jc w:val="center"/>
              <w:rPr>
                <w:rFonts w:hint="eastAsia" w:ascii="宋体" w:hAnsi="宋体" w:eastAsia="宋体" w:cs="宋体"/>
                <w:color w:val="auto"/>
                <w:sz w:val="24"/>
                <w:szCs w:val="24"/>
                <w:highlight w:val="none"/>
              </w:rPr>
            </w:pPr>
          </w:p>
        </w:tc>
        <w:tc>
          <w:tcPr>
            <w:tcW w:w="18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4797" w:type="dxa"/>
            <w:gridSpan w:val="4"/>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924" w:type="dxa"/>
            <w:noWrap w:val="0"/>
            <w:vAlign w:val="center"/>
          </w:tcPr>
          <w:p>
            <w:pPr>
              <w:jc w:val="center"/>
              <w:rPr>
                <w:rFonts w:hint="eastAsia" w:ascii="宋体" w:hAnsi="宋体" w:eastAsia="宋体" w:cs="宋体"/>
                <w:color w:val="auto"/>
                <w:sz w:val="24"/>
                <w:szCs w:val="24"/>
                <w:highlight w:val="none"/>
              </w:rPr>
            </w:pPr>
          </w:p>
        </w:tc>
        <w:tc>
          <w:tcPr>
            <w:tcW w:w="18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职称证书编号</w:t>
            </w:r>
          </w:p>
        </w:tc>
        <w:tc>
          <w:tcPr>
            <w:tcW w:w="910" w:type="dxa"/>
            <w:noWrap w:val="0"/>
            <w:vAlign w:val="center"/>
          </w:tcPr>
          <w:p>
            <w:pPr>
              <w:jc w:val="center"/>
              <w:rPr>
                <w:rFonts w:hint="eastAsia" w:ascii="宋体" w:hAnsi="宋体" w:eastAsia="宋体" w:cs="宋体"/>
                <w:color w:val="auto"/>
                <w:sz w:val="24"/>
                <w:szCs w:val="24"/>
                <w:highlight w:val="none"/>
              </w:rPr>
            </w:pPr>
          </w:p>
        </w:tc>
        <w:tc>
          <w:tcPr>
            <w:tcW w:w="1831"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056"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1"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注册建造师执业资格等级</w:t>
            </w:r>
          </w:p>
        </w:tc>
        <w:tc>
          <w:tcPr>
            <w:tcW w:w="9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级</w:t>
            </w:r>
          </w:p>
        </w:tc>
        <w:tc>
          <w:tcPr>
            <w:tcW w:w="1831"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建造师专业</w:t>
            </w:r>
          </w:p>
        </w:tc>
        <w:tc>
          <w:tcPr>
            <w:tcW w:w="2056"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961" w:type="dxa"/>
            <w:gridSpan w:val="3"/>
            <w:noWrap w:val="0"/>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p>
        </w:tc>
        <w:tc>
          <w:tcPr>
            <w:tcW w:w="910" w:type="dxa"/>
            <w:noWrap w:val="0"/>
            <w:vAlign w:val="center"/>
          </w:tcPr>
          <w:p>
            <w:pPr>
              <w:jc w:val="center"/>
              <w:rPr>
                <w:rFonts w:hint="eastAsia" w:ascii="宋体" w:hAnsi="宋体" w:eastAsia="宋体" w:cs="宋体"/>
                <w:color w:val="auto"/>
                <w:sz w:val="24"/>
                <w:szCs w:val="24"/>
                <w:highlight w:val="none"/>
              </w:rPr>
            </w:pPr>
          </w:p>
        </w:tc>
        <w:tc>
          <w:tcPr>
            <w:tcW w:w="1831"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w:t>
            </w:r>
          </w:p>
        </w:tc>
        <w:tc>
          <w:tcPr>
            <w:tcW w:w="2056"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1"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p>
        </w:tc>
        <w:tc>
          <w:tcPr>
            <w:tcW w:w="910"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831" w:type="dxa"/>
            <w:gridSpan w:val="2"/>
            <w:tcBorders>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最高学历</w:t>
            </w:r>
          </w:p>
        </w:tc>
        <w:tc>
          <w:tcPr>
            <w:tcW w:w="205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2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7531" w:type="dxa"/>
            <w:gridSpan w:val="6"/>
            <w:noWrap w:val="0"/>
            <w:vAlign w:val="center"/>
          </w:tcPr>
          <w:p>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8" w:type="dxa"/>
            <w:gridSpan w:val="7"/>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644"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参加过的类似项目名称</w:t>
            </w:r>
          </w:p>
        </w:tc>
        <w:tc>
          <w:tcPr>
            <w:tcW w:w="172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工程概况说明</w:t>
            </w:r>
          </w:p>
        </w:tc>
        <w:tc>
          <w:tcPr>
            <w:tcW w:w="2160"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7" w:type="dxa"/>
            <w:noWrap w:val="0"/>
            <w:vAlign w:val="center"/>
          </w:tcPr>
          <w:p>
            <w:pPr>
              <w:jc w:val="center"/>
              <w:rPr>
                <w:rFonts w:hint="eastAsia" w:ascii="宋体" w:hAnsi="宋体" w:eastAsia="宋体" w:cs="宋体"/>
                <w:color w:val="auto"/>
                <w:sz w:val="24"/>
                <w:szCs w:val="24"/>
                <w:highlight w:val="none"/>
              </w:rPr>
            </w:pPr>
          </w:p>
        </w:tc>
        <w:tc>
          <w:tcPr>
            <w:tcW w:w="3644" w:type="dxa"/>
            <w:gridSpan w:val="3"/>
            <w:noWrap w:val="0"/>
            <w:vAlign w:val="center"/>
          </w:tcPr>
          <w:p>
            <w:pPr>
              <w:jc w:val="center"/>
              <w:rPr>
                <w:rFonts w:hint="eastAsia" w:ascii="宋体" w:hAnsi="宋体" w:eastAsia="宋体" w:cs="宋体"/>
                <w:color w:val="auto"/>
                <w:sz w:val="24"/>
                <w:szCs w:val="24"/>
                <w:highlight w:val="none"/>
              </w:rPr>
            </w:pPr>
          </w:p>
        </w:tc>
        <w:tc>
          <w:tcPr>
            <w:tcW w:w="1727" w:type="dxa"/>
            <w:noWrap w:val="0"/>
            <w:vAlign w:val="center"/>
          </w:tcPr>
          <w:p>
            <w:pPr>
              <w:jc w:val="center"/>
              <w:rPr>
                <w:rFonts w:hint="eastAsia" w:ascii="宋体" w:hAnsi="宋体" w:eastAsia="宋体" w:cs="宋体"/>
                <w:color w:val="auto"/>
                <w:sz w:val="24"/>
                <w:szCs w:val="24"/>
                <w:highlight w:val="none"/>
              </w:rPr>
            </w:pPr>
          </w:p>
        </w:tc>
        <w:tc>
          <w:tcPr>
            <w:tcW w:w="2160"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7" w:type="dxa"/>
            <w:noWrap w:val="0"/>
            <w:vAlign w:val="center"/>
          </w:tcPr>
          <w:p>
            <w:pPr>
              <w:jc w:val="center"/>
              <w:rPr>
                <w:rFonts w:hint="eastAsia" w:ascii="宋体" w:hAnsi="宋体" w:eastAsia="宋体" w:cs="宋体"/>
                <w:color w:val="auto"/>
                <w:sz w:val="24"/>
                <w:szCs w:val="24"/>
                <w:highlight w:val="none"/>
              </w:rPr>
            </w:pPr>
          </w:p>
        </w:tc>
        <w:tc>
          <w:tcPr>
            <w:tcW w:w="3644" w:type="dxa"/>
            <w:gridSpan w:val="3"/>
            <w:noWrap w:val="0"/>
            <w:vAlign w:val="center"/>
          </w:tcPr>
          <w:p>
            <w:pPr>
              <w:jc w:val="center"/>
              <w:rPr>
                <w:rFonts w:hint="eastAsia" w:ascii="宋体" w:hAnsi="宋体" w:eastAsia="宋体" w:cs="宋体"/>
                <w:color w:val="auto"/>
                <w:sz w:val="24"/>
                <w:szCs w:val="24"/>
                <w:highlight w:val="none"/>
              </w:rPr>
            </w:pPr>
          </w:p>
        </w:tc>
        <w:tc>
          <w:tcPr>
            <w:tcW w:w="1727" w:type="dxa"/>
            <w:noWrap w:val="0"/>
            <w:vAlign w:val="center"/>
          </w:tcPr>
          <w:p>
            <w:pPr>
              <w:jc w:val="center"/>
              <w:rPr>
                <w:rFonts w:hint="eastAsia" w:ascii="宋体" w:hAnsi="宋体" w:eastAsia="宋体" w:cs="宋体"/>
                <w:color w:val="auto"/>
                <w:sz w:val="24"/>
                <w:szCs w:val="24"/>
                <w:highlight w:val="none"/>
              </w:rPr>
            </w:pPr>
          </w:p>
        </w:tc>
        <w:tc>
          <w:tcPr>
            <w:tcW w:w="2160"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7" w:type="dxa"/>
            <w:noWrap w:val="0"/>
            <w:vAlign w:val="center"/>
          </w:tcPr>
          <w:p>
            <w:pPr>
              <w:jc w:val="center"/>
              <w:rPr>
                <w:rFonts w:hint="eastAsia" w:ascii="宋体" w:hAnsi="宋体" w:eastAsia="宋体" w:cs="宋体"/>
                <w:color w:val="auto"/>
                <w:sz w:val="24"/>
                <w:szCs w:val="24"/>
                <w:highlight w:val="none"/>
              </w:rPr>
            </w:pPr>
          </w:p>
        </w:tc>
        <w:tc>
          <w:tcPr>
            <w:tcW w:w="3644" w:type="dxa"/>
            <w:gridSpan w:val="3"/>
            <w:noWrap w:val="0"/>
            <w:vAlign w:val="center"/>
          </w:tcPr>
          <w:p>
            <w:pPr>
              <w:jc w:val="center"/>
              <w:rPr>
                <w:rFonts w:hint="eastAsia" w:ascii="宋体" w:hAnsi="宋体" w:eastAsia="宋体" w:cs="宋体"/>
                <w:color w:val="auto"/>
                <w:sz w:val="24"/>
                <w:szCs w:val="24"/>
                <w:highlight w:val="none"/>
              </w:rPr>
            </w:pPr>
          </w:p>
        </w:tc>
        <w:tc>
          <w:tcPr>
            <w:tcW w:w="1727" w:type="dxa"/>
            <w:noWrap w:val="0"/>
            <w:vAlign w:val="center"/>
          </w:tcPr>
          <w:p>
            <w:pPr>
              <w:jc w:val="center"/>
              <w:rPr>
                <w:rFonts w:hint="eastAsia" w:ascii="宋体" w:hAnsi="宋体" w:eastAsia="宋体" w:cs="宋体"/>
                <w:color w:val="auto"/>
                <w:sz w:val="24"/>
                <w:szCs w:val="24"/>
                <w:highlight w:val="none"/>
              </w:rPr>
            </w:pPr>
          </w:p>
        </w:tc>
        <w:tc>
          <w:tcPr>
            <w:tcW w:w="2160"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7" w:type="dxa"/>
            <w:noWrap w:val="0"/>
            <w:vAlign w:val="center"/>
          </w:tcPr>
          <w:p>
            <w:pPr>
              <w:jc w:val="center"/>
              <w:rPr>
                <w:rFonts w:hint="eastAsia" w:ascii="宋体" w:hAnsi="宋体" w:eastAsia="宋体" w:cs="宋体"/>
                <w:color w:val="auto"/>
                <w:sz w:val="24"/>
                <w:szCs w:val="24"/>
                <w:highlight w:val="none"/>
              </w:rPr>
            </w:pPr>
          </w:p>
        </w:tc>
        <w:tc>
          <w:tcPr>
            <w:tcW w:w="3644" w:type="dxa"/>
            <w:gridSpan w:val="3"/>
            <w:noWrap w:val="0"/>
            <w:vAlign w:val="center"/>
          </w:tcPr>
          <w:p>
            <w:pPr>
              <w:jc w:val="center"/>
              <w:rPr>
                <w:rFonts w:hint="eastAsia" w:ascii="宋体" w:hAnsi="宋体" w:eastAsia="宋体" w:cs="宋体"/>
                <w:color w:val="auto"/>
                <w:sz w:val="24"/>
                <w:szCs w:val="24"/>
                <w:highlight w:val="none"/>
              </w:rPr>
            </w:pPr>
          </w:p>
        </w:tc>
        <w:tc>
          <w:tcPr>
            <w:tcW w:w="1727" w:type="dxa"/>
            <w:noWrap w:val="0"/>
            <w:vAlign w:val="center"/>
          </w:tcPr>
          <w:p>
            <w:pPr>
              <w:jc w:val="center"/>
              <w:rPr>
                <w:rFonts w:hint="eastAsia" w:ascii="宋体" w:hAnsi="宋体" w:eastAsia="宋体" w:cs="宋体"/>
                <w:color w:val="auto"/>
                <w:sz w:val="24"/>
                <w:szCs w:val="24"/>
                <w:highlight w:val="none"/>
              </w:rPr>
            </w:pPr>
          </w:p>
        </w:tc>
        <w:tc>
          <w:tcPr>
            <w:tcW w:w="2160"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7" w:type="dxa"/>
            <w:noWrap w:val="0"/>
            <w:vAlign w:val="center"/>
          </w:tcPr>
          <w:p>
            <w:pPr>
              <w:jc w:val="center"/>
              <w:rPr>
                <w:rFonts w:hint="eastAsia" w:ascii="宋体" w:hAnsi="宋体" w:eastAsia="宋体" w:cs="宋体"/>
                <w:color w:val="auto"/>
                <w:sz w:val="24"/>
                <w:szCs w:val="24"/>
                <w:highlight w:val="none"/>
              </w:rPr>
            </w:pPr>
          </w:p>
        </w:tc>
        <w:tc>
          <w:tcPr>
            <w:tcW w:w="3644" w:type="dxa"/>
            <w:gridSpan w:val="3"/>
            <w:noWrap w:val="0"/>
            <w:vAlign w:val="center"/>
          </w:tcPr>
          <w:p>
            <w:pPr>
              <w:jc w:val="center"/>
              <w:rPr>
                <w:rFonts w:hint="eastAsia" w:ascii="宋体" w:hAnsi="宋体" w:eastAsia="宋体" w:cs="宋体"/>
                <w:color w:val="auto"/>
                <w:sz w:val="24"/>
                <w:szCs w:val="24"/>
                <w:highlight w:val="none"/>
              </w:rPr>
            </w:pPr>
          </w:p>
        </w:tc>
        <w:tc>
          <w:tcPr>
            <w:tcW w:w="1727" w:type="dxa"/>
            <w:noWrap w:val="0"/>
            <w:vAlign w:val="center"/>
          </w:tcPr>
          <w:p>
            <w:pPr>
              <w:jc w:val="center"/>
              <w:rPr>
                <w:rFonts w:hint="eastAsia" w:ascii="宋体" w:hAnsi="宋体" w:eastAsia="宋体" w:cs="宋体"/>
                <w:color w:val="auto"/>
                <w:sz w:val="24"/>
                <w:szCs w:val="24"/>
                <w:highlight w:val="none"/>
              </w:rPr>
            </w:pPr>
          </w:p>
        </w:tc>
        <w:tc>
          <w:tcPr>
            <w:tcW w:w="2160"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7" w:type="dxa"/>
            <w:noWrap w:val="0"/>
            <w:vAlign w:val="center"/>
          </w:tcPr>
          <w:p>
            <w:pPr>
              <w:jc w:val="center"/>
              <w:rPr>
                <w:rFonts w:hint="eastAsia" w:ascii="宋体" w:hAnsi="宋体" w:eastAsia="宋体" w:cs="宋体"/>
                <w:color w:val="auto"/>
                <w:sz w:val="24"/>
                <w:szCs w:val="24"/>
                <w:highlight w:val="none"/>
              </w:rPr>
            </w:pPr>
          </w:p>
        </w:tc>
        <w:tc>
          <w:tcPr>
            <w:tcW w:w="3644" w:type="dxa"/>
            <w:gridSpan w:val="3"/>
            <w:noWrap w:val="0"/>
            <w:vAlign w:val="center"/>
          </w:tcPr>
          <w:p>
            <w:pPr>
              <w:jc w:val="center"/>
              <w:rPr>
                <w:rFonts w:hint="eastAsia" w:ascii="宋体" w:hAnsi="宋体" w:eastAsia="宋体" w:cs="宋体"/>
                <w:color w:val="auto"/>
                <w:sz w:val="24"/>
                <w:szCs w:val="24"/>
                <w:highlight w:val="none"/>
              </w:rPr>
            </w:pPr>
          </w:p>
        </w:tc>
        <w:tc>
          <w:tcPr>
            <w:tcW w:w="1727" w:type="dxa"/>
            <w:noWrap w:val="0"/>
            <w:vAlign w:val="center"/>
          </w:tcPr>
          <w:p>
            <w:pPr>
              <w:jc w:val="center"/>
              <w:rPr>
                <w:rFonts w:hint="eastAsia" w:ascii="宋体" w:hAnsi="宋体" w:eastAsia="宋体" w:cs="宋体"/>
                <w:color w:val="auto"/>
                <w:sz w:val="24"/>
                <w:szCs w:val="24"/>
                <w:highlight w:val="none"/>
              </w:rPr>
            </w:pPr>
          </w:p>
        </w:tc>
        <w:tc>
          <w:tcPr>
            <w:tcW w:w="2160"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7" w:type="dxa"/>
            <w:noWrap w:val="0"/>
            <w:vAlign w:val="center"/>
          </w:tcPr>
          <w:p>
            <w:pPr>
              <w:jc w:val="center"/>
              <w:rPr>
                <w:rFonts w:hint="eastAsia" w:ascii="宋体" w:hAnsi="宋体" w:eastAsia="宋体" w:cs="宋体"/>
                <w:color w:val="auto"/>
                <w:sz w:val="24"/>
                <w:szCs w:val="24"/>
                <w:highlight w:val="none"/>
              </w:rPr>
            </w:pPr>
          </w:p>
        </w:tc>
        <w:tc>
          <w:tcPr>
            <w:tcW w:w="3644" w:type="dxa"/>
            <w:gridSpan w:val="3"/>
            <w:noWrap w:val="0"/>
            <w:vAlign w:val="center"/>
          </w:tcPr>
          <w:p>
            <w:pPr>
              <w:jc w:val="center"/>
              <w:rPr>
                <w:rFonts w:hint="eastAsia" w:ascii="宋体" w:hAnsi="宋体" w:eastAsia="宋体" w:cs="宋体"/>
                <w:color w:val="auto"/>
                <w:sz w:val="24"/>
                <w:szCs w:val="24"/>
                <w:highlight w:val="none"/>
              </w:rPr>
            </w:pPr>
          </w:p>
        </w:tc>
        <w:tc>
          <w:tcPr>
            <w:tcW w:w="1727" w:type="dxa"/>
            <w:noWrap w:val="0"/>
            <w:vAlign w:val="center"/>
          </w:tcPr>
          <w:p>
            <w:pPr>
              <w:jc w:val="center"/>
              <w:rPr>
                <w:rFonts w:hint="eastAsia" w:ascii="宋体" w:hAnsi="宋体" w:eastAsia="宋体" w:cs="宋体"/>
                <w:color w:val="auto"/>
                <w:sz w:val="24"/>
                <w:szCs w:val="24"/>
                <w:highlight w:val="none"/>
              </w:rPr>
            </w:pPr>
          </w:p>
        </w:tc>
        <w:tc>
          <w:tcPr>
            <w:tcW w:w="2160"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7" w:type="dxa"/>
            <w:noWrap w:val="0"/>
            <w:vAlign w:val="center"/>
          </w:tcPr>
          <w:p>
            <w:pPr>
              <w:jc w:val="center"/>
              <w:rPr>
                <w:rFonts w:hint="eastAsia" w:ascii="宋体" w:hAnsi="宋体" w:eastAsia="宋体" w:cs="宋体"/>
                <w:color w:val="auto"/>
                <w:sz w:val="24"/>
                <w:szCs w:val="24"/>
                <w:highlight w:val="none"/>
              </w:rPr>
            </w:pPr>
          </w:p>
        </w:tc>
        <w:tc>
          <w:tcPr>
            <w:tcW w:w="3644" w:type="dxa"/>
            <w:gridSpan w:val="3"/>
            <w:noWrap w:val="0"/>
            <w:vAlign w:val="center"/>
          </w:tcPr>
          <w:p>
            <w:pPr>
              <w:jc w:val="center"/>
              <w:rPr>
                <w:rFonts w:hint="eastAsia" w:ascii="宋体" w:hAnsi="宋体" w:eastAsia="宋体" w:cs="宋体"/>
                <w:color w:val="auto"/>
                <w:sz w:val="24"/>
                <w:szCs w:val="24"/>
                <w:highlight w:val="none"/>
              </w:rPr>
            </w:pPr>
          </w:p>
        </w:tc>
        <w:tc>
          <w:tcPr>
            <w:tcW w:w="1727" w:type="dxa"/>
            <w:noWrap w:val="0"/>
            <w:vAlign w:val="center"/>
          </w:tcPr>
          <w:p>
            <w:pPr>
              <w:jc w:val="center"/>
              <w:rPr>
                <w:rFonts w:hint="eastAsia" w:ascii="宋体" w:hAnsi="宋体" w:eastAsia="宋体" w:cs="宋体"/>
                <w:color w:val="auto"/>
                <w:sz w:val="24"/>
                <w:szCs w:val="24"/>
                <w:highlight w:val="none"/>
              </w:rPr>
            </w:pPr>
          </w:p>
        </w:tc>
        <w:tc>
          <w:tcPr>
            <w:tcW w:w="2160" w:type="dxa"/>
            <w:gridSpan w:val="2"/>
            <w:noWrap w:val="0"/>
            <w:vAlign w:val="center"/>
          </w:tcPr>
          <w:p>
            <w:pPr>
              <w:jc w:val="center"/>
              <w:rPr>
                <w:rFonts w:hint="eastAsia" w:ascii="宋体" w:hAnsi="宋体" w:eastAsia="宋体" w:cs="宋体"/>
                <w:color w:val="auto"/>
                <w:sz w:val="24"/>
                <w:szCs w:val="24"/>
                <w:highlight w:val="none"/>
              </w:rPr>
            </w:pPr>
          </w:p>
        </w:tc>
      </w:tr>
    </w:tbl>
    <w:p>
      <w:pPr>
        <w:pStyle w:val="9"/>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9"/>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rPr>
          <w:rFonts w:hint="eastAsia" w:ascii="宋体" w:hAnsi="宋体" w:eastAsia="宋体" w:cs="宋体"/>
          <w:color w:val="auto"/>
          <w:sz w:val="24"/>
          <w:szCs w:val="24"/>
          <w:highlight w:val="none"/>
        </w:rPr>
      </w:pPr>
    </w:p>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注：1、</w:t>
      </w:r>
      <w:r>
        <w:rPr>
          <w:rFonts w:hint="eastAsia" w:ascii="宋体" w:hAnsi="宋体" w:eastAsia="宋体" w:cs="宋体"/>
          <w:b/>
          <w:color w:val="auto"/>
          <w:sz w:val="21"/>
          <w:szCs w:val="21"/>
          <w:highlight w:val="none"/>
          <w:u w:val="double"/>
        </w:rPr>
        <w:t>项目负责人须由独立投标人或联合体牵头人派出</w:t>
      </w:r>
      <w:r>
        <w:rPr>
          <w:rFonts w:hint="eastAsia" w:ascii="宋体" w:hAnsi="宋体" w:eastAsia="宋体" w:cs="宋体"/>
          <w:b/>
          <w:color w:val="auto"/>
          <w:sz w:val="21"/>
          <w:szCs w:val="21"/>
          <w:highlight w:val="none"/>
        </w:rPr>
        <w:t>。</w:t>
      </w:r>
    </w:p>
    <w:p>
      <w:pPr>
        <w:pStyle w:val="9"/>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double"/>
        </w:rPr>
        <w:t>2、项目负责人的相关证明材料按照第3章“评标办法和标准数据表”的要求提供。</w:t>
      </w:r>
    </w:p>
    <w:p>
      <w:pPr>
        <w:tabs>
          <w:tab w:val="left" w:pos="1600"/>
        </w:tabs>
        <w:snapToGrid w:val="0"/>
        <w:spacing w:line="560" w:lineRule="exact"/>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pPr>
        <w:tabs>
          <w:tab w:val="left" w:pos="0"/>
          <w:tab w:val="left" w:pos="567"/>
          <w:tab w:val="left" w:pos="993"/>
          <w:tab w:val="left" w:pos="1134"/>
        </w:tabs>
        <w:snapToGrid w:val="0"/>
        <w:spacing w:before="156" w:beforeLines="50" w:line="30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七、拟派出项目技术负责人</w:t>
      </w:r>
      <w:r>
        <w:rPr>
          <w:rFonts w:hint="eastAsia" w:ascii="宋体" w:hAnsi="宋体" w:eastAsia="宋体" w:cs="宋体"/>
          <w:b/>
          <w:color w:val="auto"/>
          <w:sz w:val="30"/>
          <w:szCs w:val="30"/>
          <w:highlight w:val="none"/>
        </w:rPr>
        <w:t>简要情况</w:t>
      </w:r>
      <w:r>
        <w:rPr>
          <w:rFonts w:hint="eastAsia" w:ascii="宋体" w:hAnsi="宋体" w:eastAsia="宋体" w:cs="宋体"/>
          <w:b/>
          <w:color w:val="auto"/>
          <w:sz w:val="30"/>
          <w:highlight w:val="none"/>
        </w:rPr>
        <w:t>表</w:t>
      </w:r>
    </w:p>
    <w:p>
      <w:pPr>
        <w:rPr>
          <w:rFonts w:hint="eastAsia" w:ascii="宋体" w:hAnsi="宋体" w:eastAsia="宋体" w:cs="宋体"/>
          <w:color w:val="auto"/>
          <w:highlight w:val="none"/>
        </w:rPr>
      </w:pPr>
    </w:p>
    <w:tbl>
      <w:tblPr>
        <w:tblStyle w:val="24"/>
        <w:tblW w:w="0" w:type="auto"/>
        <w:tblInd w:w="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34"/>
        <w:gridCol w:w="1486"/>
        <w:gridCol w:w="1200"/>
        <w:gridCol w:w="171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034" w:type="dxa"/>
            <w:noWrap w:val="0"/>
            <w:vAlign w:val="center"/>
          </w:tcPr>
          <w:p>
            <w:pPr>
              <w:jc w:val="center"/>
              <w:rPr>
                <w:rFonts w:hint="eastAsia" w:ascii="宋体" w:hAnsi="宋体" w:eastAsia="宋体" w:cs="宋体"/>
                <w:color w:val="auto"/>
                <w:sz w:val="24"/>
                <w:szCs w:val="24"/>
                <w:highlight w:val="none"/>
              </w:rPr>
            </w:pPr>
          </w:p>
        </w:tc>
        <w:tc>
          <w:tcPr>
            <w:tcW w:w="148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5043" w:type="dxa"/>
            <w:gridSpan w:val="3"/>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034"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48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200" w:type="dxa"/>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616" w:type="dxa"/>
            <w:gridSpan w:val="3"/>
            <w:tcBorders>
              <w:right w:val="single" w:color="auto" w:sz="4"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技术职称情况</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（职称专业、证书编号、发证机关等）</w:t>
            </w:r>
          </w:p>
        </w:tc>
        <w:tc>
          <w:tcPr>
            <w:tcW w:w="5043" w:type="dxa"/>
            <w:gridSpan w:val="3"/>
            <w:tcBorders>
              <w:left w:val="single" w:color="auto" w:sz="4" w:space="0"/>
            </w:tcBorders>
            <w:noWrap w:val="0"/>
            <w:vAlign w:val="center"/>
          </w:tcPr>
          <w:p>
            <w:pPr>
              <w:spacing w:line="5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6" w:type="dxa"/>
            <w:gridSpan w:val="3"/>
            <w:noWrap w:val="0"/>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最高学历</w:t>
            </w:r>
          </w:p>
        </w:tc>
        <w:tc>
          <w:tcPr>
            <w:tcW w:w="1200" w:type="dxa"/>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7563" w:type="dxa"/>
            <w:gridSpan w:val="5"/>
            <w:noWrap w:val="0"/>
            <w:vAlign w:val="center"/>
          </w:tcPr>
          <w:p>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9" w:type="dxa"/>
            <w:gridSpan w:val="6"/>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720"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参加过的类似项目名称</w:t>
            </w:r>
          </w:p>
        </w:tc>
        <w:tc>
          <w:tcPr>
            <w:tcW w:w="17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工程概况说明</w:t>
            </w:r>
          </w:p>
        </w:tc>
        <w:tc>
          <w:tcPr>
            <w:tcW w:w="213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bl>
    <w:p>
      <w:pPr>
        <w:tabs>
          <w:tab w:val="left" w:pos="0"/>
          <w:tab w:val="left" w:pos="567"/>
          <w:tab w:val="left" w:pos="993"/>
          <w:tab w:val="left" w:pos="1134"/>
        </w:tabs>
        <w:snapToGrid w:val="0"/>
        <w:spacing w:before="156" w:beforeLines="50" w:line="300" w:lineRule="auto"/>
        <w:jc w:val="center"/>
        <w:rPr>
          <w:rFonts w:hint="eastAsia" w:ascii="宋体" w:hAnsi="宋体" w:eastAsia="宋体" w:cs="宋体"/>
          <w:b/>
          <w:color w:val="auto"/>
          <w:sz w:val="30"/>
          <w:highlight w:val="none"/>
        </w:rPr>
      </w:pPr>
    </w:p>
    <w:p>
      <w:pPr>
        <w:pStyle w:val="9"/>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pStyle w:val="9"/>
        <w:spacing w:line="360" w:lineRule="auto"/>
        <w:ind w:firstLine="0"/>
        <w:rPr>
          <w:rFonts w:hint="eastAsia" w:ascii="宋体" w:hAnsi="宋体" w:eastAsia="宋体" w:cs="宋体"/>
          <w:color w:val="auto"/>
          <w:sz w:val="24"/>
          <w:szCs w:val="24"/>
          <w:highlight w:val="none"/>
        </w:rPr>
      </w:pPr>
    </w:p>
    <w:p>
      <w:pPr>
        <w:pStyle w:val="9"/>
        <w:snapToGrid w:val="0"/>
        <w:spacing w:line="360" w:lineRule="exact"/>
        <w:ind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注：1、</w:t>
      </w:r>
      <w:r>
        <w:rPr>
          <w:rFonts w:hint="eastAsia" w:ascii="宋体" w:hAnsi="宋体" w:eastAsia="宋体" w:cs="宋体"/>
          <w:b/>
          <w:color w:val="auto"/>
          <w:szCs w:val="21"/>
          <w:highlight w:val="none"/>
          <w:u w:val="double"/>
        </w:rPr>
        <w:t>项目技术负责人须由独立投标人或联合体牵头人派出</w:t>
      </w:r>
      <w:r>
        <w:rPr>
          <w:rFonts w:hint="eastAsia" w:ascii="宋体" w:hAnsi="宋体" w:eastAsia="宋体" w:cs="宋体"/>
          <w:b/>
          <w:color w:val="auto"/>
          <w:szCs w:val="21"/>
          <w:highlight w:val="none"/>
        </w:rPr>
        <w:t>。</w:t>
      </w:r>
    </w:p>
    <w:p>
      <w:pPr>
        <w:pStyle w:val="9"/>
        <w:snapToGrid w:val="0"/>
        <w:spacing w:line="360" w:lineRule="exact"/>
        <w:ind w:firstLine="840" w:firstLineChars="400"/>
        <w:rPr>
          <w:rFonts w:hint="eastAsia" w:ascii="宋体" w:hAnsi="宋体" w:eastAsia="宋体" w:cs="宋体"/>
          <w:color w:val="auto"/>
          <w:sz w:val="24"/>
          <w:szCs w:val="24"/>
          <w:highlight w:val="none"/>
        </w:rPr>
      </w:pPr>
      <w:r>
        <w:rPr>
          <w:rFonts w:hint="eastAsia" w:ascii="宋体" w:hAnsi="宋体" w:eastAsia="宋体" w:cs="宋体"/>
          <w:b/>
          <w:color w:val="auto"/>
          <w:szCs w:val="21"/>
          <w:highlight w:val="none"/>
          <w:u w:val="double"/>
        </w:rPr>
        <w:t>2、项目技术负责人的相关证明材料按照第3章“评标办法和标准数据表”的要求提供。</w:t>
      </w:r>
    </w:p>
    <w:p>
      <w:pPr>
        <w:tabs>
          <w:tab w:val="left" w:pos="1600"/>
        </w:tabs>
        <w:snapToGrid w:val="0"/>
        <w:spacing w:line="560" w:lineRule="exact"/>
        <w:ind w:left="840"/>
        <w:rPr>
          <w:rFonts w:hint="eastAsia" w:ascii="宋体" w:hAnsi="宋体" w:eastAsia="宋体" w:cs="宋体"/>
          <w:b/>
          <w:color w:val="auto"/>
          <w:sz w:val="24"/>
          <w:highlight w:val="none"/>
        </w:rPr>
      </w:pPr>
      <w:r>
        <w:rPr>
          <w:rFonts w:hint="eastAsia" w:ascii="宋体" w:hAnsi="宋体" w:eastAsia="宋体" w:cs="宋体"/>
          <w:color w:val="auto"/>
          <w:sz w:val="21"/>
          <w:highlight w:val="none"/>
        </w:rPr>
        <w:br w:type="page"/>
      </w:r>
      <w:r>
        <w:rPr>
          <w:rFonts w:hint="eastAsia" w:ascii="宋体" w:hAnsi="宋体" w:eastAsia="宋体" w:cs="宋体"/>
          <w:b/>
          <w:color w:val="auto"/>
          <w:sz w:val="24"/>
          <w:highlight w:val="none"/>
        </w:rPr>
        <w:t>　</w:t>
      </w:r>
    </w:p>
    <w:p>
      <w:pPr>
        <w:tabs>
          <w:tab w:val="left" w:pos="1600"/>
        </w:tabs>
        <w:snapToGrid w:val="0"/>
        <w:spacing w:line="560" w:lineRule="exact"/>
        <w:ind w:left="-19" w:leftChars="-165" w:hanging="327" w:hangingChars="109"/>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八、项目部施工管理人员到位承诺书</w:t>
      </w:r>
    </w:p>
    <w:p>
      <w:pPr>
        <w:tabs>
          <w:tab w:val="center" w:pos="4507"/>
        </w:tabs>
        <w:spacing w:line="360" w:lineRule="auto"/>
        <w:ind w:firstLine="240" w:firstLineChars="100"/>
        <w:rPr>
          <w:rFonts w:hint="eastAsia" w:ascii="宋体" w:hAnsi="宋体" w:eastAsia="宋体" w:cs="宋体"/>
          <w:color w:val="auto"/>
          <w:sz w:val="24"/>
          <w:highlight w:val="none"/>
          <w:u w:val="single"/>
        </w:rPr>
      </w:pPr>
    </w:p>
    <w:p>
      <w:pPr>
        <w:spacing w:line="460" w:lineRule="exac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 </w:t>
      </w:r>
      <w:r>
        <w:rPr>
          <w:rFonts w:hint="eastAsia" w:ascii="宋体" w:hAnsi="宋体" w:eastAsia="宋体" w:cs="宋体"/>
          <w:color w:val="auto"/>
          <w:kern w:val="2"/>
          <w:sz w:val="24"/>
          <w:highlight w:val="none"/>
          <w:u w:val="single"/>
        </w:rPr>
        <w:t xml:space="preserve">                  （招标人名称）</w:t>
      </w:r>
      <w:r>
        <w:rPr>
          <w:rFonts w:hint="eastAsia" w:ascii="宋体" w:hAnsi="宋体" w:eastAsia="宋体" w:cs="宋体"/>
          <w:color w:val="auto"/>
          <w:kern w:val="2"/>
          <w:sz w:val="24"/>
          <w:highlight w:val="none"/>
        </w:rPr>
        <w:t>：</w:t>
      </w:r>
    </w:p>
    <w:p>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本人</w:t>
      </w:r>
      <w:r>
        <w:rPr>
          <w:rFonts w:hint="eastAsia" w:ascii="宋体" w:hAnsi="宋体" w:eastAsia="宋体" w:cs="宋体"/>
          <w:color w:val="auto"/>
          <w:kern w:val="2"/>
          <w:sz w:val="24"/>
          <w:highlight w:val="none"/>
          <w:u w:val="single"/>
        </w:rPr>
        <w:t xml:space="preserve">         （姓名）</w:t>
      </w:r>
      <w:r>
        <w:rPr>
          <w:rFonts w:hint="eastAsia" w:ascii="宋体" w:hAnsi="宋体" w:eastAsia="宋体" w:cs="宋体"/>
          <w:color w:val="auto"/>
          <w:kern w:val="2"/>
          <w:sz w:val="24"/>
          <w:highlight w:val="none"/>
        </w:rPr>
        <w:t>系</w:t>
      </w:r>
      <w:r>
        <w:rPr>
          <w:rFonts w:hint="eastAsia" w:ascii="宋体" w:hAnsi="宋体" w:eastAsia="宋体" w:cs="宋体"/>
          <w:color w:val="auto"/>
          <w:kern w:val="2"/>
          <w:sz w:val="24"/>
          <w:highlight w:val="none"/>
          <w:u w:val="single"/>
        </w:rPr>
        <w:t xml:space="preserve">                      （投标人名称）</w:t>
      </w:r>
      <w:r>
        <w:rPr>
          <w:rFonts w:hint="eastAsia" w:ascii="宋体" w:hAnsi="宋体" w:eastAsia="宋体" w:cs="宋体"/>
          <w:color w:val="auto"/>
          <w:kern w:val="2"/>
          <w:sz w:val="24"/>
          <w:highlight w:val="none"/>
        </w:rPr>
        <w:t>的法定代表人，现承诺：</w:t>
      </w:r>
    </w:p>
    <w:p>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我单位在</w:t>
      </w:r>
      <w:r>
        <w:rPr>
          <w:rFonts w:hint="eastAsia" w:ascii="宋体" w:hAnsi="宋体" w:eastAsia="宋体" w:cs="宋体"/>
          <w:color w:val="auto"/>
          <w:kern w:val="2"/>
          <w:sz w:val="24"/>
          <w:highlight w:val="none"/>
          <w:u w:val="single"/>
        </w:rPr>
        <w:t xml:space="preserve">                   （项目名称及标段） </w:t>
      </w:r>
      <w:r>
        <w:rPr>
          <w:rFonts w:hint="eastAsia" w:ascii="宋体" w:hAnsi="宋体" w:eastAsia="宋体" w:cs="宋体"/>
          <w:color w:val="auto"/>
          <w:kern w:val="2"/>
          <w:sz w:val="24"/>
          <w:highlight w:val="none"/>
        </w:rPr>
        <w:t>中标后，按照投标文件的承诺派出项目负责人和项目技术负责人，并按照福建省现行的项目施工管理人员配备的要求，配备其他相应管理人员。若不能按投标文件承诺的项目部施工管理人员到位的，愿意无条件地接受招标人作出的以下处理：</w:t>
      </w:r>
    </w:p>
    <w:p>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1、工程开工前，拟派出的施工现场管理人员不符合闽建建[2018]36号文及闽建建[2018]37号文关于项目施工管理人员配备的要求的，招标人有权解除合同并按违约追究投标人责任；</w:t>
      </w:r>
    </w:p>
    <w:p>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2、工程开工后，除不可抗力外,我单位变更项目部施工管理人员中的项目负责人或项目技术负责人，每人每次向招标人交纳</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万元违约金 ；其他人员每人每次向招标人交纳</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万元违约金。</w:t>
      </w:r>
    </w:p>
    <w:p>
      <w:pPr>
        <w:spacing w:line="460" w:lineRule="exact"/>
        <w:ind w:firstLine="645"/>
        <w:rPr>
          <w:rFonts w:hint="eastAsia" w:ascii="宋体" w:hAnsi="宋体" w:eastAsia="宋体" w:cs="宋体"/>
          <w:color w:val="auto"/>
          <w:kern w:val="2"/>
          <w:sz w:val="24"/>
          <w:highlight w:val="none"/>
        </w:rPr>
      </w:pPr>
    </w:p>
    <w:p>
      <w:pPr>
        <w:tabs>
          <w:tab w:val="left" w:pos="100"/>
          <w:tab w:val="left" w:pos="700"/>
        </w:tabs>
        <w:adjustRightInd/>
        <w:spacing w:line="320" w:lineRule="exact"/>
        <w:ind w:firstLine="315" w:firstLineChars="150"/>
        <w:textAlignment w:val="auto"/>
        <w:rPr>
          <w:rFonts w:hint="eastAsia" w:ascii="宋体" w:hAnsi="宋体" w:eastAsia="宋体" w:cs="宋体"/>
          <w:color w:val="auto"/>
          <w:kern w:val="2"/>
          <w:sz w:val="21"/>
          <w:szCs w:val="21"/>
          <w:highlight w:val="none"/>
        </w:rPr>
      </w:pPr>
    </w:p>
    <w:p>
      <w:pPr>
        <w:spacing w:line="460" w:lineRule="exact"/>
        <w:ind w:firstLine="645"/>
        <w:rPr>
          <w:rFonts w:hint="eastAsia" w:ascii="宋体" w:hAnsi="宋体" w:eastAsia="宋体" w:cs="宋体"/>
          <w:color w:val="auto"/>
          <w:kern w:val="2"/>
          <w:sz w:val="24"/>
          <w:highlight w:val="none"/>
        </w:rPr>
      </w:pPr>
    </w:p>
    <w:p>
      <w:pPr>
        <w:spacing w:line="460" w:lineRule="exact"/>
        <w:ind w:firstLine="645"/>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投标人：</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（盖单位公章）</w:t>
      </w:r>
    </w:p>
    <w:p>
      <w:pPr>
        <w:spacing w:line="460" w:lineRule="exact"/>
        <w:ind w:firstLine="3960" w:firstLineChars="1650"/>
        <w:rPr>
          <w:rFonts w:hint="eastAsia" w:ascii="宋体" w:hAnsi="宋体" w:eastAsia="宋体" w:cs="宋体"/>
          <w:color w:val="auto"/>
          <w:kern w:val="2"/>
          <w:sz w:val="24"/>
          <w:highlight w:val="none"/>
        </w:rPr>
      </w:pPr>
    </w:p>
    <w:p>
      <w:pPr>
        <w:spacing w:line="460" w:lineRule="exact"/>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法定代表人或委托代理人：</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（盖章）</w:t>
      </w:r>
    </w:p>
    <w:p>
      <w:pPr>
        <w:spacing w:line="460" w:lineRule="exact"/>
        <w:ind w:firstLine="3960" w:firstLineChars="1650"/>
        <w:rPr>
          <w:rFonts w:hint="eastAsia" w:ascii="宋体" w:hAnsi="宋体" w:eastAsia="宋体" w:cs="宋体"/>
          <w:color w:val="auto"/>
          <w:kern w:val="2"/>
          <w:sz w:val="24"/>
          <w:highlight w:val="none"/>
        </w:rPr>
      </w:pPr>
    </w:p>
    <w:p>
      <w:pPr>
        <w:spacing w:line="460" w:lineRule="exact"/>
        <w:ind w:firstLine="3960" w:firstLineChars="1650"/>
        <w:jc w:val="right"/>
        <w:rPr>
          <w:rFonts w:hint="eastAsia" w:ascii="宋体" w:hAnsi="宋体" w:eastAsia="宋体" w:cs="宋体"/>
          <w:color w:val="auto"/>
          <w:kern w:val="2"/>
          <w:sz w:val="24"/>
          <w:highlight w:val="none"/>
        </w:rPr>
      </w:pPr>
    </w:p>
    <w:p>
      <w:pPr>
        <w:tabs>
          <w:tab w:val="center" w:pos="4507"/>
        </w:tabs>
        <w:rPr>
          <w:rFonts w:hint="eastAsia" w:ascii="宋体" w:hAnsi="宋体" w:eastAsia="宋体" w:cs="宋体"/>
          <w:color w:val="auto"/>
          <w:kern w:val="2"/>
          <w:sz w:val="24"/>
          <w:highlight w:val="none"/>
        </w:rPr>
      </w:pPr>
    </w:p>
    <w:p>
      <w:pPr>
        <w:tabs>
          <w:tab w:val="left" w:pos="1600"/>
        </w:tabs>
        <w:snapToGrid w:val="0"/>
        <w:spacing w:line="560" w:lineRule="exact"/>
        <w:ind w:left="840"/>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rPr>
        <w:tab/>
      </w:r>
      <w:r>
        <w:rPr>
          <w:rFonts w:hint="eastAsia" w:ascii="宋体" w:hAnsi="宋体" w:eastAsia="宋体" w:cs="宋体"/>
          <w:b/>
          <w:color w:val="auto"/>
          <w:sz w:val="28"/>
          <w:highlight w:val="none"/>
        </w:rPr>
        <w:t xml:space="preserve">  </w:t>
      </w:r>
    </w:p>
    <w:p>
      <w:pPr>
        <w:tabs>
          <w:tab w:val="left" w:pos="840"/>
          <w:tab w:val="left" w:pos="1600"/>
        </w:tabs>
        <w:snapToGrid w:val="0"/>
        <w:spacing w:line="560" w:lineRule="exact"/>
        <w:ind w:left="-19" w:leftChars="-165" w:hanging="327" w:hangingChars="109"/>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九、投标人基本账户信息</w:t>
      </w:r>
    </w:p>
    <w:p>
      <w:pPr>
        <w:tabs>
          <w:tab w:val="left" w:pos="840"/>
          <w:tab w:val="left" w:pos="1600"/>
        </w:tabs>
        <w:snapToGrid w:val="0"/>
        <w:spacing w:line="560" w:lineRule="exact"/>
        <w:ind w:left="330"/>
        <w:rPr>
          <w:rFonts w:hint="eastAsia" w:ascii="宋体" w:hAnsi="宋体" w:eastAsia="宋体" w:cs="宋体"/>
          <w:color w:val="auto"/>
          <w:sz w:val="28"/>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49"/>
        <w:gridCol w:w="3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restart"/>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w:t>
            </w:r>
          </w:p>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p>
            <w:pPr>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pPr>
              <w:rPr>
                <w:rFonts w:hint="eastAsia" w:ascii="宋体" w:hAnsi="宋体" w:eastAsia="宋体" w:cs="宋体"/>
                <w:color w:val="auto"/>
                <w:highlight w:val="none"/>
              </w:rPr>
            </w:pP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pPr>
              <w:rPr>
                <w:rFonts w:hint="eastAsia" w:ascii="宋体" w:hAnsi="宋体" w:eastAsia="宋体" w:cs="宋体"/>
                <w:color w:val="auto"/>
                <w:highlight w:val="none"/>
              </w:rPr>
            </w:pPr>
          </w:p>
        </w:tc>
        <w:tc>
          <w:tcPr>
            <w:tcW w:w="3749" w:type="dxa"/>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spacing w:line="240" w:lineRule="auto"/>
              <w:rPr>
                <w:rFonts w:hint="eastAsia" w:ascii="宋体" w:hAnsi="宋体" w:eastAsia="宋体" w:cs="宋体"/>
                <w:color w:val="auto"/>
                <w:sz w:val="24"/>
                <w:szCs w:val="24"/>
                <w:highlight w:val="none"/>
              </w:rPr>
            </w:pPr>
          </w:p>
        </w:tc>
        <w:tc>
          <w:tcPr>
            <w:tcW w:w="3885" w:type="dxa"/>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pPr>
              <w:rPr>
                <w:rFonts w:hint="eastAsia" w:ascii="宋体" w:hAnsi="宋体" w:eastAsia="宋体" w:cs="宋体"/>
                <w:color w:val="auto"/>
                <w:highlight w:val="none"/>
              </w:rPr>
            </w:pP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联系人及职务：</w:t>
            </w:r>
          </w:p>
          <w:p>
            <w:pPr>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restart"/>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w:t>
            </w: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p>
            <w:pPr>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pPr>
              <w:rPr>
                <w:rFonts w:hint="eastAsia" w:ascii="宋体" w:hAnsi="宋体" w:eastAsia="宋体" w:cs="宋体"/>
                <w:color w:val="auto"/>
                <w:highlight w:val="none"/>
              </w:rPr>
            </w:pP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pPr>
              <w:spacing w:line="240" w:lineRule="auto"/>
              <w:rPr>
                <w:rFonts w:hint="eastAsia" w:ascii="宋体" w:hAnsi="宋体" w:eastAsia="宋体" w:cs="宋体"/>
                <w:color w:val="auto"/>
                <w:sz w:val="24"/>
                <w:szCs w:val="24"/>
                <w:highlight w:val="none"/>
              </w:rPr>
            </w:pPr>
          </w:p>
        </w:tc>
      </w:tr>
    </w:tbl>
    <w:p>
      <w:pPr>
        <w:spacing w:line="500" w:lineRule="exact"/>
        <w:ind w:firstLine="6090"/>
        <w:rPr>
          <w:rFonts w:hint="eastAsia" w:ascii="宋体" w:hAnsi="宋体" w:eastAsia="宋体" w:cs="宋体"/>
          <w:color w:val="auto"/>
          <w:sz w:val="24"/>
          <w:szCs w:val="24"/>
          <w:highlight w:val="none"/>
        </w:rPr>
      </w:pPr>
    </w:p>
    <w:p>
      <w:pPr>
        <w:spacing w:line="500" w:lineRule="exact"/>
        <w:ind w:firstLine="6090"/>
        <w:rPr>
          <w:rFonts w:hint="eastAsia" w:ascii="宋体" w:hAnsi="宋体" w:eastAsia="宋体" w:cs="宋体"/>
          <w:color w:val="auto"/>
          <w:sz w:val="24"/>
          <w:szCs w:val="24"/>
          <w:highlight w:val="none"/>
        </w:rPr>
      </w:pPr>
    </w:p>
    <w:p>
      <w:pPr>
        <w:pStyle w:val="9"/>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line="500" w:lineRule="exact"/>
        <w:ind w:firstLine="6090"/>
        <w:rPr>
          <w:rFonts w:hint="eastAsia" w:ascii="宋体" w:hAnsi="宋体" w:eastAsia="宋体" w:cs="宋体"/>
          <w:color w:val="auto"/>
          <w:sz w:val="24"/>
          <w:szCs w:val="24"/>
          <w:highlight w:val="none"/>
        </w:rPr>
      </w:pPr>
    </w:p>
    <w:p>
      <w:pPr>
        <w:snapToGrid w:val="0"/>
        <w:spacing w:line="360" w:lineRule="exact"/>
        <w:rPr>
          <w:rFonts w:hint="eastAsia" w:ascii="宋体" w:hAnsi="宋体" w:eastAsia="宋体" w:cs="宋体"/>
          <w:b/>
          <w:color w:val="auto"/>
          <w:spacing w:val="-6"/>
          <w:sz w:val="21"/>
          <w:szCs w:val="21"/>
          <w:highlight w:val="none"/>
          <w:lang w:bidi="ar"/>
        </w:rPr>
      </w:pPr>
      <w:r>
        <w:rPr>
          <w:rFonts w:hint="eastAsia" w:ascii="宋体" w:hAnsi="宋体" w:eastAsia="宋体" w:cs="宋体"/>
          <w:b/>
          <w:color w:val="auto"/>
          <w:sz w:val="21"/>
          <w:szCs w:val="21"/>
          <w:highlight w:val="none"/>
        </w:rPr>
        <w:t>注：</w:t>
      </w:r>
      <w:r>
        <w:rPr>
          <w:rFonts w:hint="eastAsia" w:ascii="宋体" w:hAnsi="宋体" w:eastAsia="宋体" w:cs="宋体"/>
          <w:b/>
          <w:color w:val="auto"/>
          <w:spacing w:val="-6"/>
          <w:sz w:val="21"/>
          <w:szCs w:val="21"/>
          <w:highlight w:val="none"/>
          <w:lang w:bidi="ar"/>
        </w:rPr>
        <w:t>1.</w:t>
      </w:r>
      <w:r>
        <w:rPr>
          <w:rFonts w:hint="eastAsia" w:ascii="宋体" w:hAnsi="宋体" w:eastAsia="宋体" w:cs="宋体"/>
          <w:b/>
          <w:bCs/>
          <w:color w:val="auto"/>
          <w:sz w:val="21"/>
          <w:szCs w:val="21"/>
          <w:highlight w:val="none"/>
          <w:u w:val="double"/>
        </w:rPr>
        <w:t>投标人应附上中国人民银行发出的投标人企业基本账户许可证扫描件或基本存款账户开户银行开具的《基本存款账户信息》扫描件加盖投标人单位公章</w:t>
      </w:r>
      <w:r>
        <w:rPr>
          <w:rFonts w:hint="eastAsia" w:ascii="宋体" w:hAnsi="宋体" w:eastAsia="宋体" w:cs="宋体"/>
          <w:b/>
          <w:color w:val="auto"/>
          <w:spacing w:val="-6"/>
          <w:sz w:val="21"/>
          <w:szCs w:val="21"/>
          <w:highlight w:val="none"/>
          <w:lang w:bidi="ar"/>
        </w:rPr>
        <w:t>。</w:t>
      </w:r>
    </w:p>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w:t>
      </w:r>
      <w:r>
        <w:rPr>
          <w:rFonts w:hint="eastAsia" w:ascii="宋体" w:hAnsi="宋体" w:eastAsia="宋体" w:cs="宋体"/>
          <w:b/>
          <w:color w:val="auto"/>
          <w:sz w:val="21"/>
          <w:szCs w:val="21"/>
          <w:highlight w:val="none"/>
          <w:u w:val="double"/>
        </w:rPr>
        <w:t>联合体投标的，联合体各方均须填写此表，并加盖单位公章</w:t>
      </w:r>
      <w:r>
        <w:rPr>
          <w:rFonts w:hint="eastAsia" w:ascii="宋体" w:hAnsi="宋体" w:eastAsia="宋体" w:cs="宋体"/>
          <w:b/>
          <w:color w:val="auto"/>
          <w:sz w:val="21"/>
          <w:szCs w:val="21"/>
          <w:highlight w:val="none"/>
        </w:rPr>
        <w:t>。</w:t>
      </w:r>
    </w:p>
    <w:p>
      <w:pPr>
        <w:tabs>
          <w:tab w:val="left" w:pos="1600"/>
        </w:tabs>
        <w:snapToGrid w:val="0"/>
        <w:spacing w:line="560" w:lineRule="exact"/>
        <w:ind w:left="840"/>
        <w:rPr>
          <w:rFonts w:hint="eastAsia" w:ascii="宋体" w:hAnsi="宋体" w:eastAsia="宋体" w:cs="宋体"/>
          <w:b/>
          <w:color w:val="auto"/>
          <w:sz w:val="24"/>
          <w:highlight w:val="none"/>
        </w:rPr>
      </w:pPr>
      <w:r>
        <w:rPr>
          <w:rFonts w:hint="eastAsia" w:ascii="宋体" w:hAnsi="宋体" w:eastAsia="宋体" w:cs="宋体"/>
          <w:color w:val="auto"/>
          <w:highlight w:val="none"/>
        </w:rPr>
        <w:br w:type="page"/>
      </w:r>
    </w:p>
    <w:p>
      <w:pPr>
        <w:pStyle w:val="18"/>
        <w:jc w:val="center"/>
        <w:rPr>
          <w:rFonts w:hint="eastAsia" w:ascii="宋体" w:hAnsi="宋体" w:eastAsia="宋体" w:cs="宋体"/>
          <w:color w:val="auto"/>
          <w:highlight w:val="none"/>
        </w:rPr>
      </w:pPr>
      <w:r>
        <w:rPr>
          <w:rFonts w:hint="eastAsia" w:ascii="宋体" w:hAnsi="宋体" w:eastAsia="宋体" w:cs="宋体"/>
          <w:color w:val="auto"/>
          <w:sz w:val="30"/>
          <w:szCs w:val="30"/>
          <w:highlight w:val="none"/>
        </w:rPr>
        <w:t>十、“类似工程业绩”情况表（如有时）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608"/>
        <w:gridCol w:w="514"/>
        <w:gridCol w:w="686"/>
        <w:gridCol w:w="690"/>
        <w:gridCol w:w="616"/>
        <w:gridCol w:w="686"/>
        <w:gridCol w:w="686"/>
        <w:gridCol w:w="686"/>
        <w:gridCol w:w="686"/>
        <w:gridCol w:w="686"/>
        <w:gridCol w:w="686"/>
        <w:gridCol w:w="687"/>
        <w:gridCol w:w="686"/>
        <w:gridCol w:w="686"/>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restart"/>
            <w:tcBorders>
              <w:top w:val="single" w:color="auto" w:sz="8" w:space="0"/>
              <w:left w:val="single" w:color="auto" w:sz="8" w:space="0"/>
            </w:tcBorders>
            <w:noWrap w:val="0"/>
            <w:vAlign w:val="center"/>
          </w:tcPr>
          <w:p>
            <w:pPr>
              <w:pStyle w:val="9"/>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p>
        </w:tc>
        <w:tc>
          <w:tcPr>
            <w:tcW w:w="608" w:type="dxa"/>
            <w:vMerge w:val="restart"/>
            <w:tcBorders>
              <w:top w:val="single" w:color="auto" w:sz="8" w:space="0"/>
            </w:tcBorders>
            <w:noWrap w:val="0"/>
            <w:vAlign w:val="center"/>
          </w:tcPr>
          <w:p>
            <w:pPr>
              <w:pStyle w:val="9"/>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p>
        </w:tc>
        <w:tc>
          <w:tcPr>
            <w:tcW w:w="514" w:type="dxa"/>
            <w:vMerge w:val="restart"/>
            <w:tcBorders>
              <w:top w:val="single" w:color="auto" w:sz="8" w:space="0"/>
            </w:tcBorders>
            <w:noWrap w:val="0"/>
            <w:vAlign w:val="center"/>
          </w:tcPr>
          <w:p>
            <w:pPr>
              <w:pStyle w:val="9"/>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建设地点</w:t>
            </w:r>
          </w:p>
        </w:tc>
        <w:tc>
          <w:tcPr>
            <w:tcW w:w="1376" w:type="dxa"/>
            <w:gridSpan w:val="2"/>
            <w:tcBorders>
              <w:top w:val="single" w:color="auto" w:sz="8" w:space="0"/>
            </w:tcBorders>
            <w:noWrap w:val="0"/>
            <w:vAlign w:val="center"/>
          </w:tcPr>
          <w:p>
            <w:pPr>
              <w:pStyle w:val="9"/>
              <w:spacing w:line="32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合同信息</w:t>
            </w:r>
          </w:p>
        </w:tc>
        <w:tc>
          <w:tcPr>
            <w:tcW w:w="5419" w:type="dxa"/>
            <w:gridSpan w:val="8"/>
            <w:tcBorders>
              <w:top w:val="single" w:color="auto" w:sz="8" w:space="0"/>
            </w:tcBorders>
            <w:noWrap w:val="0"/>
            <w:vAlign w:val="center"/>
          </w:tcPr>
          <w:p>
            <w:pPr>
              <w:pStyle w:val="9"/>
              <w:spacing w:line="32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竣工验收信息</w:t>
            </w:r>
          </w:p>
        </w:tc>
        <w:tc>
          <w:tcPr>
            <w:tcW w:w="686" w:type="dxa"/>
            <w:vMerge w:val="restart"/>
            <w:tcBorders>
              <w:top w:val="single" w:color="auto" w:sz="8" w:space="0"/>
              <w:right w:val="single" w:color="auto" w:sz="4" w:space="0"/>
            </w:tcBorders>
            <w:noWrap w:val="0"/>
            <w:vAlign w:val="center"/>
          </w:tcPr>
          <w:p>
            <w:pPr>
              <w:pStyle w:val="9"/>
              <w:spacing w:line="32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建设单位</w:t>
            </w:r>
          </w:p>
        </w:tc>
        <w:tc>
          <w:tcPr>
            <w:tcW w:w="686" w:type="dxa"/>
            <w:vMerge w:val="restart"/>
            <w:tcBorders>
              <w:top w:val="single" w:color="auto" w:sz="8" w:space="0"/>
              <w:left w:val="single" w:color="auto" w:sz="4" w:space="0"/>
              <w:right w:val="single" w:color="auto" w:sz="8" w:space="0"/>
            </w:tcBorders>
            <w:noWrap w:val="0"/>
            <w:vAlign w:val="center"/>
          </w:tcPr>
          <w:p>
            <w:pPr>
              <w:pStyle w:val="9"/>
              <w:spacing w:line="32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建设单位联系人/电话</w:t>
            </w:r>
          </w:p>
        </w:tc>
        <w:tc>
          <w:tcPr>
            <w:tcW w:w="420" w:type="dxa"/>
            <w:vMerge w:val="restart"/>
            <w:tcBorders>
              <w:top w:val="single" w:color="auto" w:sz="8" w:space="0"/>
              <w:left w:val="single" w:color="auto" w:sz="4" w:space="0"/>
              <w:right w:val="single" w:color="auto" w:sz="8" w:space="0"/>
            </w:tcBorders>
            <w:noWrap w:val="0"/>
            <w:vAlign w:val="center"/>
          </w:tcPr>
          <w:p>
            <w:pPr>
              <w:pStyle w:val="9"/>
              <w:spacing w:line="44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531" w:type="dxa"/>
            <w:vMerge w:val="continue"/>
            <w:tcBorders>
              <w:left w:val="single" w:color="auto" w:sz="8" w:space="0"/>
            </w:tcBorders>
            <w:noWrap w:val="0"/>
            <w:vAlign w:val="top"/>
          </w:tcPr>
          <w:p>
            <w:pPr>
              <w:rPr>
                <w:rFonts w:hint="eastAsia" w:ascii="宋体" w:hAnsi="宋体" w:eastAsia="宋体" w:cs="宋体"/>
                <w:color w:val="auto"/>
                <w:highlight w:val="none"/>
              </w:rPr>
            </w:pPr>
          </w:p>
        </w:tc>
        <w:tc>
          <w:tcPr>
            <w:tcW w:w="608" w:type="dxa"/>
            <w:vMerge w:val="continue"/>
            <w:noWrap w:val="0"/>
            <w:vAlign w:val="top"/>
          </w:tcPr>
          <w:p>
            <w:pPr>
              <w:rPr>
                <w:rFonts w:hint="eastAsia" w:ascii="宋体" w:hAnsi="宋体" w:eastAsia="宋体" w:cs="宋体"/>
                <w:color w:val="auto"/>
                <w:highlight w:val="none"/>
              </w:rPr>
            </w:pPr>
          </w:p>
        </w:tc>
        <w:tc>
          <w:tcPr>
            <w:tcW w:w="514" w:type="dxa"/>
            <w:vMerge w:val="continue"/>
            <w:noWrap w:val="0"/>
            <w:vAlign w:val="top"/>
          </w:tcPr>
          <w:p>
            <w:pPr>
              <w:rPr>
                <w:rFonts w:hint="eastAsia" w:ascii="宋体" w:hAnsi="宋体" w:eastAsia="宋体" w:cs="宋体"/>
                <w:color w:val="auto"/>
                <w:highlight w:val="none"/>
              </w:rPr>
            </w:pPr>
          </w:p>
        </w:tc>
        <w:tc>
          <w:tcPr>
            <w:tcW w:w="686" w:type="dxa"/>
            <w:noWrap w:val="0"/>
            <w:vAlign w:val="top"/>
          </w:tcPr>
          <w:p>
            <w:pPr>
              <w:pStyle w:val="9"/>
              <w:spacing w:line="32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合同金额（万元）</w:t>
            </w:r>
          </w:p>
        </w:tc>
        <w:tc>
          <w:tcPr>
            <w:tcW w:w="690" w:type="dxa"/>
            <w:noWrap w:val="0"/>
            <w:vAlign w:val="top"/>
          </w:tcPr>
          <w:p>
            <w:pPr>
              <w:pStyle w:val="9"/>
              <w:spacing w:line="32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施工合同标注项目负责人</w:t>
            </w:r>
          </w:p>
        </w:tc>
        <w:tc>
          <w:tcPr>
            <w:tcW w:w="616" w:type="dxa"/>
            <w:noWrap w:val="0"/>
            <w:vAlign w:val="top"/>
          </w:tcPr>
          <w:p>
            <w:pPr>
              <w:pStyle w:val="9"/>
              <w:spacing w:line="32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竣工备案编号</w:t>
            </w:r>
          </w:p>
        </w:tc>
        <w:tc>
          <w:tcPr>
            <w:tcW w:w="686" w:type="dxa"/>
            <w:noWrap w:val="0"/>
            <w:vAlign w:val="top"/>
          </w:tcPr>
          <w:p>
            <w:pPr>
              <w:pStyle w:val="9"/>
              <w:spacing w:line="32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竣工验收证明材料标注项目负责人</w:t>
            </w:r>
          </w:p>
        </w:tc>
        <w:tc>
          <w:tcPr>
            <w:tcW w:w="686" w:type="dxa"/>
            <w:noWrap w:val="0"/>
            <w:vAlign w:val="top"/>
          </w:tcPr>
          <w:p>
            <w:pPr>
              <w:pStyle w:val="9"/>
              <w:spacing w:line="32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实际造价（万元）</w:t>
            </w:r>
          </w:p>
        </w:tc>
        <w:tc>
          <w:tcPr>
            <w:tcW w:w="686" w:type="dxa"/>
            <w:noWrap w:val="0"/>
            <w:vAlign w:val="top"/>
          </w:tcPr>
          <w:p>
            <w:pPr>
              <w:pStyle w:val="9"/>
              <w:spacing w:line="32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实际面积（平方米）</w:t>
            </w:r>
          </w:p>
        </w:tc>
        <w:tc>
          <w:tcPr>
            <w:tcW w:w="686" w:type="dxa"/>
            <w:noWrap w:val="0"/>
            <w:vAlign w:val="top"/>
          </w:tcPr>
          <w:p>
            <w:pPr>
              <w:pStyle w:val="9"/>
              <w:spacing w:line="32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其他工程特征指标</w:t>
            </w:r>
          </w:p>
        </w:tc>
        <w:tc>
          <w:tcPr>
            <w:tcW w:w="686" w:type="dxa"/>
            <w:noWrap w:val="0"/>
            <w:vAlign w:val="top"/>
          </w:tcPr>
          <w:p>
            <w:pPr>
              <w:pStyle w:val="9"/>
              <w:spacing w:line="32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工程质量</w:t>
            </w:r>
          </w:p>
        </w:tc>
        <w:tc>
          <w:tcPr>
            <w:tcW w:w="686" w:type="dxa"/>
            <w:noWrap w:val="0"/>
            <w:vAlign w:val="top"/>
          </w:tcPr>
          <w:p>
            <w:pPr>
              <w:pStyle w:val="9"/>
              <w:spacing w:line="32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实际开工日期</w:t>
            </w:r>
          </w:p>
        </w:tc>
        <w:tc>
          <w:tcPr>
            <w:tcW w:w="687" w:type="dxa"/>
            <w:noWrap w:val="0"/>
            <w:vAlign w:val="top"/>
          </w:tcPr>
          <w:p>
            <w:pPr>
              <w:pStyle w:val="9"/>
              <w:spacing w:line="32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实际竣工验收日期</w:t>
            </w:r>
          </w:p>
        </w:tc>
        <w:tc>
          <w:tcPr>
            <w:tcW w:w="686" w:type="dxa"/>
            <w:vMerge w:val="continue"/>
            <w:tcBorders>
              <w:right w:val="single" w:color="auto" w:sz="4" w:space="0"/>
            </w:tcBorders>
            <w:noWrap w:val="0"/>
            <w:vAlign w:val="top"/>
          </w:tcPr>
          <w:p>
            <w:pPr>
              <w:rPr>
                <w:rFonts w:hint="eastAsia" w:ascii="宋体" w:hAnsi="宋体" w:eastAsia="宋体" w:cs="宋体"/>
                <w:color w:val="auto"/>
                <w:highlight w:val="none"/>
              </w:rPr>
            </w:pPr>
          </w:p>
        </w:tc>
        <w:tc>
          <w:tcPr>
            <w:tcW w:w="686" w:type="dxa"/>
            <w:vMerge w:val="continue"/>
            <w:tcBorders>
              <w:left w:val="single" w:color="auto" w:sz="4" w:space="0"/>
              <w:right w:val="single" w:color="auto" w:sz="4" w:space="0"/>
            </w:tcBorders>
            <w:noWrap w:val="0"/>
            <w:vAlign w:val="top"/>
          </w:tcPr>
          <w:p>
            <w:pPr>
              <w:rPr>
                <w:rFonts w:hint="eastAsia" w:ascii="宋体" w:hAnsi="宋体" w:eastAsia="宋体" w:cs="宋体"/>
                <w:color w:val="auto"/>
                <w:highlight w:val="none"/>
              </w:rPr>
            </w:pPr>
          </w:p>
        </w:tc>
        <w:tc>
          <w:tcPr>
            <w:tcW w:w="420" w:type="dxa"/>
            <w:vMerge w:val="continue"/>
            <w:tcBorders>
              <w:left w:val="single" w:color="auto" w:sz="4" w:space="0"/>
              <w:right w:val="single" w:color="auto" w:sz="8" w:space="0"/>
            </w:tcBorders>
            <w:noWrap w:val="0"/>
            <w:vAlign w:val="top"/>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531" w:type="dxa"/>
            <w:tcBorders>
              <w:left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08"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514"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90"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1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7"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tcBorders>
              <w:right w:val="single" w:color="auto" w:sz="4"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420" w:type="dxa"/>
            <w:tcBorders>
              <w:left w:val="single" w:color="auto" w:sz="4" w:space="0"/>
              <w:right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531" w:type="dxa"/>
            <w:tcBorders>
              <w:left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08"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514"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90"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1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7"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tcBorders>
              <w:right w:val="single" w:color="auto" w:sz="4"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420" w:type="dxa"/>
            <w:tcBorders>
              <w:left w:val="single" w:color="auto" w:sz="4" w:space="0"/>
              <w:right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531" w:type="dxa"/>
            <w:tcBorders>
              <w:left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08"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514"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90"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1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7"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tcBorders>
              <w:right w:val="single" w:color="auto" w:sz="4"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420" w:type="dxa"/>
            <w:tcBorders>
              <w:left w:val="single" w:color="auto" w:sz="4" w:space="0"/>
              <w:right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531" w:type="dxa"/>
            <w:tcBorders>
              <w:left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08"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514"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90"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1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7"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tcBorders>
              <w:right w:val="single" w:color="auto" w:sz="4"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420" w:type="dxa"/>
            <w:tcBorders>
              <w:left w:val="single" w:color="auto" w:sz="4" w:space="0"/>
              <w:right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531" w:type="dxa"/>
            <w:tcBorders>
              <w:left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08"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514"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90"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1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7"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tcBorders>
              <w:right w:val="single" w:color="auto" w:sz="4"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420" w:type="dxa"/>
            <w:tcBorders>
              <w:left w:val="single" w:color="auto" w:sz="4" w:space="0"/>
              <w:right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531" w:type="dxa"/>
            <w:tcBorders>
              <w:left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08"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514"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90"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1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7"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tcBorders>
              <w:right w:val="single" w:color="auto" w:sz="4"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420" w:type="dxa"/>
            <w:tcBorders>
              <w:left w:val="single" w:color="auto" w:sz="4" w:space="0"/>
              <w:right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531" w:type="dxa"/>
            <w:tcBorders>
              <w:left w:val="single" w:color="auto" w:sz="8" w:space="0"/>
              <w:bottom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08" w:type="dxa"/>
            <w:tcBorders>
              <w:bottom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514" w:type="dxa"/>
            <w:tcBorders>
              <w:bottom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tcBorders>
              <w:bottom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90" w:type="dxa"/>
            <w:tcBorders>
              <w:bottom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16" w:type="dxa"/>
            <w:tcBorders>
              <w:bottom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tcBorders>
              <w:bottom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tcBorders>
              <w:bottom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tcBorders>
              <w:bottom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tcBorders>
              <w:bottom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tcBorders>
              <w:bottom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tcBorders>
              <w:bottom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7" w:type="dxa"/>
            <w:tcBorders>
              <w:bottom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tcBorders>
              <w:bottom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686" w:type="dxa"/>
            <w:tcBorders>
              <w:bottom w:val="single" w:color="auto" w:sz="8" w:space="0"/>
              <w:right w:val="single" w:color="auto" w:sz="4"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c>
          <w:tcPr>
            <w:tcW w:w="420" w:type="dxa"/>
            <w:tcBorders>
              <w:left w:val="single" w:color="auto" w:sz="4" w:space="0"/>
              <w:bottom w:val="single" w:color="auto" w:sz="8" w:space="0"/>
              <w:right w:val="single" w:color="auto" w:sz="8" w:space="0"/>
            </w:tcBorders>
            <w:noWrap w:val="0"/>
            <w:vAlign w:val="top"/>
          </w:tcPr>
          <w:p>
            <w:pPr>
              <w:pStyle w:val="9"/>
              <w:spacing w:line="440" w:lineRule="exact"/>
              <w:ind w:firstLine="0"/>
              <w:rPr>
                <w:rFonts w:hint="eastAsia" w:ascii="宋体" w:hAnsi="宋体" w:eastAsia="宋体" w:cs="宋体"/>
                <w:color w:val="auto"/>
                <w:highlight w:val="none"/>
                <w:lang w:val="en-US" w:eastAsia="zh-CN"/>
              </w:rPr>
            </w:pPr>
          </w:p>
        </w:tc>
      </w:tr>
    </w:tbl>
    <w:p>
      <w:pPr>
        <w:pStyle w:val="9"/>
        <w:spacing w:line="360" w:lineRule="auto"/>
        <w:ind w:firstLine="3360" w:firstLineChars="1400"/>
        <w:rPr>
          <w:rFonts w:hint="eastAsia" w:ascii="宋体" w:hAnsi="宋体" w:eastAsia="宋体" w:cs="宋体"/>
          <w:color w:val="auto"/>
          <w:sz w:val="24"/>
          <w:szCs w:val="24"/>
          <w:highlight w:val="none"/>
        </w:rPr>
      </w:pPr>
    </w:p>
    <w:p>
      <w:pPr>
        <w:pStyle w:val="9"/>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pStyle w:val="9"/>
        <w:spacing w:line="360" w:lineRule="auto"/>
        <w:ind w:firstLine="0"/>
        <w:jc w:val="right"/>
        <w:rPr>
          <w:rFonts w:hint="eastAsia" w:ascii="宋体" w:hAnsi="宋体" w:eastAsia="宋体" w:cs="宋体"/>
          <w:color w:val="auto"/>
          <w:highlight w:val="none"/>
        </w:rPr>
      </w:pPr>
    </w:p>
    <w:p>
      <w:pPr>
        <w:snapToGrid w:val="0"/>
        <w:spacing w:line="360" w:lineRule="exact"/>
        <w:rPr>
          <w:rFonts w:hint="eastAsia" w:ascii="宋体" w:hAnsi="宋体" w:eastAsia="宋体" w:cs="宋体"/>
          <w:b/>
          <w:color w:val="auto"/>
          <w:sz w:val="21"/>
          <w:highlight w:val="none"/>
          <w:u w:val="double"/>
        </w:rPr>
      </w:pPr>
      <w:r>
        <w:rPr>
          <w:rFonts w:hint="eastAsia" w:ascii="宋体" w:hAnsi="宋体" w:eastAsia="宋体" w:cs="宋体"/>
          <w:b/>
          <w:color w:val="auto"/>
          <w:sz w:val="21"/>
          <w:highlight w:val="none"/>
        </w:rPr>
        <w:t>注：1、</w:t>
      </w:r>
      <w:r>
        <w:rPr>
          <w:rFonts w:hint="eastAsia" w:ascii="宋体" w:hAnsi="宋体" w:eastAsia="宋体" w:cs="宋体"/>
          <w:b/>
          <w:color w:val="auto"/>
          <w:sz w:val="21"/>
          <w:highlight w:val="none"/>
          <w:u w:val="double"/>
        </w:rPr>
        <w:t>招标文件有要求提供“类似工程业绩”的，投标人须填写本表并按招标文件第3章“评标办法和标准”的要求提交类似业绩证明材料。</w:t>
      </w:r>
    </w:p>
    <w:p>
      <w:pPr>
        <w:snapToGrid w:val="0"/>
        <w:spacing w:line="360" w:lineRule="exact"/>
        <w:ind w:firstLine="420" w:firstLineChars="200"/>
        <w:rPr>
          <w:rFonts w:hint="eastAsia" w:ascii="宋体" w:hAnsi="宋体" w:eastAsia="宋体" w:cs="宋体"/>
          <w:b/>
          <w:color w:val="auto"/>
          <w:sz w:val="21"/>
          <w:highlight w:val="none"/>
          <w:u w:val="double"/>
        </w:rPr>
      </w:pPr>
      <w:r>
        <w:rPr>
          <w:rFonts w:hint="eastAsia" w:ascii="宋体" w:hAnsi="宋体" w:eastAsia="宋体" w:cs="宋体"/>
          <w:b/>
          <w:color w:val="auto"/>
          <w:sz w:val="21"/>
          <w:highlight w:val="none"/>
        </w:rPr>
        <w:t>2、</w:t>
      </w:r>
      <w:r>
        <w:rPr>
          <w:rFonts w:hint="eastAsia" w:ascii="宋体" w:hAnsi="宋体" w:eastAsia="宋体" w:cs="宋体"/>
          <w:b/>
          <w:color w:val="auto"/>
          <w:sz w:val="21"/>
          <w:highlight w:val="none"/>
          <w:u w:val="double"/>
        </w:rPr>
        <w:t>投标人提供的在福建省行政区域外完成的业绩，必须是通过住房和城乡建设部门户网站的全国建筑市场监管公共服务平台查询得到其竣工验收信息；提供的在福建省行政区域内完成的业绩，必须是通过福建住房和城乡建设网的福建省建设行业信息公开平台查询得到其竣工验收信息。且查询到的竣工验收信息数据应能满足本招标工程设置的指标要求，否则，其业绩不计。</w:t>
      </w:r>
    </w:p>
    <w:p>
      <w:pPr>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3、上表中的项目编号、竣工备案编号为全国建筑市场监管公共服务平台或福建省建设行业信息公开平台记录的该项目的项目编号、竣工备案编号。</w:t>
      </w:r>
    </w:p>
    <w:p>
      <w:pPr>
        <w:spacing w:line="360" w:lineRule="auto"/>
        <w:rPr>
          <w:rFonts w:hint="eastAsia" w:ascii="宋体" w:hAnsi="宋体" w:eastAsia="宋体" w:cs="宋体"/>
          <w:b/>
          <w:color w:val="auto"/>
          <w:sz w:val="21"/>
          <w:highlight w:val="none"/>
          <w:u w:val="double"/>
        </w:rPr>
      </w:pPr>
    </w:p>
    <w:p>
      <w:pPr>
        <w:spacing w:line="360" w:lineRule="auto"/>
        <w:rPr>
          <w:rFonts w:hint="eastAsia" w:ascii="宋体" w:hAnsi="宋体" w:eastAsia="宋体" w:cs="宋体"/>
          <w:b/>
          <w:color w:val="auto"/>
          <w:sz w:val="21"/>
          <w:highlight w:val="none"/>
          <w:u w:val="double"/>
        </w:rPr>
      </w:pPr>
    </w:p>
    <w:p>
      <w:pPr>
        <w:pStyle w:val="2"/>
        <w:rPr>
          <w:rFonts w:hint="eastAsia" w:ascii="宋体" w:hAnsi="宋体" w:eastAsia="宋体" w:cs="宋体"/>
          <w:b/>
          <w:color w:val="auto"/>
          <w:sz w:val="21"/>
          <w:highlight w:val="none"/>
          <w:u w:val="double"/>
        </w:rPr>
      </w:pPr>
    </w:p>
    <w:p>
      <w:pPr>
        <w:pStyle w:val="2"/>
        <w:rPr>
          <w:rFonts w:hint="eastAsia" w:ascii="宋体" w:hAnsi="宋体" w:eastAsia="宋体" w:cs="宋体"/>
          <w:b/>
          <w:color w:val="auto"/>
          <w:sz w:val="21"/>
          <w:highlight w:val="none"/>
          <w:u w:val="double"/>
        </w:rPr>
      </w:pPr>
    </w:p>
    <w:p>
      <w:pPr>
        <w:pStyle w:val="2"/>
        <w:rPr>
          <w:rFonts w:hint="eastAsia" w:ascii="宋体" w:hAnsi="宋体" w:eastAsia="宋体" w:cs="宋体"/>
          <w:b/>
          <w:color w:val="auto"/>
          <w:sz w:val="21"/>
          <w:highlight w:val="none"/>
          <w:u w:val="double"/>
        </w:rPr>
      </w:pPr>
    </w:p>
    <w:p>
      <w:pPr>
        <w:spacing w:line="300" w:lineRule="auto"/>
        <w:ind w:firstLine="420"/>
        <w:jc w:val="left"/>
        <w:rPr>
          <w:rFonts w:hint="eastAsia" w:ascii="宋体" w:hAnsi="宋体" w:eastAsia="宋体" w:cs="宋体"/>
          <w:b/>
          <w:color w:val="auto"/>
          <w:sz w:val="21"/>
          <w:highlight w:val="none"/>
        </w:rPr>
      </w:pPr>
      <w:r>
        <w:rPr>
          <w:rFonts w:hint="eastAsia" w:ascii="宋体" w:hAnsi="宋体" w:eastAsia="宋体" w:cs="宋体"/>
          <w:color w:val="auto"/>
          <w:sz w:val="21"/>
          <w:highlight w:val="none"/>
        </w:rPr>
        <w:t xml:space="preserve">  </w:t>
      </w:r>
    </w:p>
    <w:p>
      <w:pPr>
        <w:snapToGrid w:val="0"/>
        <w:spacing w:line="4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十一、投标保证金有关单据扫描件</w:t>
      </w: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color w:val="auto"/>
          <w:kern w:val="2"/>
          <w:sz w:val="21"/>
          <w:szCs w:val="21"/>
          <w:highlight w:val="none"/>
        </w:rPr>
      </w:pPr>
    </w:p>
    <w:p>
      <w:pPr>
        <w:tabs>
          <w:tab w:val="left" w:pos="1600"/>
        </w:tabs>
        <w:snapToGrid w:val="0"/>
        <w:spacing w:line="560" w:lineRule="exact"/>
        <w:ind w:left="330"/>
        <w:jc w:val="center"/>
        <w:rPr>
          <w:rFonts w:hint="eastAsia" w:ascii="宋体" w:hAnsi="宋体" w:eastAsia="宋体" w:cs="宋体"/>
          <w:b/>
          <w:color w:val="auto"/>
          <w:sz w:val="30"/>
          <w:highlight w:val="none"/>
        </w:rPr>
      </w:pPr>
      <w:r>
        <w:rPr>
          <w:rFonts w:hint="eastAsia" w:ascii="宋体" w:hAnsi="宋体" w:eastAsia="宋体" w:cs="宋体"/>
          <w:color w:val="auto"/>
          <w:kern w:val="2"/>
          <w:sz w:val="24"/>
          <w:highlight w:val="none"/>
        </w:rPr>
        <w:br w:type="page"/>
      </w:r>
    </w:p>
    <w:p>
      <w:pPr>
        <w:tabs>
          <w:tab w:val="left" w:pos="1600"/>
        </w:tabs>
        <w:snapToGrid w:val="0"/>
        <w:spacing w:line="560" w:lineRule="exact"/>
        <w:ind w:left="330"/>
        <w:jc w:val="center"/>
        <w:rPr>
          <w:rFonts w:hint="eastAsia" w:ascii="宋体" w:hAnsi="宋体" w:eastAsia="宋体" w:cs="宋体"/>
          <w:color w:val="auto"/>
          <w:sz w:val="30"/>
          <w:highlight w:val="none"/>
        </w:rPr>
      </w:pPr>
      <w:r>
        <w:rPr>
          <w:rFonts w:hint="eastAsia" w:ascii="宋体" w:hAnsi="宋体" w:eastAsia="宋体" w:cs="宋体"/>
          <w:b/>
          <w:color w:val="auto"/>
          <w:sz w:val="30"/>
          <w:highlight w:val="none"/>
        </w:rPr>
        <w:t>十二、其他资料</w:t>
      </w:r>
    </w:p>
    <w:p>
      <w:pPr>
        <w:tabs>
          <w:tab w:val="left" w:pos="1600"/>
        </w:tabs>
        <w:snapToGrid w:val="0"/>
        <w:spacing w:line="560" w:lineRule="exact"/>
        <w:ind w:left="330"/>
        <w:rPr>
          <w:rFonts w:hint="eastAsia" w:ascii="宋体" w:hAnsi="宋体" w:eastAsia="宋体" w:cs="宋体"/>
          <w:color w:val="auto"/>
          <w:sz w:val="21"/>
          <w:highlight w:val="none"/>
        </w:rPr>
      </w:pPr>
    </w:p>
    <w:p>
      <w:pPr>
        <w:pStyle w:val="9"/>
        <w:tabs>
          <w:tab w:val="left" w:pos="1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说明：其他资料包括招标人要求投标人提供的其他资料（见招标文件《专用本》）和投标人认为与资格审查申请评审有关的其他资料。</w:t>
      </w:r>
      <w:r>
        <w:rPr>
          <w:rFonts w:hint="eastAsia" w:ascii="宋体" w:hAnsi="宋体" w:eastAsia="宋体" w:cs="宋体"/>
          <w:b/>
          <w:color w:val="auto"/>
          <w:sz w:val="24"/>
          <w:highlight w:val="none"/>
          <w:u w:val="double"/>
        </w:rPr>
        <w:t>投标人提供的资料均须加盖单位公章，否则资料无效</w:t>
      </w:r>
      <w:r>
        <w:rPr>
          <w:rFonts w:hint="eastAsia" w:ascii="宋体" w:hAnsi="宋体" w:eastAsia="宋体" w:cs="宋体"/>
          <w:color w:val="auto"/>
          <w:sz w:val="24"/>
          <w:highlight w:val="none"/>
        </w:rPr>
        <w:t>。</w:t>
      </w: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bidi w:val="0"/>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bidi w:val="0"/>
        <w:rPr>
          <w:rFonts w:hint="eastAsia"/>
          <w:color w:val="auto"/>
          <w:highlight w:val="none"/>
        </w:rPr>
      </w:pPr>
    </w:p>
    <w:p>
      <w:pPr>
        <w:bidi w:val="0"/>
        <w:rPr>
          <w:rFonts w:hint="eastAsia"/>
          <w:color w:val="auto"/>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p>
    <w:p>
      <w:pPr>
        <w:pStyle w:val="9"/>
        <w:spacing w:line="440" w:lineRule="exact"/>
        <w:ind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附件一： </w:t>
      </w:r>
    </w:p>
    <w:p>
      <w:pPr>
        <w:widowControl/>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建筑业企业诚信守法承诺书</w:t>
      </w:r>
      <w:r>
        <w:rPr>
          <w:rFonts w:hint="eastAsia" w:ascii="宋体" w:hAnsi="宋体" w:eastAsia="宋体" w:cs="宋体"/>
          <w:color w:val="auto"/>
          <w:sz w:val="36"/>
          <w:szCs w:val="36"/>
          <w:highlight w:val="none"/>
        </w:rPr>
        <w:t xml:space="preserve">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本企业在泉州行政区域内从事房屋建筑和市政基础设施工程施工活动，承诺遵纪守法、诚信经营，绝不发生以下违法违规行为：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（一）超越本企业资质等级或以其他企业的名义承揽工程，或允许其他企业或个人以本企业的名义承揽工程；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（二）与建设单位或企业之间相互串通投标，或以行贿等不正当手段谋取中标；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（三）未取得施工许可证擅自施工；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（四）将承包的工程转包或违法分包；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（五）违反国家工程建设强制性标准（包括项目主体结构工程使用海砂）；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（六）发生过较大生产安全事故或者发生过两起以上一般生产安全事故；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（七）恶意拖欠分包企业工程款或者农民工工资；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（八）隐瞒或谎报、拖延报告工程质量安全事故或破坏事故现场、阻碍事故调查；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（九）按照国家法律、法规和标准规定需要持证上岗的技术工种的作业人员未取得证书上岗，情节严重；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（十）未依法履行工程质量保修义务或拖延履行保修义务，造成严重后果；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（十一）涂改、复制、倒卖、出租、出借或者以其他形式非法转让建筑业企业资质证书；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（十二）故意捏造事实、伪造证明材料，虚假恶意招投标投诉的；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（十三）其它违反法律、法规的行为。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维护泉州市建筑市场秩序，保障建筑工程质量安全，本企业郑重承诺：我们严格遵守国家、福建省和泉州市建筑市场的法律、法规、规章和有关规定，全面履行各项应尽的义务，自觉接受泉州市各级住建行政主管部门的监管。如发生以上违反法律、法规、规章以及泉州市住房和城乡建设局规范性文件的，本公司愿意接受泉州市各级住建行政主管部门依法给予的处罚（处理），承诺自处罚（处理）之日起一年内不再参与泉州市建筑市场招投标和承接工程业务，直至主动退出泉州市建筑市场，同意泉州市各级住建行政主管部门公开有关事实和进行不良行为评价。 </w:t>
      </w:r>
    </w:p>
    <w:p>
      <w:pPr>
        <w:widowControl/>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6"/>
        <w:spacing w:line="400" w:lineRule="atLeas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承诺单位：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widowControl/>
        <w:spacing w:line="400" w:lineRule="atLeas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（签字、印章）</w:t>
      </w:r>
    </w:p>
    <w:p>
      <w:pPr>
        <w:widowControl/>
        <w:spacing w:line="400" w:lineRule="atLeas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400" w:lineRule="atLeast"/>
        <w:ind w:firstLine="3960" w:firstLineChars="16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widowControl/>
        <w:spacing w:line="400" w:lineRule="atLeast"/>
        <w:jc w:val="right"/>
        <w:rPr>
          <w:rFonts w:hint="eastAsia" w:ascii="宋体" w:hAnsi="宋体" w:eastAsia="宋体" w:cs="宋体"/>
          <w:b/>
          <w:color w:val="auto"/>
          <w:sz w:val="24"/>
          <w:szCs w:val="24"/>
          <w:highlight w:val="none"/>
        </w:rPr>
        <w:sectPr>
          <w:pgSz w:w="11905" w:h="16838"/>
          <w:pgMar w:top="1134" w:right="1219" w:bottom="1134" w:left="1332" w:header="652" w:footer="652" w:gutter="0"/>
          <w:cols w:space="720" w:num="1"/>
          <w:rtlGutter w:val="0"/>
          <w:docGrid w:type="linesAndChars" w:linePitch="312" w:charSpace="0"/>
        </w:sectPr>
      </w:pPr>
    </w:p>
    <w:p>
      <w:pPr>
        <w:pStyle w:val="5"/>
        <w:numPr>
          <w:ilvl w:val="0"/>
          <w:numId w:val="0"/>
        </w:numPr>
        <w:spacing w:before="1440" w:after="120" w:line="360" w:lineRule="auto"/>
        <w:jc w:val="center"/>
        <w:rPr>
          <w:rFonts w:hint="eastAsia" w:ascii="宋体" w:hAnsi="宋体" w:eastAsia="宋体" w:cs="宋体"/>
          <w:color w:val="auto"/>
          <w:sz w:val="36"/>
          <w:szCs w:val="36"/>
          <w:highlight w:val="none"/>
        </w:rPr>
      </w:pPr>
      <w:bookmarkStart w:id="510" w:name="_Toc525120873"/>
      <w:bookmarkStart w:id="511" w:name="_Toc25305"/>
      <w:r>
        <w:rPr>
          <w:rFonts w:hint="eastAsia" w:ascii="宋体" w:hAnsi="宋体" w:eastAsia="宋体" w:cs="宋体"/>
          <w:b w:val="0"/>
          <w:color w:val="auto"/>
          <w:sz w:val="36"/>
          <w:szCs w:val="36"/>
          <w:highlight w:val="none"/>
        </w:rPr>
        <w:t>第</w:t>
      </w:r>
      <w:bookmarkStart w:id="512" w:name="_Toc13309436"/>
      <w:bookmarkStart w:id="513" w:name="_Toc374616491"/>
      <w:bookmarkStart w:id="514" w:name="_Toc300038999"/>
      <w:r>
        <w:rPr>
          <w:rFonts w:hint="eastAsia" w:ascii="宋体" w:hAnsi="宋体" w:eastAsia="宋体" w:cs="宋体"/>
          <w:b w:val="0"/>
          <w:color w:val="auto"/>
          <w:sz w:val="36"/>
          <w:szCs w:val="36"/>
          <w:highlight w:val="none"/>
        </w:rPr>
        <w:t>2节 商务文件</w:t>
      </w:r>
      <w:bookmarkEnd w:id="510"/>
      <w:bookmarkEnd w:id="511"/>
    </w:p>
    <w:bookmarkEnd w:id="512"/>
    <w:bookmarkEnd w:id="513"/>
    <w:bookmarkEnd w:id="514"/>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
          <w:bCs/>
          <w:color w:val="auto"/>
          <w:sz w:val="24"/>
          <w:highlight w:val="none"/>
          <w:u w:val="double"/>
        </w:rPr>
        <w:t>《商务文件》应按照本招标文件第2章“投标须知”第15.2.1项和本章规定的内容和格式进行编制。</w:t>
      </w:r>
    </w:p>
    <w:p>
      <w:pPr>
        <w:tabs>
          <w:tab w:val="left" w:pos="0"/>
          <w:tab w:val="left" w:pos="567"/>
          <w:tab w:val="left" w:pos="993"/>
          <w:tab w:val="left" w:pos="1134"/>
        </w:tabs>
        <w:snapToGrid w:val="0"/>
        <w:spacing w:before="960" w:after="120" w:line="300" w:lineRule="auto"/>
        <w:ind w:left="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（用于商务文件封面）</w:t>
      </w:r>
    </w:p>
    <w:p>
      <w:pPr>
        <w:pStyle w:val="16"/>
        <w:spacing w:line="264" w:lineRule="auto"/>
        <w:jc w:val="center"/>
        <w:rPr>
          <w:rFonts w:hint="eastAsia" w:ascii="宋体" w:hAnsi="宋体" w:eastAsia="宋体" w:cs="宋体"/>
          <w:color w:val="auto"/>
          <w:sz w:val="36"/>
          <w:highlight w:val="none"/>
        </w:rPr>
      </w:pPr>
    </w:p>
    <w:p>
      <w:pPr>
        <w:pStyle w:val="16"/>
        <w:spacing w:before="312" w:beforeLines="100" w:after="312" w:afterLines="100" w:line="264"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标段</w:t>
      </w:r>
    </w:p>
    <w:p>
      <w:pPr>
        <w:pStyle w:val="16"/>
        <w:spacing w:before="312" w:beforeLines="100" w:after="312" w:afterLines="100" w:line="264" w:lineRule="auto"/>
        <w:jc w:val="center"/>
        <w:rPr>
          <w:rFonts w:hint="eastAsia" w:ascii="宋体" w:hAnsi="宋体" w:eastAsia="宋体" w:cs="宋体"/>
          <w:b/>
          <w:color w:val="auto"/>
          <w:sz w:val="32"/>
          <w:highlight w:val="none"/>
        </w:rPr>
      </w:pPr>
      <w:r>
        <w:rPr>
          <w:rFonts w:hint="eastAsia" w:ascii="宋体" w:hAnsi="宋体" w:eastAsia="宋体" w:cs="宋体"/>
          <w:color w:val="auto"/>
          <w:sz w:val="32"/>
          <w:highlight w:val="none"/>
        </w:rPr>
        <w:t>招标项目编号：</w:t>
      </w:r>
      <w:r>
        <w:rPr>
          <w:rFonts w:hint="eastAsia" w:ascii="宋体" w:hAnsi="宋体" w:eastAsia="宋体" w:cs="宋体"/>
          <w:color w:val="auto"/>
          <w:sz w:val="36"/>
          <w:highlight w:val="none"/>
        </w:rPr>
        <w:t>________________</w:t>
      </w:r>
    </w:p>
    <w:p>
      <w:pPr>
        <w:pStyle w:val="16"/>
        <w:spacing w:before="312" w:beforeLines="100" w:after="312" w:afterLines="100" w:line="264" w:lineRule="auto"/>
        <w:jc w:val="center"/>
        <w:rPr>
          <w:rFonts w:hint="eastAsia" w:ascii="宋体" w:hAnsi="宋体" w:eastAsia="宋体" w:cs="宋体"/>
          <w:color w:val="auto"/>
          <w:sz w:val="44"/>
          <w:highlight w:val="none"/>
        </w:rPr>
      </w:pPr>
    </w:p>
    <w:p>
      <w:pPr>
        <w:pStyle w:val="16"/>
        <w:spacing w:line="264" w:lineRule="auto"/>
        <w:jc w:val="center"/>
        <w:rPr>
          <w:rFonts w:hint="eastAsia" w:ascii="宋体" w:hAnsi="宋体" w:eastAsia="宋体" w:cs="宋体"/>
          <w:b/>
          <w:color w:val="auto"/>
          <w:sz w:val="84"/>
          <w:highlight w:val="none"/>
        </w:rPr>
      </w:pPr>
      <w:r>
        <w:rPr>
          <w:rFonts w:hint="eastAsia" w:ascii="宋体" w:hAnsi="宋体" w:eastAsia="宋体" w:cs="宋体"/>
          <w:b/>
          <w:color w:val="auto"/>
          <w:sz w:val="84"/>
          <w:highlight w:val="none"/>
        </w:rPr>
        <w:t>投 标 文 件</w:t>
      </w:r>
    </w:p>
    <w:p>
      <w:pPr>
        <w:pStyle w:val="16"/>
        <w:spacing w:line="264" w:lineRule="auto"/>
        <w:jc w:val="center"/>
        <w:rPr>
          <w:rFonts w:hint="eastAsia" w:ascii="宋体" w:hAnsi="宋体" w:eastAsia="宋体" w:cs="宋体"/>
          <w:color w:val="auto"/>
          <w:sz w:val="44"/>
          <w:highlight w:val="none"/>
        </w:rPr>
      </w:pPr>
    </w:p>
    <w:p>
      <w:pPr>
        <w:pStyle w:val="16"/>
        <w:spacing w:line="264" w:lineRule="auto"/>
        <w:jc w:val="center"/>
        <w:rPr>
          <w:rFonts w:hint="eastAsia" w:ascii="宋体" w:hAnsi="宋体" w:eastAsia="宋体" w:cs="宋体"/>
          <w:color w:val="auto"/>
          <w:sz w:val="44"/>
          <w:highlight w:val="none"/>
        </w:rPr>
      </w:pPr>
    </w:p>
    <w:p>
      <w:pPr>
        <w:pStyle w:val="16"/>
        <w:spacing w:line="264" w:lineRule="auto"/>
        <w:jc w:val="center"/>
        <w:rPr>
          <w:rFonts w:hint="eastAsia" w:ascii="宋体" w:hAnsi="宋体" w:eastAsia="宋体" w:cs="宋体"/>
          <w:color w:val="auto"/>
          <w:sz w:val="44"/>
          <w:highlight w:val="none"/>
        </w:rPr>
      </w:pPr>
    </w:p>
    <w:p>
      <w:pPr>
        <w:pStyle w:val="16"/>
        <w:spacing w:line="264" w:lineRule="auto"/>
        <w:jc w:val="center"/>
        <w:rPr>
          <w:rFonts w:hint="eastAsia" w:ascii="宋体" w:hAnsi="宋体" w:eastAsia="宋体" w:cs="宋体"/>
          <w:color w:val="auto"/>
          <w:sz w:val="72"/>
          <w:highlight w:val="none"/>
        </w:rPr>
      </w:pPr>
    </w:p>
    <w:p>
      <w:pPr>
        <w:pStyle w:val="16"/>
        <w:spacing w:before="120" w:after="120" w:line="480" w:lineRule="auto"/>
        <w:ind w:left="447" w:leftChars="213" w:firstLine="560" w:firstLineChars="200"/>
        <w:rPr>
          <w:rFonts w:hint="eastAsia" w:ascii="宋体" w:hAnsi="宋体" w:eastAsia="宋体" w:cs="宋体"/>
          <w:color w:val="auto"/>
          <w:sz w:val="36"/>
          <w:highlight w:val="none"/>
          <w:lang w:eastAsia="zh-CN"/>
        </w:rPr>
      </w:pPr>
      <w:r>
        <w:rPr>
          <w:rFonts w:hint="eastAsia" w:ascii="宋体" w:hAnsi="宋体" w:eastAsia="宋体" w:cs="宋体"/>
          <w:color w:val="auto"/>
          <w:sz w:val="28"/>
          <w:highlight w:val="none"/>
        </w:rPr>
        <w:t>投标文件内容：</w:t>
      </w:r>
      <w:r>
        <w:rPr>
          <w:rFonts w:hint="eastAsia" w:ascii="宋体" w:hAnsi="宋体" w:eastAsia="宋体" w:cs="宋体"/>
          <w:color w:val="auto"/>
          <w:sz w:val="28"/>
          <w:highlight w:val="none"/>
          <w:u w:val="single"/>
        </w:rPr>
        <w:t xml:space="preserve">　　　      </w:t>
      </w:r>
      <w:r>
        <w:rPr>
          <w:rFonts w:hint="eastAsia" w:ascii="宋体" w:hAnsi="宋体" w:eastAsia="宋体" w:cs="宋体"/>
          <w:b/>
          <w:color w:val="auto"/>
          <w:sz w:val="36"/>
          <w:highlight w:val="none"/>
          <w:u w:val="single"/>
        </w:rPr>
        <w:t xml:space="preserve">商务文件            </w:t>
      </w:r>
      <w:r>
        <w:rPr>
          <w:rFonts w:hint="eastAsia" w:hAnsi="宋体" w:eastAsia="宋体" w:cs="宋体"/>
          <w:color w:val="auto"/>
          <w:sz w:val="36"/>
          <w:highlight w:val="none"/>
          <w:u w:val="single"/>
          <w:lang w:val="en-US" w:eastAsia="zh-CN"/>
        </w:rPr>
        <w:t xml:space="preserve"> </w:t>
      </w:r>
    </w:p>
    <w:p>
      <w:pPr>
        <w:pStyle w:val="16"/>
        <w:spacing w:before="120" w:after="120" w:line="480" w:lineRule="auto"/>
        <w:ind w:left="447" w:leftChars="213"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pStyle w:val="16"/>
        <w:spacing w:before="120" w:after="120" w:line="480" w:lineRule="auto"/>
        <w:ind w:left="447" w:leftChars="213"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（盖章或签字）</w:t>
      </w:r>
    </w:p>
    <w:p>
      <w:pPr>
        <w:spacing w:before="120" w:after="120" w:line="480" w:lineRule="auto"/>
        <w:ind w:left="0" w:leftChars="0" w:firstLine="1058" w:firstLineChars="37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spacing w:line="360" w:lineRule="auto"/>
        <w:ind w:firstLine="750" w:firstLineChars="250"/>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br w:type="page"/>
      </w:r>
    </w:p>
    <w:p>
      <w:pPr>
        <w:spacing w:line="360" w:lineRule="auto"/>
        <w:ind w:firstLine="803" w:firstLineChars="2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pPr>
        <w:tabs>
          <w:tab w:val="left" w:pos="840"/>
          <w:tab w:val="left" w:pos="1600"/>
        </w:tabs>
        <w:snapToGrid w:val="0"/>
        <w:spacing w:line="560" w:lineRule="exact"/>
        <w:rPr>
          <w:rFonts w:hint="eastAsia" w:ascii="宋体" w:hAnsi="宋体" w:eastAsia="宋体" w:cs="宋体"/>
          <w:b/>
          <w:color w:val="auto"/>
          <w:sz w:val="28"/>
          <w:highlight w:val="none"/>
        </w:rPr>
      </w:pPr>
    </w:p>
    <w:p>
      <w:pPr>
        <w:numPr>
          <w:ilvl w:val="1"/>
          <w:numId w:val="29"/>
        </w:numPr>
        <w:tabs>
          <w:tab w:val="left" w:pos="938"/>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pPr>
        <w:numPr>
          <w:ilvl w:val="1"/>
          <w:numId w:val="29"/>
        </w:numPr>
        <w:tabs>
          <w:tab w:val="left" w:pos="938"/>
        </w:tabs>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投标函附录</w:t>
      </w:r>
    </w:p>
    <w:p>
      <w:pPr>
        <w:numPr>
          <w:ilvl w:val="1"/>
          <w:numId w:val="29"/>
        </w:numPr>
        <w:tabs>
          <w:tab w:val="left" w:pos="938"/>
        </w:tabs>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其他资料</w:t>
      </w:r>
    </w:p>
    <w:p>
      <w:pPr>
        <w:adjustRightInd/>
        <w:spacing w:line="360" w:lineRule="auto"/>
        <w:ind w:firstLine="480" w:firstLineChars="200"/>
        <w:textAlignment w:val="auto"/>
        <w:rPr>
          <w:rFonts w:hint="eastAsia" w:ascii="宋体" w:hAnsi="宋体" w:eastAsia="宋体" w:cs="宋体"/>
          <w:color w:val="auto"/>
          <w:sz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adjustRightInd/>
        <w:spacing w:line="360" w:lineRule="auto"/>
        <w:ind w:left="510"/>
        <w:jc w:val="center"/>
        <w:textAlignment w:val="auto"/>
        <w:rPr>
          <w:rFonts w:hint="eastAsia" w:ascii="宋体" w:hAnsi="宋体" w:eastAsia="宋体" w:cs="宋体"/>
          <w:b/>
          <w:color w:val="auto"/>
          <w:sz w:val="30"/>
          <w:szCs w:val="30"/>
          <w:highlight w:val="none"/>
        </w:rPr>
      </w:pPr>
    </w:p>
    <w:p>
      <w:pPr>
        <w:bidi w:val="0"/>
        <w:jc w:val="center"/>
        <w:rPr>
          <w:rFonts w:hint="eastAsia" w:ascii="宋体" w:hAnsi="宋体" w:cs="宋体"/>
          <w:b/>
          <w:color w:val="auto"/>
          <w:sz w:val="30"/>
          <w:szCs w:val="30"/>
        </w:rPr>
      </w:pPr>
      <w:r>
        <w:rPr>
          <w:rFonts w:hint="eastAsia" w:ascii="宋体" w:hAnsi="宋体" w:cs="宋体"/>
          <w:b/>
          <w:color w:val="auto"/>
          <w:sz w:val="30"/>
          <w:szCs w:val="30"/>
        </w:rPr>
        <w:t>一、投标函</w:t>
      </w:r>
    </w:p>
    <w:p>
      <w:pPr>
        <w:pStyle w:val="38"/>
        <w:spacing w:after="0" w:line="360" w:lineRule="exact"/>
        <w:rPr>
          <w:rFonts w:hint="eastAsia" w:hAnsi="宋体" w:cs="宋体"/>
          <w:color w:val="auto"/>
          <w:szCs w:val="24"/>
        </w:rPr>
      </w:pPr>
      <w:r>
        <w:rPr>
          <w:rFonts w:hint="eastAsia" w:hAnsi="宋体" w:cs="宋体"/>
          <w:color w:val="auto"/>
          <w:szCs w:val="24"/>
          <w:u w:val="single"/>
        </w:rPr>
        <w:t xml:space="preserve">                             </w:t>
      </w:r>
      <w:r>
        <w:rPr>
          <w:rFonts w:hint="eastAsia" w:hAnsi="宋体" w:cs="宋体"/>
          <w:i/>
          <w:iCs/>
          <w:color w:val="auto"/>
          <w:szCs w:val="24"/>
          <w:u w:val="single"/>
        </w:rPr>
        <w:t>（招标人名称）</w:t>
      </w:r>
      <w:r>
        <w:rPr>
          <w:rFonts w:hint="eastAsia" w:hAnsi="宋体" w:cs="宋体"/>
          <w:color w:val="auto"/>
          <w:szCs w:val="24"/>
        </w:rPr>
        <w:t xml:space="preserve">： </w:t>
      </w:r>
    </w:p>
    <w:p>
      <w:pPr>
        <w:pStyle w:val="29"/>
        <w:spacing w:line="360" w:lineRule="exact"/>
        <w:rPr>
          <w:rFonts w:hint="eastAsia" w:hAnsi="宋体" w:cs="宋体"/>
          <w:color w:val="auto"/>
          <w:szCs w:val="24"/>
        </w:rPr>
      </w:pPr>
      <w:r>
        <w:rPr>
          <w:rFonts w:hint="eastAsia" w:hAnsi="宋体" w:cs="宋体"/>
          <w:color w:val="auto"/>
          <w:szCs w:val="24"/>
        </w:rPr>
        <w:t xml:space="preserve">    1．我方已仔细研究了</w:t>
      </w:r>
      <w:r>
        <w:rPr>
          <w:rFonts w:hint="eastAsia" w:hAnsi="宋体" w:cs="宋体"/>
          <w:color w:val="auto"/>
          <w:szCs w:val="24"/>
          <w:u w:val="single"/>
        </w:rPr>
        <w:t xml:space="preserve">                   </w:t>
      </w:r>
      <w:r>
        <w:rPr>
          <w:rFonts w:hint="eastAsia" w:hAnsi="宋体" w:cs="宋体"/>
          <w:color w:val="auto"/>
          <w:szCs w:val="24"/>
        </w:rPr>
        <w:t>（项目名称）</w:t>
      </w:r>
      <w:r>
        <w:rPr>
          <w:rFonts w:hint="eastAsia" w:hAnsi="宋体" w:cs="宋体"/>
          <w:color w:val="auto"/>
          <w:szCs w:val="24"/>
          <w:u w:val="single"/>
        </w:rPr>
        <w:t xml:space="preserve">         </w:t>
      </w:r>
      <w:r>
        <w:rPr>
          <w:rFonts w:hint="eastAsia" w:hAnsi="宋体" w:cs="宋体"/>
          <w:color w:val="auto"/>
          <w:szCs w:val="24"/>
        </w:rPr>
        <w:t>标段施工招标文件的全部内容，愿意</w:t>
      </w:r>
      <w:r>
        <w:rPr>
          <w:rFonts w:hint="eastAsia" w:hAnsi="宋体" w:cs="宋体"/>
          <w:b/>
          <w:bCs/>
          <w:color w:val="auto"/>
          <w:szCs w:val="24"/>
          <w:u w:val="single"/>
        </w:rPr>
        <w:t>按招标文件评标定标办法中确定的中标价</w:t>
      </w:r>
      <w:r>
        <w:rPr>
          <w:rFonts w:hint="eastAsia" w:hAnsi="宋体" w:cs="宋体"/>
          <w:color w:val="auto"/>
          <w:szCs w:val="24"/>
        </w:rPr>
        <w:t>为投标总报价，工期</w:t>
      </w:r>
      <w:r>
        <w:rPr>
          <w:rFonts w:hint="eastAsia" w:hAnsi="宋体" w:cs="宋体"/>
          <w:color w:val="auto"/>
          <w:szCs w:val="24"/>
          <w:u w:val="single"/>
        </w:rPr>
        <w:t xml:space="preserve">       </w:t>
      </w:r>
      <w:r>
        <w:rPr>
          <w:rFonts w:hint="eastAsia" w:hAnsi="宋体" w:cs="宋体"/>
          <w:color w:val="auto"/>
          <w:szCs w:val="24"/>
        </w:rPr>
        <w:t>个日历天（</w:t>
      </w:r>
      <w:r>
        <w:rPr>
          <w:rFonts w:hint="eastAsia" w:hAnsi="宋体" w:cs="宋体"/>
          <w:color w:val="auto"/>
        </w:rPr>
        <w:t>其中各关键节点的工期要求为</w:t>
      </w:r>
      <w:r>
        <w:rPr>
          <w:rFonts w:hint="eastAsia" w:hAnsi="宋体" w:cs="宋体"/>
          <w:color w:val="auto"/>
          <w:u w:val="single"/>
        </w:rPr>
        <w:t xml:space="preserve">            </w:t>
      </w:r>
      <w:r>
        <w:rPr>
          <w:rFonts w:hint="eastAsia" w:hAnsi="宋体" w:cs="宋体"/>
          <w:color w:val="auto"/>
        </w:rPr>
        <w:t>），</w:t>
      </w:r>
      <w:r>
        <w:rPr>
          <w:rFonts w:hint="eastAsia" w:hAnsi="宋体" w:cs="宋体"/>
          <w:color w:val="auto"/>
          <w:szCs w:val="24"/>
        </w:rPr>
        <w:t>按合同约定实施和完成承包工程，修补工程中的任何缺陷，工程质量达到</w:t>
      </w:r>
      <w:r>
        <w:rPr>
          <w:rFonts w:hint="eastAsia" w:hAnsi="宋体" w:cs="宋体"/>
          <w:color w:val="auto"/>
          <w:szCs w:val="24"/>
          <w:u w:val="single"/>
        </w:rPr>
        <w:t xml:space="preserve">            </w:t>
      </w:r>
      <w:r>
        <w:rPr>
          <w:rFonts w:hint="eastAsia" w:hAnsi="宋体" w:cs="宋体"/>
          <w:color w:val="auto"/>
          <w:szCs w:val="24"/>
        </w:rPr>
        <w:t>标准。</w:t>
      </w:r>
    </w:p>
    <w:p>
      <w:pPr>
        <w:pStyle w:val="29"/>
        <w:spacing w:line="360" w:lineRule="exact"/>
        <w:rPr>
          <w:rFonts w:hint="eastAsia" w:hAnsi="宋体" w:cs="宋体"/>
          <w:color w:val="auto"/>
          <w:szCs w:val="24"/>
        </w:rPr>
      </w:pPr>
      <w:r>
        <w:rPr>
          <w:rFonts w:hint="eastAsia" w:hAnsi="宋体" w:cs="宋体"/>
          <w:color w:val="auto"/>
          <w:szCs w:val="24"/>
        </w:rPr>
        <w:t xml:space="preserve">    2．我方承诺在投标有效期内不修改、撤销投标文件。</w:t>
      </w:r>
    </w:p>
    <w:p>
      <w:pPr>
        <w:pStyle w:val="29"/>
        <w:spacing w:line="360" w:lineRule="exact"/>
        <w:rPr>
          <w:rFonts w:hint="eastAsia" w:hAnsi="宋体" w:cs="宋体"/>
          <w:color w:val="auto"/>
          <w:szCs w:val="24"/>
        </w:rPr>
      </w:pPr>
      <w:r>
        <w:rPr>
          <w:rFonts w:hint="eastAsia" w:hAnsi="宋体" w:cs="宋体"/>
          <w:color w:val="auto"/>
          <w:szCs w:val="24"/>
        </w:rPr>
        <w:t xml:space="preserve">    3. 随同本投标函提交投标保证金一份，金额为人民币（大写）</w:t>
      </w:r>
      <w:r>
        <w:rPr>
          <w:rFonts w:hint="eastAsia" w:hAnsi="宋体" w:cs="宋体"/>
          <w:color w:val="auto"/>
          <w:szCs w:val="24"/>
          <w:u w:val="single"/>
        </w:rPr>
        <w:t xml:space="preserve">              </w:t>
      </w:r>
      <w:r>
        <w:rPr>
          <w:rFonts w:hint="eastAsia" w:hAnsi="宋体" w:cs="宋体"/>
          <w:color w:val="auto"/>
          <w:szCs w:val="24"/>
        </w:rPr>
        <w:t>元（¥</w:t>
      </w:r>
      <w:r>
        <w:rPr>
          <w:rFonts w:hint="eastAsia" w:hAnsi="宋体" w:cs="宋体"/>
          <w:color w:val="auto"/>
          <w:szCs w:val="24"/>
          <w:u w:val="single"/>
        </w:rPr>
        <w:t xml:space="preserve">            </w:t>
      </w:r>
      <w:r>
        <w:rPr>
          <w:rFonts w:hint="eastAsia" w:hAnsi="宋体" w:cs="宋体"/>
          <w:color w:val="auto"/>
          <w:szCs w:val="24"/>
        </w:rPr>
        <w:t>元）。</w:t>
      </w:r>
    </w:p>
    <w:p>
      <w:pPr>
        <w:pStyle w:val="29"/>
        <w:spacing w:line="360" w:lineRule="exact"/>
        <w:rPr>
          <w:rFonts w:hint="eastAsia" w:hAnsi="宋体" w:cs="宋体"/>
          <w:color w:val="auto"/>
          <w:szCs w:val="24"/>
        </w:rPr>
      </w:pPr>
      <w:r>
        <w:rPr>
          <w:rFonts w:hint="eastAsia" w:hAnsi="宋体" w:cs="宋体"/>
          <w:color w:val="auto"/>
          <w:szCs w:val="24"/>
        </w:rPr>
        <w:t xml:space="preserve">    4．如中标，我方承诺：</w:t>
      </w:r>
    </w:p>
    <w:p>
      <w:pPr>
        <w:pStyle w:val="29"/>
        <w:spacing w:line="360" w:lineRule="exact"/>
        <w:rPr>
          <w:rFonts w:hint="eastAsia" w:hAnsi="宋体" w:cs="宋体"/>
          <w:color w:val="auto"/>
          <w:szCs w:val="24"/>
        </w:rPr>
      </w:pPr>
      <w:r>
        <w:rPr>
          <w:rFonts w:hint="eastAsia" w:hAnsi="宋体" w:cs="宋体"/>
          <w:color w:val="auto"/>
          <w:szCs w:val="24"/>
        </w:rPr>
        <w:t xml:space="preserve">    （1）</w:t>
      </w:r>
      <w:r>
        <w:rPr>
          <w:rFonts w:hint="eastAsia" w:hAnsi="宋体" w:cs="宋体"/>
          <w:color w:val="auto"/>
          <w:kern w:val="2"/>
        </w:rPr>
        <w:t>将派出</w:t>
      </w:r>
      <w:r>
        <w:rPr>
          <w:rFonts w:hint="eastAsia" w:hAnsi="宋体" w:cs="宋体"/>
          <w:color w:val="auto"/>
          <w:kern w:val="2"/>
          <w:u w:val="single"/>
        </w:rPr>
        <w:t xml:space="preserve">                     </w:t>
      </w:r>
      <w:r>
        <w:rPr>
          <w:rFonts w:hint="eastAsia" w:hAnsi="宋体" w:cs="宋体"/>
          <w:i/>
          <w:iCs/>
          <w:color w:val="auto"/>
          <w:kern w:val="2"/>
          <w:u w:val="single"/>
        </w:rPr>
        <w:t xml:space="preserve">（项目负责人姓名及其建造师执业证书注册编号）  </w:t>
      </w:r>
      <w:r>
        <w:rPr>
          <w:rFonts w:hint="eastAsia" w:hAnsi="宋体" w:cs="宋体"/>
          <w:color w:val="auto"/>
          <w:kern w:val="2"/>
        </w:rPr>
        <w:t>为本项目的项目负责人。</w:t>
      </w:r>
    </w:p>
    <w:p>
      <w:pPr>
        <w:pStyle w:val="29"/>
        <w:spacing w:line="360" w:lineRule="exact"/>
        <w:rPr>
          <w:rFonts w:hint="eastAsia" w:hAnsi="宋体" w:cs="宋体"/>
          <w:color w:val="auto"/>
          <w:szCs w:val="24"/>
        </w:rPr>
      </w:pPr>
      <w:r>
        <w:rPr>
          <w:rFonts w:hint="eastAsia" w:hAnsi="宋体" w:cs="宋体"/>
          <w:color w:val="auto"/>
          <w:szCs w:val="24"/>
        </w:rPr>
        <w:t xml:space="preserve">    （2）在收到中标通知书后，在中标通知书规定的期限内与你方签订合同。</w:t>
      </w:r>
    </w:p>
    <w:p>
      <w:pPr>
        <w:pStyle w:val="29"/>
        <w:spacing w:line="360" w:lineRule="exact"/>
        <w:rPr>
          <w:rFonts w:hint="eastAsia" w:hAnsi="宋体" w:cs="宋体"/>
          <w:color w:val="auto"/>
          <w:szCs w:val="24"/>
        </w:rPr>
      </w:pPr>
      <w:r>
        <w:rPr>
          <w:rFonts w:hint="eastAsia" w:hAnsi="宋体" w:cs="宋体"/>
          <w:color w:val="auto"/>
          <w:szCs w:val="24"/>
        </w:rPr>
        <w:t xml:space="preserve">    （3）随同本投标函递交的投标函附录属于合同文件的组成部分。</w:t>
      </w:r>
    </w:p>
    <w:p>
      <w:pPr>
        <w:pStyle w:val="29"/>
        <w:spacing w:line="360" w:lineRule="exact"/>
        <w:rPr>
          <w:rFonts w:hint="eastAsia" w:hAnsi="宋体" w:cs="宋体"/>
          <w:color w:val="auto"/>
          <w:szCs w:val="24"/>
        </w:rPr>
      </w:pPr>
      <w:r>
        <w:rPr>
          <w:rFonts w:hint="eastAsia" w:hAnsi="宋体" w:cs="宋体"/>
          <w:color w:val="auto"/>
          <w:szCs w:val="24"/>
        </w:rPr>
        <w:t xml:space="preserve">    （4）按照招标文件规定向你方递交履约担保。</w:t>
      </w:r>
    </w:p>
    <w:p>
      <w:pPr>
        <w:pStyle w:val="29"/>
        <w:spacing w:line="360" w:lineRule="exact"/>
        <w:ind w:firstLine="479"/>
        <w:rPr>
          <w:rFonts w:hint="eastAsia" w:hAnsi="宋体" w:cs="宋体"/>
          <w:color w:val="auto"/>
          <w:szCs w:val="24"/>
        </w:rPr>
      </w:pPr>
      <w:r>
        <w:rPr>
          <w:rFonts w:hint="eastAsia" w:hAnsi="宋体" w:cs="宋体"/>
          <w:color w:val="auto"/>
          <w:szCs w:val="24"/>
        </w:rPr>
        <w:t>（5）在合同约定的期限内完成并移交全部合同工程。</w:t>
      </w:r>
    </w:p>
    <w:p>
      <w:pPr>
        <w:pStyle w:val="19"/>
        <w:spacing w:line="360" w:lineRule="exact"/>
        <w:rPr>
          <w:rFonts w:hint="eastAsia" w:ascii="宋体" w:hAnsi="宋体" w:cs="宋体"/>
          <w:color w:val="auto"/>
          <w:sz w:val="24"/>
          <w:szCs w:val="24"/>
        </w:rPr>
      </w:pPr>
      <w:r>
        <w:rPr>
          <w:rFonts w:hint="eastAsia" w:ascii="宋体" w:hAnsi="宋体" w:cs="宋体"/>
          <w:color w:val="auto"/>
          <w:sz w:val="24"/>
          <w:szCs w:val="24"/>
        </w:rPr>
        <w:t>（6）按月足额支付工人工资。</w:t>
      </w:r>
    </w:p>
    <w:p>
      <w:pPr>
        <w:pStyle w:val="29"/>
        <w:spacing w:line="360" w:lineRule="exact"/>
        <w:ind w:firstLine="479"/>
        <w:rPr>
          <w:rFonts w:hint="eastAsia" w:hAnsi="宋体" w:cs="宋体"/>
          <w:color w:val="auto"/>
          <w:szCs w:val="24"/>
        </w:rPr>
      </w:pPr>
      <w:r>
        <w:rPr>
          <w:rFonts w:hint="eastAsia" w:hAnsi="宋体" w:cs="宋体"/>
          <w:color w:val="auto"/>
          <w:szCs w:val="24"/>
        </w:rPr>
        <w:t>（7）政府审计部门要求对我方收取的工程款资金流向进行延伸审计的，我方无条件接受延伸审计并主动配合。</w:t>
      </w:r>
    </w:p>
    <w:p>
      <w:pPr>
        <w:pStyle w:val="29"/>
        <w:spacing w:line="360" w:lineRule="exact"/>
        <w:ind w:firstLine="479"/>
        <w:rPr>
          <w:rFonts w:hint="eastAsia" w:hAnsi="宋体" w:cs="宋体"/>
          <w:color w:val="auto"/>
          <w:szCs w:val="24"/>
        </w:rPr>
      </w:pPr>
      <w:r>
        <w:rPr>
          <w:rFonts w:hint="eastAsia" w:hAnsi="宋体" w:cs="宋体"/>
          <w:color w:val="auto"/>
          <w:szCs w:val="24"/>
        </w:rPr>
        <w:t>5．我方承诺在本项目招投标过程中没有参与围标串标等违法行为。否则，我方愿意接受招投标监管部门作出的行政处罚以及列入招投标“黑名单”的处理决定。</w:t>
      </w:r>
    </w:p>
    <w:p>
      <w:pPr>
        <w:pStyle w:val="29"/>
        <w:spacing w:line="360" w:lineRule="exact"/>
        <w:ind w:firstLine="479"/>
        <w:rPr>
          <w:rFonts w:hint="eastAsia" w:hAnsi="宋体" w:cs="宋体"/>
          <w:color w:val="auto"/>
          <w:szCs w:val="24"/>
        </w:rPr>
      </w:pPr>
      <w:r>
        <w:rPr>
          <w:rFonts w:hint="eastAsia" w:hAnsi="宋体" w:cs="宋体"/>
          <w:color w:val="auto"/>
          <w:szCs w:val="24"/>
        </w:rPr>
        <w:t>6．</w:t>
      </w:r>
      <w:r>
        <w:rPr>
          <w:rFonts w:hint="eastAsia" w:hAnsi="宋体" w:cs="宋体"/>
          <w:bCs/>
          <w:color w:val="auto"/>
          <w:szCs w:val="24"/>
        </w:rPr>
        <w:t>我方已对所递交的投标文件及其有关资料（包括第三方提供的资料）的真实性进行了审查，保证其内容完整、真实和准确，若存在虚假，同意招标人或行政主管部门按照弄虚作假进行处理。</w:t>
      </w:r>
      <w:r>
        <w:rPr>
          <w:rFonts w:hint="eastAsia" w:hAnsi="宋体" w:cs="宋体"/>
          <w:color w:val="auto"/>
          <w:szCs w:val="24"/>
        </w:rPr>
        <w:t>同时，声明不存在招</w:t>
      </w:r>
      <w:r>
        <w:rPr>
          <w:rFonts w:hint="eastAsia" w:hAnsi="宋体" w:cs="宋体"/>
          <w:color w:val="auto"/>
          <w:kern w:val="2"/>
          <w:szCs w:val="24"/>
        </w:rPr>
        <w:t>标文件第2章投标须知第4.3款</w:t>
      </w:r>
      <w:r>
        <w:rPr>
          <w:rFonts w:hint="eastAsia" w:hAnsi="宋体" w:cs="宋体"/>
          <w:bCs/>
          <w:color w:val="auto"/>
          <w:kern w:val="2"/>
          <w:szCs w:val="24"/>
        </w:rPr>
        <w:t>（第13项除外）</w:t>
      </w:r>
      <w:r>
        <w:rPr>
          <w:rFonts w:hint="eastAsia" w:hAnsi="宋体" w:cs="宋体"/>
          <w:color w:val="auto"/>
          <w:kern w:val="2"/>
          <w:szCs w:val="24"/>
        </w:rPr>
        <w:t>规</w:t>
      </w:r>
      <w:r>
        <w:rPr>
          <w:rFonts w:hint="eastAsia" w:hAnsi="宋体" w:cs="宋体"/>
          <w:color w:val="auto"/>
          <w:szCs w:val="24"/>
        </w:rPr>
        <w:t>定的任何一种情形。</w:t>
      </w:r>
    </w:p>
    <w:p>
      <w:pPr>
        <w:pStyle w:val="29"/>
        <w:spacing w:line="360" w:lineRule="exact"/>
        <w:ind w:firstLine="479"/>
        <w:rPr>
          <w:rFonts w:hint="eastAsia" w:hAnsi="宋体" w:cs="宋体"/>
          <w:color w:val="auto"/>
          <w:szCs w:val="24"/>
        </w:rPr>
      </w:pPr>
      <w:r>
        <w:rPr>
          <w:rFonts w:hint="eastAsia" w:hAnsi="宋体" w:cs="宋体"/>
          <w:color w:val="auto"/>
          <w:szCs w:val="24"/>
          <w:lang w:val="en-US" w:eastAsia="zh-CN"/>
        </w:rPr>
        <w:t>7.</w:t>
      </w:r>
      <w:r>
        <w:rPr>
          <w:rFonts w:hint="eastAsia" w:hAnsi="宋体" w:cs="宋体"/>
          <w:color w:val="auto"/>
          <w:szCs w:val="24"/>
          <w:u w:val="single"/>
        </w:rPr>
        <w:t xml:space="preserve">                                           </w:t>
      </w:r>
      <w:r>
        <w:rPr>
          <w:rFonts w:hint="eastAsia" w:hAnsi="宋体" w:cs="宋体"/>
          <w:color w:val="auto"/>
          <w:szCs w:val="24"/>
        </w:rPr>
        <w:t xml:space="preserve"> （其他补充说明）。</w:t>
      </w:r>
    </w:p>
    <w:p>
      <w:pPr>
        <w:pStyle w:val="38"/>
        <w:spacing w:after="0" w:line="360" w:lineRule="auto"/>
        <w:ind w:firstLine="2400" w:firstLineChars="1000"/>
        <w:rPr>
          <w:rFonts w:hint="eastAsia" w:hAnsi="宋体" w:cs="宋体"/>
          <w:color w:val="auto"/>
        </w:rPr>
      </w:pPr>
      <w:r>
        <w:rPr>
          <w:rFonts w:hint="eastAsia" w:hAnsi="宋体" w:cs="宋体"/>
          <w:color w:val="auto"/>
        </w:rPr>
        <w:t>投标人：</w:t>
      </w:r>
      <w:r>
        <w:rPr>
          <w:rFonts w:hint="eastAsia" w:hAnsi="宋体" w:cs="宋体"/>
          <w:color w:val="auto"/>
          <w:u w:val="single"/>
        </w:rPr>
        <w:t xml:space="preserve">                           </w:t>
      </w:r>
      <w:r>
        <w:rPr>
          <w:rFonts w:hint="eastAsia" w:hAnsi="宋体" w:cs="宋体"/>
          <w:color w:val="auto"/>
        </w:rPr>
        <w:t>（盖单位公章）</w:t>
      </w:r>
    </w:p>
    <w:p>
      <w:pPr>
        <w:pStyle w:val="38"/>
        <w:spacing w:after="0" w:line="360" w:lineRule="auto"/>
        <w:ind w:firstLine="2400" w:firstLineChars="1000"/>
        <w:rPr>
          <w:rFonts w:hint="eastAsia" w:hAnsi="宋体" w:cs="宋体"/>
          <w:color w:val="auto"/>
        </w:rPr>
      </w:pPr>
      <w:r>
        <w:rPr>
          <w:rFonts w:hint="eastAsia" w:hAnsi="宋体" w:cs="宋体"/>
          <w:color w:val="auto"/>
        </w:rPr>
        <w:t>法定代表人或其委托代理人：</w:t>
      </w:r>
      <w:r>
        <w:rPr>
          <w:rFonts w:hint="eastAsia" w:hAnsi="宋体" w:cs="宋体"/>
          <w:color w:val="auto"/>
          <w:u w:val="single"/>
        </w:rPr>
        <w:t xml:space="preserve">               </w:t>
      </w:r>
      <w:r>
        <w:rPr>
          <w:rFonts w:hint="eastAsia" w:hAnsi="宋体" w:cs="宋体"/>
          <w:color w:val="auto"/>
        </w:rPr>
        <w:t>（盖章）</w:t>
      </w:r>
    </w:p>
    <w:p>
      <w:pPr>
        <w:pStyle w:val="38"/>
        <w:spacing w:after="0" w:line="360" w:lineRule="auto"/>
        <w:ind w:firstLine="2400" w:firstLineChars="1000"/>
        <w:rPr>
          <w:rFonts w:hint="eastAsia" w:hAnsi="宋体" w:cs="宋体"/>
          <w:color w:val="auto"/>
        </w:rPr>
      </w:pPr>
      <w:r>
        <w:rPr>
          <w:rFonts w:hint="eastAsia" w:hAnsi="宋体" w:cs="宋体"/>
          <w:color w:val="auto"/>
        </w:rPr>
        <w:t>法定代表人或其委托代理人手机号码：</w:t>
      </w:r>
      <w:r>
        <w:rPr>
          <w:rFonts w:hint="eastAsia" w:hAnsi="宋体" w:cs="宋体"/>
          <w:color w:val="auto"/>
          <w:u w:val="single"/>
        </w:rPr>
        <w:t xml:space="preserve">               </w:t>
      </w:r>
    </w:p>
    <w:p>
      <w:pPr>
        <w:pStyle w:val="38"/>
        <w:spacing w:after="0" w:line="360" w:lineRule="auto"/>
        <w:ind w:firstLine="2400" w:firstLineChars="1000"/>
        <w:rPr>
          <w:rFonts w:hint="eastAsia" w:hAnsi="宋体" w:cs="宋体"/>
          <w:color w:val="auto"/>
          <w:u w:val="single"/>
        </w:rPr>
      </w:pPr>
      <w:r>
        <w:rPr>
          <w:rFonts w:hint="eastAsia" w:hAnsi="宋体" w:cs="宋体"/>
          <w:color w:val="auto"/>
        </w:rPr>
        <w:t>地址：</w:t>
      </w:r>
      <w:r>
        <w:rPr>
          <w:rFonts w:hint="eastAsia" w:hAnsi="宋体" w:cs="宋体"/>
          <w:color w:val="auto"/>
          <w:u w:val="single"/>
        </w:rPr>
        <w:t xml:space="preserve">                                           </w:t>
      </w:r>
    </w:p>
    <w:p>
      <w:pPr>
        <w:pStyle w:val="38"/>
        <w:spacing w:after="0" w:line="360" w:lineRule="auto"/>
        <w:ind w:firstLine="2400" w:firstLineChars="1000"/>
        <w:rPr>
          <w:rFonts w:hint="eastAsia" w:hAnsi="宋体" w:cs="宋体"/>
          <w:color w:val="auto"/>
          <w:u w:val="single"/>
        </w:rPr>
      </w:pPr>
      <w:r>
        <w:rPr>
          <w:rFonts w:hint="eastAsia" w:hAnsi="宋体" w:cs="宋体"/>
          <w:color w:val="auto"/>
        </w:rPr>
        <w:t>传真：</w:t>
      </w:r>
      <w:r>
        <w:rPr>
          <w:rFonts w:hint="eastAsia" w:hAnsi="宋体" w:cs="宋体"/>
          <w:color w:val="auto"/>
          <w:u w:val="single"/>
        </w:rPr>
        <w:t xml:space="preserve">                                           </w:t>
      </w:r>
    </w:p>
    <w:p>
      <w:pPr>
        <w:pStyle w:val="38"/>
        <w:spacing w:after="0" w:line="360" w:lineRule="auto"/>
        <w:ind w:firstLine="2400" w:firstLineChars="1000"/>
        <w:rPr>
          <w:rFonts w:hint="eastAsia" w:hAnsi="宋体" w:cs="宋体"/>
          <w:color w:val="auto"/>
        </w:rPr>
      </w:pPr>
      <w:r>
        <w:rPr>
          <w:rFonts w:hint="eastAsia" w:hAnsi="宋体" w:cs="宋体"/>
          <w:color w:val="auto"/>
        </w:rPr>
        <w:t>邮政编码：</w:t>
      </w:r>
      <w:r>
        <w:rPr>
          <w:rFonts w:hint="eastAsia" w:hAnsi="宋体" w:cs="宋体"/>
          <w:color w:val="auto"/>
          <w:u w:val="single"/>
        </w:rPr>
        <w:t xml:space="preserve">                                       </w:t>
      </w:r>
    </w:p>
    <w:p>
      <w:pPr>
        <w:pStyle w:val="38"/>
        <w:spacing w:after="0" w:line="360" w:lineRule="auto"/>
        <w:ind w:firstLine="5040" w:firstLineChars="2100"/>
        <w:rPr>
          <w:rFonts w:hint="eastAsia" w:hAnsi="宋体" w:cs="宋体"/>
          <w:color w:val="auto"/>
          <w:kern w:val="2"/>
        </w:rPr>
      </w:pP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pPr>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2"/>
          <w:szCs w:val="24"/>
          <w:highlight w:val="none"/>
        </w:rPr>
        <w:br w:type="page"/>
      </w:r>
    </w:p>
    <w:p>
      <w:pPr>
        <w:adjustRightInd/>
        <w:spacing w:line="360" w:lineRule="auto"/>
        <w:ind w:left="510"/>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二、投标函附录</w:t>
      </w:r>
    </w:p>
    <w:tbl>
      <w:tblPr>
        <w:tblStyle w:val="24"/>
        <w:tblpPr w:leftFromText="180" w:rightFromText="180" w:vertAnchor="text" w:horzAnchor="page" w:tblpX="1380" w:tblpY="429"/>
        <w:tblOverlap w:val="never"/>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704"/>
        <w:gridCol w:w="1155"/>
        <w:gridCol w:w="4050"/>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04"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15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同</w:t>
            </w:r>
          </w:p>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4050"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约定内容</w:t>
            </w:r>
          </w:p>
        </w:tc>
        <w:tc>
          <w:tcPr>
            <w:tcW w:w="763" w:type="dxa"/>
            <w:tcBorders>
              <w:right w:val="single" w:color="auto" w:sz="4" w:space="0"/>
            </w:tcBorders>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 w:hRule="atLeast"/>
          <w:jc w:val="center"/>
        </w:trPr>
        <w:tc>
          <w:tcPr>
            <w:tcW w:w="80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04"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w:t>
            </w:r>
          </w:p>
        </w:tc>
        <w:tc>
          <w:tcPr>
            <w:tcW w:w="115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4050" w:type="dxa"/>
            <w:noWrap w:val="0"/>
            <w:vAlign w:val="center"/>
          </w:tcPr>
          <w:p>
            <w:pPr>
              <w:spacing w:line="320" w:lineRule="exact"/>
              <w:rPr>
                <w:rFonts w:hint="eastAsia" w:ascii="宋体" w:hAnsi="宋体" w:eastAsia="宋体" w:cs="宋体"/>
                <w:color w:val="auto"/>
                <w:sz w:val="24"/>
                <w:szCs w:val="24"/>
                <w:highlight w:val="none"/>
                <w:lang w:eastAsia="zh-CN"/>
              </w:rPr>
            </w:pPr>
            <w:r>
              <w:rPr>
                <w:rFonts w:hint="eastAsia" w:ascii="宋体" w:hAnsi="宋体" w:eastAsia="宋体"/>
                <w:color w:val="auto"/>
                <w:sz w:val="24"/>
                <w:highlight w:val="none"/>
                <w:u w:val="none"/>
                <w:lang w:eastAsia="zh-CN"/>
              </w:rPr>
              <w:t>自工程竣工验收合格之日起24个月</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704"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承包人履约担保金额</w:t>
            </w:r>
          </w:p>
        </w:tc>
        <w:tc>
          <w:tcPr>
            <w:tcW w:w="115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4050"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为中标合同价的</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704"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115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4050" w:type="dxa"/>
            <w:noWrap w:val="0"/>
            <w:vAlign w:val="center"/>
          </w:tcPr>
          <w:p>
            <w:pPr>
              <w:spacing w:line="30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none"/>
                <w:lang w:eastAsia="zh-CN"/>
              </w:rPr>
              <w:t>本工程不允许分包</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704"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逾期竣工违约金</w:t>
            </w:r>
          </w:p>
        </w:tc>
        <w:tc>
          <w:tcPr>
            <w:tcW w:w="115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w:t>
            </w:r>
          </w:p>
        </w:tc>
        <w:tc>
          <w:tcPr>
            <w:tcW w:w="4050" w:type="dxa"/>
            <w:noWrap w:val="0"/>
            <w:vAlign w:val="center"/>
          </w:tcPr>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逾期竣工违约金的计算方法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工期延误每超过1天，违约金按人民币</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eastAsia="zh-CN"/>
              </w:rPr>
              <w:t>00元/日历天计取</w:t>
            </w:r>
            <w:r>
              <w:rPr>
                <w:rFonts w:hint="eastAsia" w:ascii="宋体" w:hAnsi="宋体" w:eastAsia="宋体" w:cs="宋体"/>
                <w:color w:val="auto"/>
                <w:kern w:val="0"/>
                <w:sz w:val="24"/>
                <w:szCs w:val="24"/>
                <w:highlight w:val="none"/>
                <w:lang w:val="en-US" w:eastAsia="zh-CN" w:bidi="ar"/>
              </w:rPr>
              <w:t>。</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704"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逾期竣工违约金最高限额</w:t>
            </w:r>
          </w:p>
        </w:tc>
        <w:tc>
          <w:tcPr>
            <w:tcW w:w="115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w:t>
            </w:r>
          </w:p>
        </w:tc>
        <w:tc>
          <w:tcPr>
            <w:tcW w:w="4050"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cs="宋体"/>
                <w:color w:val="auto"/>
                <w:spacing w:val="0"/>
                <w:position w:val="0"/>
                <w:sz w:val="24"/>
                <w:szCs w:val="24"/>
                <w:highlight w:val="none"/>
              </w:rPr>
              <w:t xml:space="preserve">逾期竣工违约金的最高限额: </w:t>
            </w:r>
            <w:r>
              <w:rPr>
                <w:rFonts w:hint="eastAsia" w:ascii="宋体" w:hAnsi="宋体" w:cs="宋体"/>
                <w:color w:val="auto"/>
                <w:spacing w:val="0"/>
                <w:position w:val="0"/>
                <w:sz w:val="24"/>
                <w:szCs w:val="24"/>
                <w:highlight w:val="none"/>
                <w:u w:val="single"/>
              </w:rPr>
              <w:t xml:space="preserve">合同价款的10% </w:t>
            </w:r>
            <w:r>
              <w:rPr>
                <w:rFonts w:hint="eastAsia" w:ascii="宋体" w:hAnsi="宋体" w:cs="宋体"/>
                <w:color w:val="auto"/>
                <w:spacing w:val="0"/>
                <w:position w:val="0"/>
                <w:sz w:val="24"/>
                <w:szCs w:val="24"/>
                <w:highlight w:val="none"/>
              </w:rPr>
              <w:t>。</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704"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预付款额度</w:t>
            </w:r>
          </w:p>
        </w:tc>
        <w:tc>
          <w:tcPr>
            <w:tcW w:w="115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4050"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本项目不设预付款。</w:t>
            </w:r>
            <w:r>
              <w:rPr>
                <w:rFonts w:hint="eastAsia" w:ascii="宋体" w:hAnsi="宋体" w:cs="宋体"/>
                <w:color w:val="auto"/>
                <w:sz w:val="24"/>
                <w:szCs w:val="24"/>
              </w:rPr>
              <w:t>预付款额度：为签约合同价的</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80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704"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质量保证金扣留百分比</w:t>
            </w:r>
          </w:p>
        </w:tc>
        <w:tc>
          <w:tcPr>
            <w:tcW w:w="115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w:t>
            </w:r>
          </w:p>
        </w:tc>
        <w:tc>
          <w:tcPr>
            <w:tcW w:w="4050"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工程价款结算总额的3%。</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bl>
    <w:p>
      <w:pPr>
        <w:pStyle w:val="38"/>
        <w:wordWrap w:val="0"/>
        <w:spacing w:after="0" w:line="480" w:lineRule="auto"/>
        <w:jc w:val="right"/>
        <w:rPr>
          <w:rFonts w:hint="eastAsia" w:ascii="宋体" w:hAnsi="宋体" w:eastAsia="宋体" w:cs="宋体"/>
          <w:color w:val="auto"/>
          <w:highlight w:val="none"/>
        </w:rPr>
      </w:pPr>
    </w:p>
    <w:p>
      <w:pPr>
        <w:pStyle w:val="38"/>
        <w:spacing w:after="0" w:line="48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（盖单位公章）</w:t>
      </w:r>
    </w:p>
    <w:p>
      <w:pPr>
        <w:pStyle w:val="38"/>
        <w:spacing w:after="0" w:line="48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（盖章）</w:t>
      </w:r>
    </w:p>
    <w:p>
      <w:pPr>
        <w:spacing w:line="400" w:lineRule="exact"/>
        <w:jc w:val="center"/>
        <w:rPr>
          <w:rFonts w:hint="eastAsia" w:ascii="宋体" w:hAnsi="宋体" w:eastAsia="宋体" w:cs="宋体"/>
          <w:color w:val="auto"/>
          <w:sz w:val="24"/>
          <w:szCs w:val="24"/>
          <w:highlight w:val="none"/>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jc w:val="left"/>
        <w:rPr>
          <w:rFonts w:hint="eastAsia"/>
          <w:color w:val="auto"/>
        </w:rPr>
      </w:pPr>
      <w:r>
        <w:rPr>
          <w:rFonts w:hint="eastAsia"/>
          <w:color w:val="auto"/>
        </w:rPr>
        <w:br w:type="page"/>
      </w:r>
    </w:p>
    <w:p>
      <w:pPr>
        <w:spacing w:line="400" w:lineRule="exact"/>
        <w:jc w:val="center"/>
        <w:rPr>
          <w:rFonts w:hint="eastAsia" w:ascii="宋体" w:hAnsi="宋体" w:eastAsia="宋体" w:cs="宋体"/>
          <w:b/>
          <w:color w:val="auto"/>
          <w:sz w:val="30"/>
          <w:szCs w:val="30"/>
          <w:highlight w:val="none"/>
        </w:rPr>
      </w:pPr>
      <w:bookmarkStart w:id="515" w:name="_Toc525120874"/>
      <w:r>
        <w:rPr>
          <w:rFonts w:hint="eastAsia" w:ascii="宋体" w:hAnsi="宋体" w:eastAsia="宋体" w:cs="宋体"/>
          <w:b/>
          <w:color w:val="auto"/>
          <w:sz w:val="30"/>
          <w:szCs w:val="30"/>
          <w:highlight w:val="none"/>
        </w:rPr>
        <w:t>三、其他资料</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说明：其他资料包括招标人要求投标人提供的其他资料（见招标文件）和投标人认为需要提供的其他资料。</w:t>
      </w:r>
      <w:r>
        <w:rPr>
          <w:rFonts w:hint="eastAsia" w:ascii="宋体" w:hAnsi="宋体" w:eastAsia="宋体" w:cs="宋体"/>
          <w:b/>
          <w:color w:val="auto"/>
          <w:sz w:val="24"/>
          <w:highlight w:val="none"/>
          <w:u w:val="double"/>
        </w:rPr>
        <w:t>投标人提供的资料均须加盖单位公章，否则资料无效</w:t>
      </w:r>
      <w:r>
        <w:rPr>
          <w:rFonts w:hint="eastAsia" w:ascii="宋体" w:hAnsi="宋体" w:eastAsia="宋体" w:cs="宋体"/>
          <w:color w:val="auto"/>
          <w:sz w:val="24"/>
          <w:highlight w:val="none"/>
        </w:rPr>
        <w:t>。</w:t>
      </w:r>
    </w:p>
    <w:bookmarkEnd w:id="515"/>
    <w:p>
      <w:pPr>
        <w:pStyle w:val="2"/>
        <w:rPr>
          <w:rFonts w:hint="default"/>
          <w:color w:val="auto"/>
          <w:sz w:val="24"/>
          <w:szCs w:val="24"/>
          <w:u w:val="single"/>
          <w:lang w:val="en-US" w:eastAsia="zh-CN"/>
        </w:rPr>
      </w:pPr>
    </w:p>
    <w:sectPr>
      <w:pgSz w:w="11906" w:h="16838"/>
      <w:pgMar w:top="1440" w:right="106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jc w:val="center"/>
    </w:pPr>
    <w:r>
      <w:fldChar w:fldCharType="begin"/>
    </w:r>
    <w:r>
      <w:rPr>
        <w:rStyle w:val="27"/>
      </w:rPr>
      <w:instrText xml:space="preserve">Page</w:instrText>
    </w:r>
    <w:r>
      <w:fldChar w:fldCharType="separate"/>
    </w:r>
    <w:r>
      <w:rPr>
        <w:rStyle w:val="27"/>
      </w:rPr>
      <w:t>28</w:t>
    </w:r>
    <w:r>
      <w:fldChar w:fldCharType="end"/>
    </w:r>
  </w:p>
  <w:p>
    <w:pPr>
      <w:pStyle w:val="17"/>
      <w:framePr w:wrap="around" w:vAnchor="text" w:hAnchor="margin" w:xAlign="center" w:y="1"/>
    </w:pPr>
  </w:p>
  <w:p>
    <w:pPr>
      <w:pStyle w:val="17"/>
      <w:framePr w:wrap="around" w:vAnchor="text" w:hAnchor="margin" w:xAlign="center" w:y="1"/>
      <w:ind w:right="360"/>
      <w:jc w:val="center"/>
      <w:rPr>
        <w:rStyle w:val="27"/>
      </w:rPr>
    </w:pPr>
    <w:r>
      <w:rPr>
        <w:rFonts w:hint="eastAsia"/>
        <w:kern w:val="0"/>
        <w:szCs w:val="21"/>
      </w:rPr>
      <w:t xml:space="preserve"> </w: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rPr>
        <w:rStyle w:val="27"/>
      </w:rPr>
      <w:instrText xml:space="preserve"> PAGE </w:instrText>
    </w:r>
    <w:r>
      <w:fldChar w:fldCharType="separate"/>
    </w:r>
    <w:r>
      <w:rPr>
        <w:rStyle w:val="27"/>
      </w:rPr>
      <w:t>39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t xml:space="preserve"> </w:t>
    </w:r>
    <w:r>
      <w:fldChar w:fldCharType="end"/>
    </w:r>
  </w:p>
  <w:p>
    <w:pPr>
      <w:pStyle w:val="1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2286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28600"/>
                      </a:xfrm>
                      <a:prstGeom prst="rect">
                        <a:avLst/>
                      </a:prstGeom>
                      <a:noFill/>
                      <a:ln w="15875">
                        <a:noFill/>
                      </a:ln>
                    </wps:spPr>
                    <wps:txbx>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pt;width:9.05pt;mso-position-horizontal:center;mso-position-horizontal-relative:margin;mso-wrap-style:none;z-index:251662336;mso-width-relative:page;mso-height-relative:page;" filled="f" stroked="f" coordsize="21600,21600" o:gfxdata="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mQDR1AAAAAMBAAAPAAAAAAAAAAEAIAAA&#10;ACIAAABkcnMvZG93bnJldi54bWxQSwECFAAUAAAACACHTuJA8hxBJ9cBAAChAwAADgAAAAAAAAAB&#10;ACAAAAAjAQAAZHJzL2Uyb0RvYy54bWxQSwUGAAAAAAYABgBZAQAAbAUAAAAA&#10;">
              <v:fill on="f" focussize="0,0"/>
              <v:stroke on="f" weight="1.25pt"/>
              <v:imagedata o:title=""/>
              <o:lock v:ext="edit" aspectratio="f"/>
              <v:textbox inset="0mm,0mm,0mm,0mm" style="mso-fit-shape-to-text:t;">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4572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457200"/>
                      </a:xfrm>
                      <a:prstGeom prst="rect">
                        <a:avLst/>
                      </a:prstGeom>
                      <a:noFill/>
                      <a:ln w="15875">
                        <a:noFill/>
                      </a:ln>
                    </wps:spPr>
                    <wps:txbx>
                      <w:txbxContent>
                        <w:p>
                          <w:pPr>
                            <w:pStyle w:val="17"/>
                            <w:jc w:val="left"/>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36pt;width:9.05pt;mso-position-horizontal:center;mso-position-horizontal-relative:margin;mso-wrap-style:none;z-index:251661312;mso-width-relative:page;mso-height-relative:page;" filled="f" stroked="f" coordsize="21600,21600" o:gfxdata="UEsDBAoAAAAAAIdO4kAAAAAAAAAAAAAAAAAEAAAAZHJzL1BLAwQUAAAACACHTuJAonYUjd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nYUjdQAAAADAQAADwAAAAAAAAABACAAAAAi&#10;AAAAZHJzL2Rvd25yZXYueG1sUEsBAhQAFAAAAAgAh07iQNkfuGzVAQAAoQMAAA4AAAAAAAAAAQAg&#10;AAAAIwEAAGRycy9lMm9Eb2MueG1sUEsFBgAAAAAGAAYAWQEAAGoFAAAAAA==&#10;">
              <v:fill on="f" focussize="0,0"/>
              <v:stroke on="f" weight="1.25pt"/>
              <v:imagedata o:title=""/>
              <o:lock v:ext="edit" aspectratio="f"/>
              <v:textbox inset="0mm,0mm,0mm,0mm" style="mso-fit-shape-to-text:t;">
                <w:txbxContent>
                  <w:p>
                    <w:pPr>
                      <w:pStyle w:val="17"/>
                      <w:jc w:val="left"/>
                    </w:pP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jc w:val="center"/>
                          </w:pPr>
                          <w:r>
                            <w:fldChar w:fldCharType="begin"/>
                          </w:r>
                          <w:r>
                            <w:rPr>
                              <w:rStyle w:val="27"/>
                            </w:rPr>
                            <w:instrText xml:space="preserve"> PAGE </w:instrText>
                          </w:r>
                          <w:r>
                            <w:fldChar w:fldCharType="separate"/>
                          </w:r>
                          <w:r>
                            <w:rPr>
                              <w:rStyle w:val="27"/>
                            </w:rP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7"/>
                      <w:jc w:val="center"/>
                    </w:pPr>
                    <w:r>
                      <w:fldChar w:fldCharType="begin"/>
                    </w:r>
                    <w:r>
                      <w:rPr>
                        <w:rStyle w:val="27"/>
                      </w:rPr>
                      <w:instrText xml:space="preserve"> PAGE </w:instrText>
                    </w:r>
                    <w:r>
                      <w:fldChar w:fldCharType="separate"/>
                    </w:r>
                    <w:r>
                      <w:rPr>
                        <w:rStyle w:val="27"/>
                      </w:rPr>
                      <w:t>93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default"/>
        <w:lang w:val="en-US" w:eastAsia="zh-CN"/>
      </w:rPr>
    </w:pPr>
    <w:r>
      <w:rPr>
        <w:rFonts w:hint="eastAsia" w:ascii="宋体" w:hAnsi="宋体" w:cs="宋体"/>
      </w:rPr>
      <w:t xml:space="preserve">福建省房屋建筑和市政基础设施工程标准施工招标文件（2022年版）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专用本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rFonts w:hint="default" w:eastAsiaTheme="minorEastAsia"/>
        <w:lang w:val="en-US" w:eastAsia="zh-CN"/>
      </w:rPr>
    </w:pPr>
    <w:r>
      <w:rPr>
        <w:rFonts w:hint="eastAsia"/>
      </w:rPr>
      <w:t xml:space="preserve">福建省房屋建筑和市政基础设施工程标准施工招标文件                     </w:t>
    </w:r>
    <w:r>
      <w:rPr>
        <w:rFonts w:hint="eastAsia"/>
        <w:lang w:val="en-US" w:eastAsia="zh-CN"/>
      </w:rPr>
      <w:t xml:space="preserve">              专用本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rFonts w:hint="eastAsia" w:ascii="宋体"/>
      </w:rPr>
    </w:pPr>
    <w:r>
      <w:rPr>
        <w:rFonts w:hint="eastAsia" w:ascii="宋体"/>
      </w:rPr>
      <w:t>福建省房屋建筑和市政基础设施工程施工招标文件                             专用本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rFonts w:hint="default" w:eastAsiaTheme="minorEastAsia"/>
        <w:lang w:val="en-US" w:eastAsia="zh-CN"/>
      </w:rPr>
    </w:pPr>
    <w:r>
      <w:rPr>
        <w:rFonts w:hint="eastAsia"/>
      </w:rPr>
      <w:t xml:space="preserve">福建省房屋建筑和市政基础设施工程标准施工招标文件                          </w:t>
    </w:r>
    <w:r>
      <w:rPr>
        <w:rFonts w:hint="eastAsia"/>
        <w:lang w:val="en-US" w:eastAsia="zh-CN"/>
      </w:rPr>
      <w:t xml:space="preserve">       </w:t>
    </w:r>
    <w:r>
      <w:rPr>
        <w:rFonts w:hint="eastAsia"/>
      </w:rPr>
      <w:t xml:space="preserve"> </w:t>
    </w:r>
    <w:r>
      <w:rPr>
        <w:rFonts w:hint="eastAsia"/>
        <w:lang w:val="en-US" w:eastAsia="zh-CN"/>
      </w:rPr>
      <w:t xml:space="preserve"> 专用本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10" w:firstLineChars="100"/>
      <w:jc w:val="left"/>
      <w:rPr>
        <w:rFonts w:hint="default" w:ascii="宋体" w:hAnsi="宋体" w:cs="宋体" w:eastAsiaTheme="minorEastAsia"/>
        <w:lang w:val="en-US" w:eastAsia="zh-CN"/>
      </w:rPr>
    </w:pPr>
    <w:r>
      <w:rPr>
        <w:rFonts w:hint="eastAsia" w:ascii="宋体" w:hAnsi="宋体" w:cs="宋体"/>
      </w:rPr>
      <w:t xml:space="preserve">福建省房屋建筑和市政基础设施工程标准施工招标文件  </w:t>
    </w:r>
    <w:r>
      <w:rPr>
        <w:rFonts w:hint="eastAsia" w:ascii="宋体" w:hAnsi="宋体" w:cs="宋体"/>
        <w:lang w:val="en-US" w:eastAsia="zh-CN"/>
      </w:rPr>
      <w:t xml:space="preserve">                               专用本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1E605"/>
    <w:multiLevelType w:val="singleLevel"/>
    <w:tmpl w:val="8631E605"/>
    <w:lvl w:ilvl="0" w:tentative="0">
      <w:start w:val="1"/>
      <w:numFmt w:val="decimal"/>
      <w:suff w:val="nothing"/>
      <w:lvlText w:val="%1、"/>
      <w:lvlJc w:val="left"/>
    </w:lvl>
  </w:abstractNum>
  <w:abstractNum w:abstractNumId="1">
    <w:nsid w:val="8C7F2036"/>
    <w:multiLevelType w:val="multilevel"/>
    <w:tmpl w:val="8C7F2036"/>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C5EA47B5"/>
    <w:multiLevelType w:val="singleLevel"/>
    <w:tmpl w:val="C5EA47B5"/>
    <w:lvl w:ilvl="0" w:tentative="0">
      <w:start w:val="1"/>
      <w:numFmt w:val="decimal"/>
      <w:suff w:val="nothing"/>
      <w:lvlText w:val="%1、"/>
      <w:lvlJc w:val="left"/>
    </w:lvl>
  </w:abstractNum>
  <w:abstractNum w:abstractNumId="3">
    <w:nsid w:val="C8F3AAC4"/>
    <w:multiLevelType w:val="singleLevel"/>
    <w:tmpl w:val="C8F3AAC4"/>
    <w:lvl w:ilvl="0" w:tentative="0">
      <w:start w:val="1"/>
      <w:numFmt w:val="decimal"/>
      <w:suff w:val="nothing"/>
      <w:lvlText w:val="（%1）"/>
      <w:lvlJc w:val="left"/>
    </w:lvl>
  </w:abstractNum>
  <w:abstractNum w:abstractNumId="4">
    <w:nsid w:val="00000001"/>
    <w:multiLevelType w:val="multilevel"/>
    <w:tmpl w:val="00000001"/>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2"/>
    <w:multiLevelType w:val="multilevel"/>
    <w:tmpl w:val="00000002"/>
    <w:lvl w:ilvl="0" w:tentative="0">
      <w:start w:val="1"/>
      <w:numFmt w:val="decimal"/>
      <w:suff w:val="space"/>
      <w:lvlText w:val="第%1章"/>
      <w:lvlJc w:val="center"/>
      <w:pPr>
        <w:tabs>
          <w:tab w:val="left" w:pos="0"/>
        </w:tabs>
        <w:ind w:left="0" w:firstLine="0"/>
      </w:pPr>
      <w:rPr>
        <w:rFonts w:hint="eastAsia" w:eastAsia="宋体"/>
        <w:b/>
        <w:color w:val="auto"/>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00000003"/>
    <w:multiLevelType w:val="multilevel"/>
    <w:tmpl w:val="00000003"/>
    <w:lvl w:ilvl="0" w:tentative="0">
      <w:start w:val="1"/>
      <w:numFmt w:val="decimal"/>
      <w:lvlText w:val="%1."/>
      <w:lvlJc w:val="left"/>
      <w:pPr>
        <w:tabs>
          <w:tab w:val="left" w:pos="427"/>
        </w:tabs>
        <w:ind w:left="30" w:firstLine="510"/>
      </w:pPr>
      <w:rPr>
        <w:rFonts w:hint="eastAsia"/>
      </w:rPr>
    </w:lvl>
    <w:lvl w:ilvl="1" w:tentative="0">
      <w:start w:val="1"/>
      <w:numFmt w:val="upperLetter"/>
      <w:lvlText w:val="%2．"/>
      <w:lvlJc w:val="left"/>
      <w:pPr>
        <w:tabs>
          <w:tab w:val="left" w:pos="397"/>
        </w:tabs>
        <w:ind w:left="0" w:firstLine="510"/>
      </w:pPr>
      <w:rPr>
        <w:rFonts w:hint="default"/>
      </w:rPr>
    </w:lvl>
    <w:lvl w:ilvl="2" w:tentative="0">
      <w:start w:val="1"/>
      <w:numFmt w:val="decimal"/>
      <w:lvlText w:val="%3．"/>
      <w:lvlJc w:val="left"/>
      <w:pPr>
        <w:tabs>
          <w:tab w:val="left" w:pos="510"/>
        </w:tabs>
        <w:ind w:left="0" w:firstLine="510"/>
      </w:pPr>
      <w:rPr>
        <w:rFonts w:hint="default"/>
      </w:rPr>
    </w:lvl>
    <w:lvl w:ilvl="3" w:tentative="0">
      <w:start w:val="2"/>
      <w:numFmt w:val="japaneseCounting"/>
      <w:lvlText w:val="（%4）"/>
      <w:lvlJc w:val="left"/>
      <w:pPr>
        <w:tabs>
          <w:tab w:val="left" w:pos="2880"/>
        </w:tabs>
        <w:ind w:left="2880" w:hanging="1080"/>
      </w:pPr>
      <w:rPr>
        <w:rFonts w:hint="default"/>
      </w:rPr>
    </w:lvl>
    <w:lvl w:ilvl="4" w:tentative="0">
      <w:start w:val="1"/>
      <w:numFmt w:val="lowerLetter"/>
      <w:lvlText w:val="%5"/>
      <w:lvlJc w:val="left"/>
      <w:pPr>
        <w:tabs>
          <w:tab w:val="left" w:pos="397"/>
        </w:tabs>
        <w:ind w:left="0" w:firstLine="397"/>
      </w:pPr>
      <w:rPr>
        <w:rFonts w:hint="default"/>
      </w:r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7">
    <w:nsid w:val="00000010"/>
    <w:multiLevelType w:val="multilevel"/>
    <w:tmpl w:val="00000010"/>
    <w:lvl w:ilvl="0" w:tentative="0">
      <w:start w:val="1"/>
      <w:numFmt w:val="chineseCountingThousand"/>
      <w:lvlText w:val="%1."/>
      <w:lvlJc w:val="left"/>
      <w:pPr>
        <w:tabs>
          <w:tab w:val="left" w:pos="397"/>
        </w:tabs>
        <w:ind w:left="0" w:firstLine="510"/>
      </w:pPr>
      <w:rPr>
        <w:rFonts w:hint="eastAsia"/>
        <w:b/>
        <w:sz w:val="28"/>
      </w:rPr>
    </w:lvl>
    <w:lvl w:ilvl="1" w:tentative="0">
      <w:start w:val="1"/>
      <w:numFmt w:val="chineseCountingThousand"/>
      <w:lvlText w:val="（%2）"/>
      <w:lvlJc w:val="left"/>
      <w:pPr>
        <w:tabs>
          <w:tab w:val="left" w:pos="397"/>
        </w:tabs>
        <w:ind w:left="0" w:firstLine="397"/>
      </w:pPr>
      <w:rPr>
        <w:rFonts w:hint="eastAsia"/>
      </w:rPr>
    </w:lvl>
    <w:lvl w:ilvl="2" w:tentative="0">
      <w:start w:val="1"/>
      <w:numFmt w:val="decimal"/>
      <w:lvlText w:val="%3."/>
      <w:lvlJc w:val="left"/>
      <w:pPr>
        <w:tabs>
          <w:tab w:val="left" w:pos="397"/>
        </w:tabs>
        <w:ind w:left="0" w:firstLine="510"/>
      </w:pPr>
      <w:rPr>
        <w:rFonts w:hint="eastAsia"/>
      </w:rPr>
    </w:lvl>
    <w:lvl w:ilvl="3" w:tentative="0">
      <w:start w:val="1"/>
      <w:numFmt w:val="decimal"/>
      <w:lvlText w:val="%3.%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8">
    <w:nsid w:val="00000011"/>
    <w:multiLevelType w:val="multilevel"/>
    <w:tmpl w:val="00000011"/>
    <w:lvl w:ilvl="0" w:tentative="0">
      <w:start w:val="1"/>
      <w:numFmt w:val="chineseCountingThousand"/>
      <w:suff w:val="space"/>
      <w:lvlText w:val="第%1章"/>
      <w:lvlJc w:val="left"/>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sz w:val="32"/>
      </w:rPr>
    </w:lvl>
    <w:lvl w:ilvl="2" w:tentative="0">
      <w:start w:val="6"/>
      <w:numFmt w:val="chineseCountingThousand"/>
      <w:suff w:val="space"/>
      <w:lvlText w:val="（%3）"/>
      <w:lvlJc w:val="left"/>
      <w:pPr>
        <w:tabs>
          <w:tab w:val="left" w:pos="0"/>
        </w:tabs>
        <w:ind w:left="0" w:firstLine="510"/>
      </w:pPr>
      <w:rPr>
        <w:rFonts w:hint="eastAsia"/>
        <w:b/>
        <w:sz w:val="24"/>
      </w:rPr>
    </w:lvl>
    <w:lvl w:ilvl="3" w:tentative="0">
      <w:start w:val="28"/>
      <w:numFmt w:val="decimal"/>
      <w:suff w:val="space"/>
      <w:lvlText w:val="%4."/>
      <w:lvlJc w:val="left"/>
      <w:pPr>
        <w:tabs>
          <w:tab w:val="left" w:pos="0"/>
        </w:tabs>
        <w:ind w:left="0" w:firstLine="510"/>
      </w:pPr>
      <w:rPr>
        <w:rFonts w:hint="eastAsia" w:ascii="宋体" w:hAnsi="宋体" w:eastAsia="宋体"/>
        <w:b/>
        <w:sz w:val="28"/>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rPr>
    </w:lvl>
    <w:lvl w:ilvl="8" w:tentative="0">
      <w:start w:val="1"/>
      <w:numFmt w:val="lowerRoman"/>
      <w:lvlText w:val="%9."/>
      <w:lvlJc w:val="right"/>
      <w:pPr>
        <w:tabs>
          <w:tab w:val="left" w:pos="3780"/>
        </w:tabs>
        <w:ind w:left="3780" w:hanging="420"/>
      </w:pPr>
      <w:rPr>
        <w:rFonts w:hint="eastAsia"/>
      </w:rPr>
    </w:lvl>
  </w:abstractNum>
  <w:abstractNum w:abstractNumId="9">
    <w:nsid w:val="00000017"/>
    <w:multiLevelType w:val="multilevel"/>
    <w:tmpl w:val="00000017"/>
    <w:lvl w:ilvl="0" w:tentative="0">
      <w:start w:val="1"/>
      <w:numFmt w:val="chineseCountingThousand"/>
      <w:suff w:val="space"/>
      <w:lvlText w:val="第%1章"/>
      <w:lvlJc w:val="left"/>
      <w:pPr>
        <w:tabs>
          <w:tab w:val="left" w:pos="0"/>
        </w:tabs>
        <w:ind w:left="0" w:firstLine="0"/>
      </w:pPr>
      <w:rPr>
        <w:rFonts w:hint="eastAsia" w:eastAsia="宋体"/>
        <w:b/>
        <w:i w:val="0"/>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3"/>
      <w:numFmt w:val="chineseCountingThousand"/>
      <w:suff w:val="space"/>
      <w:lvlText w:val="（%3）"/>
      <w:lvlJc w:val="left"/>
      <w:pPr>
        <w:tabs>
          <w:tab w:val="left" w:pos="0"/>
        </w:tabs>
        <w:ind w:left="0" w:firstLine="510"/>
      </w:pPr>
      <w:rPr>
        <w:rFonts w:hint="eastAsia"/>
        <w:b/>
        <w:i w:val="0"/>
        <w:sz w:val="24"/>
      </w:rPr>
    </w:lvl>
    <w:lvl w:ilvl="3" w:tentative="0">
      <w:start w:val="16"/>
      <w:numFmt w:val="decimal"/>
      <w:suff w:val="space"/>
      <w:lvlText w:val="%4."/>
      <w:lvlJc w:val="left"/>
      <w:pPr>
        <w:tabs>
          <w:tab w:val="left" w:pos="0"/>
        </w:tabs>
        <w:ind w:left="0" w:firstLine="510"/>
      </w:pPr>
      <w:rPr>
        <w:rFonts w:hint="default" w:ascii="宋体" w:hAnsi="宋体" w:eastAsia="宋体"/>
        <w:b/>
        <w:i w:val="0"/>
        <w:sz w:val="28"/>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
      <w:lvlJc w:val="left"/>
      <w:pPr>
        <w:tabs>
          <w:tab w:val="left" w:pos="510"/>
        </w:tabs>
        <w:ind w:left="0" w:firstLine="510"/>
      </w:pPr>
      <w:rPr>
        <w:rFonts w:hint="eastAsia"/>
        <w:b w:val="0"/>
        <w:i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i w:val="0"/>
      </w:rPr>
    </w:lvl>
    <w:lvl w:ilvl="8" w:tentative="0">
      <w:start w:val="1"/>
      <w:numFmt w:val="lowerRoman"/>
      <w:lvlText w:val="%9."/>
      <w:lvlJc w:val="right"/>
      <w:pPr>
        <w:tabs>
          <w:tab w:val="left" w:pos="3780"/>
        </w:tabs>
        <w:ind w:left="3780" w:hanging="420"/>
      </w:pPr>
      <w:rPr>
        <w:rFonts w:hint="eastAsia"/>
      </w:rPr>
    </w:lvl>
  </w:abstractNum>
  <w:abstractNum w:abstractNumId="10">
    <w:nsid w:val="0000001C"/>
    <w:multiLevelType w:val="singleLevel"/>
    <w:tmpl w:val="0000001C"/>
    <w:lvl w:ilvl="0" w:tentative="0">
      <w:start w:val="2"/>
      <w:numFmt w:val="decimal"/>
      <w:suff w:val="space"/>
      <w:lvlText w:val="%1."/>
      <w:lvlJc w:val="left"/>
      <w:pPr>
        <w:tabs>
          <w:tab w:val="left" w:pos="0"/>
        </w:tabs>
        <w:ind w:left="0" w:firstLine="0"/>
      </w:pPr>
    </w:lvl>
  </w:abstractNum>
  <w:abstractNum w:abstractNumId="11">
    <w:nsid w:val="00000021"/>
    <w:multiLevelType w:val="multilevel"/>
    <w:tmpl w:val="00000021"/>
    <w:lvl w:ilvl="0" w:tentative="0">
      <w:start w:val="1"/>
      <w:numFmt w:val="chineseCountingThousand"/>
      <w:suff w:val="space"/>
      <w:lvlText w:val="第%1章"/>
      <w:lvlJc w:val="left"/>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sz w:val="32"/>
      </w:rPr>
    </w:lvl>
    <w:lvl w:ilvl="2" w:tentative="0">
      <w:start w:val="7"/>
      <w:numFmt w:val="chineseCountingThousand"/>
      <w:suff w:val="space"/>
      <w:lvlText w:val="（%3）"/>
      <w:lvlJc w:val="left"/>
      <w:pPr>
        <w:tabs>
          <w:tab w:val="left" w:pos="0"/>
        </w:tabs>
        <w:ind w:left="0" w:firstLine="510"/>
      </w:pPr>
      <w:rPr>
        <w:rFonts w:hint="eastAsia"/>
        <w:b/>
        <w:sz w:val="24"/>
      </w:rPr>
    </w:lvl>
    <w:lvl w:ilvl="3" w:tentative="0">
      <w:start w:val="31"/>
      <w:numFmt w:val="decimal"/>
      <w:suff w:val="space"/>
      <w:lvlText w:val="%4."/>
      <w:lvlJc w:val="left"/>
      <w:pPr>
        <w:tabs>
          <w:tab w:val="left" w:pos="0"/>
        </w:tabs>
        <w:ind w:left="0" w:firstLine="510"/>
      </w:pPr>
      <w:rPr>
        <w:rFonts w:hint="eastAsia" w:ascii="宋体" w:hAnsi="宋体" w:eastAsia="宋体"/>
        <w:b/>
        <w:sz w:val="28"/>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rPr>
    </w:lvl>
    <w:lvl w:ilvl="8" w:tentative="0">
      <w:start w:val="1"/>
      <w:numFmt w:val="lowerRoman"/>
      <w:lvlText w:val="%9."/>
      <w:lvlJc w:val="right"/>
      <w:pPr>
        <w:tabs>
          <w:tab w:val="left" w:pos="3780"/>
        </w:tabs>
        <w:ind w:left="3780" w:hanging="420"/>
      </w:pPr>
      <w:rPr>
        <w:rFonts w:hint="eastAsia"/>
      </w:rPr>
    </w:lvl>
  </w:abstractNum>
  <w:abstractNum w:abstractNumId="12">
    <w:nsid w:val="00000022"/>
    <w:multiLevelType w:val="multilevel"/>
    <w:tmpl w:val="00000022"/>
    <w:lvl w:ilvl="0" w:tentative="0">
      <w:start w:val="1"/>
      <w:numFmt w:val="decimal"/>
      <w:suff w:val="space"/>
      <w:lvlText w:val="%1."/>
      <w:lvlJc w:val="left"/>
      <w:pPr>
        <w:tabs>
          <w:tab w:val="left" w:pos="0"/>
        </w:tabs>
        <w:ind w:left="0" w:firstLine="510"/>
      </w:pPr>
      <w:rPr>
        <w:rFonts w:hint="eastAsia" w:ascii="宋体" w:hAnsi="宋体" w:eastAsia="宋体"/>
        <w:b w:val="0"/>
        <w:i w:val="0"/>
        <w:sz w:val="28"/>
      </w:rPr>
    </w:lvl>
    <w:lvl w:ilvl="1" w:tentative="0">
      <w:start w:val="1"/>
      <w:numFmt w:val="decimal"/>
      <w:suff w:val="space"/>
      <w:lvlText w:val="%1.%2."/>
      <w:lvlJc w:val="left"/>
      <w:pPr>
        <w:tabs>
          <w:tab w:val="left" w:pos="0"/>
        </w:tabs>
        <w:ind w:left="0" w:firstLine="510"/>
      </w:pPr>
      <w:rPr>
        <w:rFonts w:hint="eastAsia" w:ascii="宋体" w:hAnsi="宋体" w:eastAsia="宋体"/>
        <w:b w:val="0"/>
        <w:i w:val="0"/>
        <w:sz w:val="24"/>
      </w:rPr>
    </w:lvl>
    <w:lvl w:ilvl="2" w:tentative="0">
      <w:start w:val="1"/>
      <w:numFmt w:val="decimal"/>
      <w:suff w:val="space"/>
      <w:lvlText w:val="%1.%2.%3."/>
      <w:lvlJc w:val="left"/>
      <w:pPr>
        <w:tabs>
          <w:tab w:val="left" w:pos="0"/>
        </w:tabs>
        <w:ind w:left="0" w:firstLine="510"/>
      </w:pPr>
      <w:rPr>
        <w:rFonts w:hint="eastAsia" w:eastAsia="宋体"/>
        <w:b w:val="0"/>
        <w:i w:val="0"/>
        <w:sz w:val="24"/>
      </w:rPr>
    </w:lvl>
    <w:lvl w:ilvl="3" w:tentative="0">
      <w:start w:val="1"/>
      <w:numFmt w:val="decimal"/>
      <w:suff w:val="space"/>
      <w:lvlText w:val="%1.%2.%3.%4."/>
      <w:lvlJc w:val="left"/>
      <w:pPr>
        <w:tabs>
          <w:tab w:val="left" w:pos="0"/>
        </w:tabs>
        <w:ind w:left="0" w:firstLine="510"/>
      </w:pPr>
      <w:rPr>
        <w:rFonts w:hint="eastAsia" w:ascii="宋体" w:hAnsi="宋体" w:eastAsia="宋体"/>
        <w:b w:val="0"/>
        <w:i w:val="0"/>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3">
    <w:nsid w:val="06992ABE"/>
    <w:multiLevelType w:val="multilevel"/>
    <w:tmpl w:val="06992ABE"/>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4">
    <w:nsid w:val="0DDB309B"/>
    <w:multiLevelType w:val="multilevel"/>
    <w:tmpl w:val="0DDB309B"/>
    <w:lvl w:ilvl="0" w:tentative="0">
      <w:start w:val="1"/>
      <w:numFmt w:val="decimal"/>
      <w:lvlText w:val="%1．"/>
      <w:lvlJc w:val="left"/>
      <w:pPr>
        <w:tabs>
          <w:tab w:val="left" w:pos="482"/>
        </w:tabs>
        <w:ind w:left="0" w:firstLine="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207574D"/>
    <w:multiLevelType w:val="multilevel"/>
    <w:tmpl w:val="1207574D"/>
    <w:lvl w:ilvl="0" w:tentative="0">
      <w:start w:val="1"/>
      <w:numFmt w:val="chineseCountingThousand"/>
      <w:suff w:val="space"/>
      <w:lvlText w:val="第%1章"/>
      <w:lvlJc w:val="left"/>
      <w:pPr>
        <w:tabs>
          <w:tab w:val="left" w:pos="0"/>
        </w:tabs>
        <w:ind w:left="0" w:firstLine="0"/>
      </w:pPr>
      <w:rPr>
        <w:rFonts w:hint="eastAsia" w:eastAsia="宋体"/>
        <w:b/>
        <w:i w:val="0"/>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3"/>
      <w:numFmt w:val="chineseCountingThousand"/>
      <w:suff w:val="space"/>
      <w:lvlText w:val="（%3）"/>
      <w:lvlJc w:val="left"/>
      <w:pPr>
        <w:tabs>
          <w:tab w:val="left" w:pos="0"/>
        </w:tabs>
        <w:ind w:left="0" w:firstLine="510"/>
      </w:pPr>
      <w:rPr>
        <w:rFonts w:hint="eastAsia"/>
        <w:b/>
        <w:i w:val="0"/>
        <w:sz w:val="24"/>
      </w:rPr>
    </w:lvl>
    <w:lvl w:ilvl="3" w:tentative="0">
      <w:start w:val="16"/>
      <w:numFmt w:val="decimal"/>
      <w:suff w:val="space"/>
      <w:lvlText w:val="%4."/>
      <w:lvlJc w:val="left"/>
      <w:pPr>
        <w:tabs>
          <w:tab w:val="left" w:pos="0"/>
        </w:tabs>
        <w:ind w:left="0" w:firstLine="510"/>
      </w:pPr>
      <w:rPr>
        <w:rFonts w:hint="default" w:ascii="宋体" w:hAnsi="宋体" w:eastAsia="宋体"/>
        <w:b/>
        <w:i w:val="0"/>
        <w:sz w:val="28"/>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
      <w:lvlJc w:val="left"/>
      <w:pPr>
        <w:tabs>
          <w:tab w:val="left" w:pos="510"/>
        </w:tabs>
        <w:ind w:left="0" w:firstLine="510"/>
      </w:pPr>
      <w:rPr>
        <w:rFonts w:hint="eastAsia"/>
        <w:b w:val="0"/>
        <w:i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i w:val="0"/>
      </w:rPr>
    </w:lvl>
    <w:lvl w:ilvl="8" w:tentative="0">
      <w:start w:val="1"/>
      <w:numFmt w:val="lowerRoman"/>
      <w:lvlText w:val="%9."/>
      <w:lvlJc w:val="right"/>
      <w:pPr>
        <w:tabs>
          <w:tab w:val="left" w:pos="3780"/>
        </w:tabs>
        <w:ind w:left="3780" w:hanging="420"/>
      </w:pPr>
      <w:rPr>
        <w:rFonts w:hint="eastAsia"/>
      </w:rPr>
    </w:lvl>
  </w:abstractNum>
  <w:abstractNum w:abstractNumId="16">
    <w:nsid w:val="16C8399F"/>
    <w:multiLevelType w:val="multilevel"/>
    <w:tmpl w:val="16C8399F"/>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7">
    <w:nsid w:val="1B8563D1"/>
    <w:multiLevelType w:val="multilevel"/>
    <w:tmpl w:val="1B8563D1"/>
    <w:lvl w:ilvl="0" w:tentative="0">
      <w:start w:val="1"/>
      <w:numFmt w:val="chineseCountingThousand"/>
      <w:lvlText w:val="%1."/>
      <w:lvlJc w:val="left"/>
      <w:pPr>
        <w:tabs>
          <w:tab w:val="left" w:pos="0"/>
        </w:tabs>
        <w:ind w:left="0" w:firstLine="0"/>
      </w:pPr>
      <w:rPr>
        <w:rFonts w:hint="eastAsia"/>
        <w:b/>
        <w:i w:val="0"/>
        <w:sz w:val="32"/>
      </w:rPr>
    </w:lvl>
    <w:lvl w:ilvl="1" w:tentative="0">
      <w:start w:val="1"/>
      <w:numFmt w:val="decimal"/>
      <w:lvlText w:val="%2."/>
      <w:lvlJc w:val="left"/>
      <w:pPr>
        <w:tabs>
          <w:tab w:val="left" w:pos="510"/>
        </w:tabs>
        <w:ind w:left="0" w:firstLine="510"/>
      </w:pPr>
      <w:rPr>
        <w:rFonts w:hint="eastAsia" w:ascii="宋体" w:hAnsi="宋体" w:eastAsia="宋体"/>
        <w:b/>
        <w:sz w:val="28"/>
      </w:rPr>
    </w:lvl>
    <w:lvl w:ilvl="2" w:tentative="0">
      <w:start w:val="1"/>
      <w:numFmt w:val="decimal"/>
      <w:lvlText w:val="%2.%3."/>
      <w:lvlJc w:val="left"/>
      <w:pPr>
        <w:tabs>
          <w:tab w:val="left" w:pos="510"/>
        </w:tabs>
        <w:ind w:left="0" w:firstLine="510"/>
      </w:pPr>
      <w:rPr>
        <w:rFonts w:hint="eastAsia" w:ascii="宋体" w:hAnsi="宋体" w:eastAsia="宋体"/>
        <w:b w:val="0"/>
        <w:i w:val="0"/>
        <w:sz w:val="24"/>
      </w:rPr>
    </w:lvl>
    <w:lvl w:ilvl="3" w:tentative="0">
      <w:start w:val="1"/>
      <w:numFmt w:val="decimal"/>
      <w:lvlText w:val="%2.%3.%4"/>
      <w:lvlJc w:val="left"/>
      <w:pPr>
        <w:tabs>
          <w:tab w:val="left" w:pos="510"/>
        </w:tabs>
        <w:ind w:left="0" w:firstLine="510"/>
      </w:pPr>
      <w:rPr>
        <w:rFonts w:hint="eastAsia" w:ascii="宋体" w:hAnsi="宋体" w:eastAsia="宋体"/>
        <w:b w:val="0"/>
        <w:sz w:val="24"/>
      </w:rPr>
    </w:lvl>
    <w:lvl w:ilvl="4" w:tentative="0">
      <w:start w:val="1"/>
      <w:numFmt w:val="decimal"/>
      <w:lvlText w:val="（%5）"/>
      <w:lvlJc w:val="left"/>
      <w:pPr>
        <w:tabs>
          <w:tab w:val="left" w:pos="510"/>
        </w:tabs>
        <w:ind w:left="0" w:firstLine="51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8">
    <w:nsid w:val="21B14C0A"/>
    <w:multiLevelType w:val="multilevel"/>
    <w:tmpl w:val="21B14C0A"/>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A3C9696"/>
    <w:multiLevelType w:val="multilevel"/>
    <w:tmpl w:val="2A3C9696"/>
    <w:lvl w:ilvl="0" w:tentative="0">
      <w:start w:val="1"/>
      <w:numFmt w:val="decimal"/>
      <w:pStyle w:val="4"/>
      <w:lvlText w:val="第 %1 章"/>
      <w:lvlJc w:val="left"/>
      <w:pPr>
        <w:tabs>
          <w:tab w:val="left" w:pos="1440"/>
        </w:tabs>
        <w:ind w:left="0" w:firstLine="0"/>
      </w:pPr>
      <w:rPr>
        <w:rFonts w:hint="eastAsia" w:eastAsia="宋体"/>
        <w:b/>
        <w:i w:val="0"/>
        <w:sz w:val="44"/>
      </w:rPr>
    </w:lvl>
    <w:lvl w:ilvl="1" w:tentative="0">
      <w:start w:val="1"/>
      <w:numFmt w:val="decimal"/>
      <w:pStyle w:val="37"/>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20">
    <w:nsid w:val="3E190DBC"/>
    <w:multiLevelType w:val="multilevel"/>
    <w:tmpl w:val="3E190DBC"/>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1">
    <w:nsid w:val="4FC21217"/>
    <w:multiLevelType w:val="multilevel"/>
    <w:tmpl w:val="4FC21217"/>
    <w:lvl w:ilvl="0" w:tentative="0">
      <w:start w:val="1"/>
      <w:numFmt w:val="decimal"/>
      <w:lvlText w:val="（%1）"/>
      <w:lvlJc w:val="left"/>
      <w:pPr>
        <w:tabs>
          <w:tab w:val="left" w:pos="510"/>
        </w:tabs>
        <w:ind w:left="0" w:firstLine="510"/>
      </w:pPr>
      <w:rPr>
        <w:rFonts w:hint="default" w:ascii="宋体" w:hAnsi="宋体"/>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8CC5953"/>
    <w:multiLevelType w:val="multilevel"/>
    <w:tmpl w:val="58CC5953"/>
    <w:lvl w:ilvl="0" w:tentative="0">
      <w:start w:val="1"/>
      <w:numFmt w:val="chineseCountingThousand"/>
      <w:lvlText w:val="%1."/>
      <w:lvlJc w:val="left"/>
      <w:pPr>
        <w:tabs>
          <w:tab w:val="left" w:pos="0"/>
        </w:tabs>
        <w:ind w:left="0" w:firstLine="0"/>
      </w:pPr>
      <w:rPr>
        <w:rFonts w:hint="eastAsia"/>
        <w:b/>
        <w:i w:val="0"/>
        <w:sz w:val="32"/>
      </w:rPr>
    </w:lvl>
    <w:lvl w:ilvl="1" w:tentative="0">
      <w:start w:val="10"/>
      <w:numFmt w:val="decimal"/>
      <w:lvlText w:val="%2."/>
      <w:lvlJc w:val="left"/>
      <w:pPr>
        <w:tabs>
          <w:tab w:val="left" w:pos="510"/>
        </w:tabs>
        <w:ind w:left="0" w:firstLine="510"/>
      </w:pPr>
      <w:rPr>
        <w:rFonts w:hint="eastAsia" w:ascii="宋体" w:hAnsi="宋体" w:eastAsia="宋体"/>
        <w:b/>
        <w:sz w:val="28"/>
      </w:rPr>
    </w:lvl>
    <w:lvl w:ilvl="2" w:tentative="0">
      <w:start w:val="1"/>
      <w:numFmt w:val="decimal"/>
      <w:lvlText w:val="10.%3."/>
      <w:lvlJc w:val="left"/>
      <w:pPr>
        <w:tabs>
          <w:tab w:val="left" w:pos="510"/>
        </w:tabs>
        <w:ind w:left="0" w:firstLine="510"/>
      </w:pPr>
      <w:rPr>
        <w:rFonts w:hint="eastAsia" w:ascii="宋体" w:hAnsi="宋体" w:eastAsia="宋体"/>
        <w:b w:val="0"/>
        <w:i w:val="0"/>
        <w:sz w:val="24"/>
      </w:rPr>
    </w:lvl>
    <w:lvl w:ilvl="3" w:tentative="0">
      <w:start w:val="1"/>
      <w:numFmt w:val="decimal"/>
      <w:lvlText w:val="9.3.%4"/>
      <w:lvlJc w:val="left"/>
      <w:pPr>
        <w:tabs>
          <w:tab w:val="left" w:pos="510"/>
        </w:tabs>
        <w:ind w:left="0" w:firstLine="510"/>
      </w:pPr>
      <w:rPr>
        <w:rFonts w:hint="eastAsia" w:ascii="宋体" w:hAnsi="宋体" w:eastAsia="宋体"/>
        <w:b w:val="0"/>
        <w:sz w:val="24"/>
      </w:rPr>
    </w:lvl>
    <w:lvl w:ilvl="4" w:tentative="0">
      <w:start w:val="1"/>
      <w:numFmt w:val="decimal"/>
      <w:lvlText w:val="（%5）"/>
      <w:lvlJc w:val="left"/>
      <w:pPr>
        <w:tabs>
          <w:tab w:val="left" w:pos="500"/>
        </w:tabs>
        <w:ind w:left="-10" w:firstLine="51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3">
    <w:nsid w:val="5C769D48"/>
    <w:multiLevelType w:val="singleLevel"/>
    <w:tmpl w:val="5C769D48"/>
    <w:lvl w:ilvl="0" w:tentative="0">
      <w:start w:val="1"/>
      <w:numFmt w:val="decimal"/>
      <w:suff w:val="nothing"/>
      <w:lvlText w:val="（%1）"/>
      <w:lvlJc w:val="left"/>
    </w:lvl>
  </w:abstractNum>
  <w:abstractNum w:abstractNumId="24">
    <w:nsid w:val="5E5D5343"/>
    <w:multiLevelType w:val="multilevel"/>
    <w:tmpl w:val="5E5D5343"/>
    <w:lvl w:ilvl="0" w:tentative="0">
      <w:start w:val="1"/>
      <w:numFmt w:val="decimal"/>
      <w:lvlText w:val="%1."/>
      <w:lvlJc w:val="left"/>
      <w:pPr>
        <w:tabs>
          <w:tab w:val="left" w:pos="567"/>
        </w:tabs>
        <w:ind w:left="57" w:firstLine="510"/>
      </w:pPr>
      <w:rPr>
        <w:rFonts w:hint="eastAsia"/>
        <w:i w:val="0"/>
        <w:sz w:val="24"/>
        <w:szCs w:val="24"/>
      </w:rPr>
    </w:lvl>
    <w:lvl w:ilvl="1" w:tentative="0">
      <w:start w:val="1"/>
      <w:numFmt w:val="decimal"/>
      <w:lvlText w:val="%1.%2."/>
      <w:lvlJc w:val="left"/>
      <w:pPr>
        <w:tabs>
          <w:tab w:val="left" w:pos="510"/>
        </w:tabs>
        <w:ind w:left="0" w:firstLine="510"/>
      </w:pPr>
      <w:rPr>
        <w:rFonts w:hint="eastAsia"/>
        <w:i w:val="0"/>
      </w:rPr>
    </w:lvl>
    <w:lvl w:ilvl="2" w:tentative="0">
      <w:start w:val="1"/>
      <w:numFmt w:val="decimal"/>
      <w:lvlText w:val="%1.%2.%3."/>
      <w:lvlJc w:val="left"/>
      <w:pPr>
        <w:tabs>
          <w:tab w:val="left" w:pos="510"/>
        </w:tabs>
        <w:ind w:left="0" w:firstLine="510"/>
      </w:pPr>
      <w:rPr>
        <w:rFonts w:hint="eastAsia"/>
        <w:i w:val="0"/>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5"/>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6">
    <w:nsid w:val="62B80561"/>
    <w:multiLevelType w:val="multilevel"/>
    <w:tmpl w:val="62B80561"/>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2"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7">
    <w:nsid w:val="67F67966"/>
    <w:multiLevelType w:val="multilevel"/>
    <w:tmpl w:val="67F67966"/>
    <w:lvl w:ilvl="0" w:tentative="0">
      <w:start w:val="1"/>
      <w:numFmt w:val="decimal"/>
      <w:lvlText w:val="%1"/>
      <w:lvlJc w:val="left"/>
      <w:pPr>
        <w:tabs>
          <w:tab w:val="left" w:pos="432"/>
        </w:tabs>
        <w:ind w:left="0" w:firstLine="510"/>
      </w:pPr>
      <w:rPr>
        <w:rFonts w:hint="eastAsia"/>
        <w:b/>
        <w:sz w:val="44"/>
        <w:szCs w:val="44"/>
      </w:rPr>
    </w:lvl>
    <w:lvl w:ilvl="1" w:tentative="0">
      <w:start w:val="1"/>
      <w:numFmt w:val="decimal"/>
      <w:lvlText w:val="%1.%2"/>
      <w:lvlJc w:val="left"/>
      <w:pPr>
        <w:tabs>
          <w:tab w:val="left" w:pos="510"/>
        </w:tabs>
        <w:ind w:left="0" w:firstLine="510"/>
      </w:pPr>
      <w:rPr>
        <w:rFonts w:hint="eastAsia"/>
        <w:b/>
        <w:sz w:val="32"/>
        <w:szCs w:val="32"/>
      </w:rPr>
    </w:lvl>
    <w:lvl w:ilvl="2" w:tentative="0">
      <w:start w:val="1"/>
      <w:numFmt w:val="decimal"/>
      <w:lvlText w:val="%1.%2.%3"/>
      <w:lvlJc w:val="left"/>
      <w:pPr>
        <w:tabs>
          <w:tab w:val="left" w:pos="510"/>
        </w:tabs>
        <w:ind w:left="0" w:firstLine="510"/>
      </w:pPr>
      <w:rPr>
        <w:rFonts w:hint="eastAsia"/>
        <w:b/>
        <w:sz w:val="28"/>
        <w:szCs w:val="28"/>
      </w:rPr>
    </w:lvl>
    <w:lvl w:ilvl="3" w:tentative="0">
      <w:start w:val="1"/>
      <w:numFmt w:val="decimal"/>
      <w:lvlText w:val="%1.%2.%3.%4"/>
      <w:lvlJc w:val="left"/>
      <w:pPr>
        <w:tabs>
          <w:tab w:val="left" w:pos="510"/>
        </w:tabs>
        <w:ind w:left="0" w:firstLine="510"/>
      </w:pPr>
      <w:rPr>
        <w:rFonts w:hint="eastAsia"/>
      </w:rPr>
    </w:lvl>
    <w:lvl w:ilvl="4" w:tentative="0">
      <w:start w:val="1"/>
      <w:numFmt w:val="decimal"/>
      <w:pStyle w:val="35"/>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8">
    <w:nsid w:val="6B0F5AB8"/>
    <w:multiLevelType w:val="multilevel"/>
    <w:tmpl w:val="6B0F5AB8"/>
    <w:lvl w:ilvl="0" w:tentative="0">
      <w:start w:val="1"/>
      <w:numFmt w:val="decimal"/>
      <w:lvlText w:val="%1."/>
      <w:lvlJc w:val="left"/>
      <w:pPr>
        <w:tabs>
          <w:tab w:val="left" w:pos="425"/>
        </w:tabs>
        <w:ind w:left="425" w:hanging="425"/>
      </w:pPr>
      <w:rPr>
        <w:rFonts w:hint="eastAsia"/>
        <w:sz w:val="28"/>
        <w:szCs w:val="28"/>
      </w:rPr>
    </w:lvl>
    <w:lvl w:ilvl="1" w:tentative="0">
      <w:start w:val="1"/>
      <w:numFmt w:val="decimal"/>
      <w:lvlText w:val="%1.%2."/>
      <w:lvlJc w:val="left"/>
      <w:pPr>
        <w:tabs>
          <w:tab w:val="left" w:pos="567"/>
        </w:tabs>
        <w:ind w:left="567" w:hanging="567"/>
      </w:pPr>
      <w:rPr>
        <w:rFonts w:hint="default" w:ascii="Times New Roman" w:hAnsi="Times New Roman" w:cs="Times New Roman"/>
        <w:b w:val="0"/>
        <w:bCs w:val="0"/>
        <w:i w:val="0"/>
        <w:iCs w:val="0"/>
        <w:caps w:val="0"/>
        <w:smallCaps w:val="0"/>
        <w:strike w:val="0"/>
        <w:dstrike w:val="0"/>
        <w:color w:val="auto"/>
        <w:spacing w:val="11"/>
        <w:w w:val="100"/>
        <w:kern w:val="0"/>
        <w:position w:val="0"/>
        <w:sz w:val="24"/>
        <w:u w:val="none"/>
      </w:rPr>
    </w:lvl>
    <w:lvl w:ilvl="2" w:tentative="0">
      <w:start w:val="1"/>
      <w:numFmt w:val="decimal"/>
      <w:lvlText w:val="%1.%2.%3."/>
      <w:lvlJc w:val="left"/>
      <w:pPr>
        <w:tabs>
          <w:tab w:val="left" w:pos="709"/>
        </w:tabs>
        <w:ind w:left="709" w:hanging="709"/>
      </w:pPr>
      <w:rPr>
        <w:rFonts w:hint="default" w:ascii="Times New Roman" w:hAnsi="Times New Roman" w:cs="Times New Roman"/>
        <w:b w:val="0"/>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9"/>
  </w:num>
  <w:num w:numId="2">
    <w:abstractNumId w:val="25"/>
  </w:num>
  <w:num w:numId="3">
    <w:abstractNumId w:val="27"/>
  </w:num>
  <w:num w:numId="4">
    <w:abstractNumId w:val="14"/>
  </w:num>
  <w:num w:numId="5">
    <w:abstractNumId w:val="24"/>
  </w:num>
  <w:num w:numId="6">
    <w:abstractNumId w:val="2"/>
  </w:num>
  <w:num w:numId="7">
    <w:abstractNumId w:val="6"/>
  </w:num>
  <w:num w:numId="8">
    <w:abstractNumId w:val="28"/>
  </w:num>
  <w:num w:numId="9">
    <w:abstractNumId w:val="21"/>
  </w:num>
  <w:num w:numId="10">
    <w:abstractNumId w:val="9"/>
  </w:num>
  <w:num w:numId="11">
    <w:abstractNumId w:val="15"/>
  </w:num>
  <w:num w:numId="12">
    <w:abstractNumId w:val="8"/>
  </w:num>
  <w:num w:numId="13">
    <w:abstractNumId w:val="22"/>
  </w:num>
  <w:num w:numId="14">
    <w:abstractNumId w:val="11"/>
  </w:num>
  <w:num w:numId="15">
    <w:abstractNumId w:val="4"/>
  </w:num>
  <w:num w:numId="16">
    <w:abstractNumId w:val="17"/>
  </w:num>
  <w:num w:numId="17">
    <w:abstractNumId w:val="23"/>
  </w:num>
  <w:num w:numId="18">
    <w:abstractNumId w:val="3"/>
  </w:num>
  <w:num w:numId="19">
    <w:abstractNumId w:val="13"/>
  </w:num>
  <w:num w:numId="20">
    <w:abstractNumId w:val="1"/>
  </w:num>
  <w:num w:numId="21">
    <w:abstractNumId w:val="5"/>
  </w:num>
  <w:num w:numId="22">
    <w:abstractNumId w:val="16"/>
  </w:num>
  <w:num w:numId="23">
    <w:abstractNumId w:val="7"/>
  </w:num>
  <w:num w:numId="24">
    <w:abstractNumId w:val="0"/>
  </w:num>
  <w:num w:numId="25">
    <w:abstractNumId w:val="26"/>
  </w:num>
  <w:num w:numId="26">
    <w:abstractNumId w:val="20"/>
  </w:num>
  <w:num w:numId="27">
    <w:abstractNumId w:val="12"/>
  </w:num>
  <w:num w:numId="28">
    <w:abstractNumId w:val="1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MzE3ODZiYTEzYmIzZjJlZDUzYTQ3NzA1YmMyZGQifQ=="/>
  </w:docVars>
  <w:rsids>
    <w:rsidRoot w:val="09872382"/>
    <w:rsid w:val="00F52824"/>
    <w:rsid w:val="02B81FC4"/>
    <w:rsid w:val="04990A85"/>
    <w:rsid w:val="06F9676B"/>
    <w:rsid w:val="08886847"/>
    <w:rsid w:val="09872382"/>
    <w:rsid w:val="0BBD7562"/>
    <w:rsid w:val="0CCD3BCB"/>
    <w:rsid w:val="0DB0470D"/>
    <w:rsid w:val="0EF44FAD"/>
    <w:rsid w:val="13294A41"/>
    <w:rsid w:val="137137C5"/>
    <w:rsid w:val="15DA4308"/>
    <w:rsid w:val="16C83047"/>
    <w:rsid w:val="17E70F2A"/>
    <w:rsid w:val="187111EB"/>
    <w:rsid w:val="19754219"/>
    <w:rsid w:val="1C463555"/>
    <w:rsid w:val="1C7B4C46"/>
    <w:rsid w:val="20C32963"/>
    <w:rsid w:val="21607E76"/>
    <w:rsid w:val="237A5348"/>
    <w:rsid w:val="23BA5744"/>
    <w:rsid w:val="242053DA"/>
    <w:rsid w:val="26480E90"/>
    <w:rsid w:val="26EE4083"/>
    <w:rsid w:val="2BD93063"/>
    <w:rsid w:val="2C9F5481"/>
    <w:rsid w:val="2E7110F5"/>
    <w:rsid w:val="2F0062F3"/>
    <w:rsid w:val="32786207"/>
    <w:rsid w:val="33BE1A91"/>
    <w:rsid w:val="34124261"/>
    <w:rsid w:val="352B0250"/>
    <w:rsid w:val="355F23BB"/>
    <w:rsid w:val="3C9427D4"/>
    <w:rsid w:val="40A612A2"/>
    <w:rsid w:val="41076AB3"/>
    <w:rsid w:val="426949EF"/>
    <w:rsid w:val="42992A54"/>
    <w:rsid w:val="42FB21F9"/>
    <w:rsid w:val="43D737E4"/>
    <w:rsid w:val="45D67D64"/>
    <w:rsid w:val="462D04F5"/>
    <w:rsid w:val="4BF077F8"/>
    <w:rsid w:val="4CAF7233"/>
    <w:rsid w:val="4E167375"/>
    <w:rsid w:val="4F0B3174"/>
    <w:rsid w:val="5111587A"/>
    <w:rsid w:val="527053E7"/>
    <w:rsid w:val="5455793B"/>
    <w:rsid w:val="589F0257"/>
    <w:rsid w:val="5A6D50E6"/>
    <w:rsid w:val="5BC16D5C"/>
    <w:rsid w:val="5C8F27B1"/>
    <w:rsid w:val="5EE81700"/>
    <w:rsid w:val="61132595"/>
    <w:rsid w:val="64DF7226"/>
    <w:rsid w:val="652C610E"/>
    <w:rsid w:val="6549634D"/>
    <w:rsid w:val="66B078BF"/>
    <w:rsid w:val="670A5C9B"/>
    <w:rsid w:val="68266486"/>
    <w:rsid w:val="694B0139"/>
    <w:rsid w:val="695F63A7"/>
    <w:rsid w:val="696848C8"/>
    <w:rsid w:val="6E2C20FB"/>
    <w:rsid w:val="6ED22D2D"/>
    <w:rsid w:val="6FF670D1"/>
    <w:rsid w:val="738C68B1"/>
    <w:rsid w:val="73C85C00"/>
    <w:rsid w:val="743D0EE7"/>
    <w:rsid w:val="75CB06B8"/>
    <w:rsid w:val="764B0833"/>
    <w:rsid w:val="788A66DF"/>
    <w:rsid w:val="79494EEE"/>
    <w:rsid w:val="794B223C"/>
    <w:rsid w:val="7AE77249"/>
    <w:rsid w:val="7AFA7237"/>
    <w:rsid w:val="7BC7690C"/>
    <w:rsid w:val="7C020A67"/>
    <w:rsid w:val="7D8A5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widowControl w:val="0"/>
      <w:numPr>
        <w:ilvl w:val="0"/>
        <w:numId w:val="1"/>
      </w:numPr>
      <w:spacing w:before="340" w:after="330" w:line="578" w:lineRule="atLeast"/>
      <w:outlineLvl w:val="0"/>
    </w:pPr>
    <w:rPr>
      <w:b/>
      <w:bCs/>
      <w:kern w:val="44"/>
      <w:sz w:val="44"/>
      <w:szCs w:val="44"/>
    </w:rPr>
  </w:style>
  <w:style w:type="paragraph" w:styleId="5">
    <w:name w:val="heading 2"/>
    <w:basedOn w:val="1"/>
    <w:next w:val="1"/>
    <w:qFormat/>
    <w:uiPriority w:val="0"/>
    <w:pPr>
      <w:keepNext/>
      <w:keepLines/>
      <w:widowControl w:val="0"/>
      <w:numPr>
        <w:ilvl w:val="1"/>
        <w:numId w:val="2"/>
      </w:numPr>
      <w:spacing w:before="260" w:after="260" w:line="416" w:lineRule="atLeast"/>
      <w:outlineLvl w:val="1"/>
    </w:pPr>
    <w:rPr>
      <w:rFonts w:ascii="Arial" w:hAnsi="Arial" w:eastAsia="黑体"/>
      <w:b/>
      <w:bCs/>
      <w:sz w:val="32"/>
      <w:szCs w:val="32"/>
    </w:rPr>
  </w:style>
  <w:style w:type="paragraph" w:styleId="6">
    <w:name w:val="heading 3"/>
    <w:basedOn w:val="1"/>
    <w:next w:val="1"/>
    <w:qFormat/>
    <w:uiPriority w:val="0"/>
    <w:pPr>
      <w:keepNext/>
      <w:keepLines/>
      <w:widowControl w:val="0"/>
      <w:spacing w:before="260" w:after="260" w:line="416" w:lineRule="atLeast"/>
      <w:outlineLvl w:val="2"/>
    </w:pPr>
    <w:rPr>
      <w:b/>
      <w:bCs/>
      <w:sz w:val="32"/>
      <w:szCs w:val="32"/>
    </w:rPr>
  </w:style>
  <w:style w:type="paragraph" w:styleId="7">
    <w:name w:val="heading 4"/>
    <w:basedOn w:val="1"/>
    <w:next w:val="1"/>
    <w:qFormat/>
    <w:uiPriority w:val="0"/>
    <w:pPr>
      <w:keepNext/>
      <w:keepLines/>
      <w:widowControl w:val="0"/>
      <w:spacing w:before="280" w:after="290" w:line="376" w:lineRule="atLeast"/>
      <w:outlineLvl w:val="3"/>
    </w:pPr>
    <w:rPr>
      <w:rFonts w:ascii="Arial" w:hAnsi="Arial" w:eastAsia="黑体"/>
      <w:b/>
      <w:bCs/>
      <w:sz w:val="28"/>
      <w:szCs w:val="28"/>
    </w:rPr>
  </w:style>
  <w:style w:type="paragraph" w:styleId="8">
    <w:name w:val="heading 5"/>
    <w:basedOn w:val="1"/>
    <w:next w:val="1"/>
    <w:qFormat/>
    <w:uiPriority w:val="99"/>
    <w:pPr>
      <w:keepNext/>
      <w:keepLines/>
      <w:widowControl w:val="0"/>
      <w:spacing w:before="280" w:after="290" w:line="376" w:lineRule="atLeast"/>
      <w:outlineLvl w:val="4"/>
    </w:pPr>
    <w:rPr>
      <w:b/>
      <w:bCs/>
      <w:sz w:val="28"/>
      <w:szCs w:val="28"/>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0"/>
        <w:tab w:val="left" w:pos="993"/>
        <w:tab w:val="left" w:pos="1134"/>
      </w:tabs>
      <w:ind w:firstLine="420" w:firstLineChars="200"/>
    </w:pPr>
  </w:style>
  <w:style w:type="paragraph" w:styleId="3">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9">
    <w:name w:val="Normal Indent"/>
    <w:basedOn w:val="1"/>
    <w:next w:val="10"/>
    <w:qFormat/>
    <w:uiPriority w:val="0"/>
    <w:pPr>
      <w:ind w:firstLine="420"/>
    </w:pPr>
    <w:rPr>
      <w:kern w:val="2"/>
      <w:sz w:val="21"/>
    </w:rPr>
  </w:style>
  <w:style w:type="paragraph" w:styleId="10">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 w:type="paragraph" w:styleId="11">
    <w:name w:val="index 6"/>
    <w:basedOn w:val="1"/>
    <w:next w:val="1"/>
    <w:qFormat/>
    <w:uiPriority w:val="0"/>
    <w:pPr>
      <w:ind w:left="2100"/>
    </w:pPr>
  </w:style>
  <w:style w:type="paragraph" w:styleId="12">
    <w:name w:val="Body Text 3"/>
    <w:basedOn w:val="1"/>
    <w:qFormat/>
    <w:uiPriority w:val="0"/>
    <w:pPr>
      <w:widowControl w:val="0"/>
      <w:adjustRightInd/>
      <w:snapToGrid/>
      <w:spacing w:after="0"/>
      <w:jc w:val="both"/>
    </w:pPr>
    <w:rPr>
      <w:rFonts w:ascii="宋体" w:hAnsi="Times New Roman" w:eastAsia="宋体"/>
      <w:sz w:val="24"/>
      <w:szCs w:val="20"/>
    </w:rPr>
  </w:style>
  <w:style w:type="paragraph" w:styleId="13">
    <w:name w:val="Body Text"/>
    <w:basedOn w:val="1"/>
    <w:next w:val="14"/>
    <w:qFormat/>
    <w:uiPriority w:val="0"/>
    <w:pPr>
      <w:widowControl w:val="0"/>
      <w:adjustRightInd w:val="0"/>
      <w:spacing w:after="120" w:line="360" w:lineRule="atLeast"/>
      <w:jc w:val="both"/>
      <w:textAlignment w:val="baseline"/>
    </w:pPr>
    <w:rPr>
      <w:lang w:val="en-US" w:eastAsia="zh-CN" w:bidi="ar-SA"/>
    </w:rPr>
  </w:style>
  <w:style w:type="paragraph" w:styleId="14">
    <w:name w:val="Body Text 2"/>
    <w:basedOn w:val="1"/>
    <w:next w:val="13"/>
    <w:qFormat/>
    <w:uiPriority w:val="0"/>
    <w:pPr>
      <w:spacing w:after="120" w:line="480" w:lineRule="auto"/>
    </w:pPr>
  </w:style>
  <w:style w:type="paragraph" w:styleId="15">
    <w:name w:val="toc 3"/>
    <w:basedOn w:val="1"/>
    <w:next w:val="1"/>
    <w:qFormat/>
    <w:uiPriority w:val="0"/>
    <w:pPr>
      <w:ind w:left="840" w:leftChars="400"/>
    </w:pPr>
  </w:style>
  <w:style w:type="paragraph" w:styleId="16">
    <w:name w:val="Plain Text"/>
    <w:basedOn w:val="1"/>
    <w:qFormat/>
    <w:uiPriority w:val="0"/>
    <w:pPr>
      <w:widowControl w:val="0"/>
      <w:adjustRightInd w:val="0"/>
      <w:spacing w:line="360" w:lineRule="atLeast"/>
      <w:jc w:val="both"/>
      <w:textAlignment w:val="baseline"/>
    </w:pPr>
    <w:rPr>
      <w:rFonts w:ascii="宋体"/>
      <w:kern w:val="2"/>
      <w:sz w:val="21"/>
    </w:rPr>
  </w:style>
  <w:style w:type="paragraph" w:styleId="17">
    <w:name w:val="footer"/>
    <w:basedOn w:val="1"/>
    <w:qFormat/>
    <w:uiPriority w:val="0"/>
    <w:pPr>
      <w:tabs>
        <w:tab w:val="center" w:pos="4153"/>
        <w:tab w:val="right" w:pos="8306"/>
      </w:tabs>
      <w:adjustRightInd w:val="0"/>
      <w:snapToGrid w:val="0"/>
    </w:pPr>
    <w:rPr>
      <w:kern w:val="2"/>
      <w:sz w:val="18"/>
    </w:rPr>
  </w:style>
  <w:style w:type="paragraph" w:styleId="18">
    <w:name w:val="toc 1"/>
    <w:basedOn w:val="1"/>
    <w:next w:val="1"/>
    <w:qFormat/>
    <w:uiPriority w:val="0"/>
    <w:pPr>
      <w:spacing w:line="360" w:lineRule="auto"/>
    </w:pPr>
    <w:rPr>
      <w:b/>
      <w:sz w:val="24"/>
    </w:rPr>
  </w:style>
  <w:style w:type="paragraph" w:styleId="19">
    <w:name w:val="index 7"/>
    <w:next w:val="1"/>
    <w:qFormat/>
    <w:uiPriority w:val="0"/>
    <w:pPr>
      <w:widowControl w:val="0"/>
      <w:adjustRightInd w:val="0"/>
      <w:spacing w:line="360" w:lineRule="atLeast"/>
      <w:ind w:left="2518" w:hanging="2020"/>
      <w:textAlignment w:val="baseline"/>
    </w:pPr>
    <w:rPr>
      <w:rFonts w:ascii="Times New Roman" w:hAnsi="Times New Roman" w:eastAsia="宋体" w:cs="Times New Roman"/>
      <w:szCs w:val="22"/>
      <w:lang w:val="en-US" w:eastAsia="zh-CN" w:bidi="ar-SA"/>
    </w:rPr>
  </w:style>
  <w:style w:type="paragraph" w:styleId="20">
    <w:name w:val="toc 2"/>
    <w:basedOn w:val="1"/>
    <w:next w:val="1"/>
    <w:qFormat/>
    <w:uiPriority w:val="0"/>
    <w:pPr>
      <w:spacing w:line="240" w:lineRule="auto"/>
      <w:ind w:left="200" w:leftChars="200"/>
      <w:jc w:val="left"/>
    </w:pPr>
    <w:rPr>
      <w:b/>
      <w:sz w:val="21"/>
    </w:rPr>
  </w:style>
  <w:style w:type="paragraph" w:styleId="21">
    <w:name w:val="Normal (Web)"/>
    <w:basedOn w:val="1"/>
    <w:next w:val="22"/>
    <w:qFormat/>
    <w:uiPriority w:val="0"/>
    <w:rPr>
      <w:sz w:val="24"/>
    </w:rPr>
  </w:style>
  <w:style w:type="paragraph" w:customStyle="1" w:styleId="22">
    <w:name w:val="样式 标题 3 + (中文) 黑体 小四 非加粗 段前: 7.8 磅 段后: 0 磅 行距: 固定值 20 磅"/>
    <w:basedOn w:val="6"/>
    <w:qFormat/>
    <w:uiPriority w:val="0"/>
    <w:pPr>
      <w:adjustRightInd/>
      <w:spacing w:before="0" w:after="0" w:line="400" w:lineRule="exact"/>
      <w:textAlignment w:val="auto"/>
    </w:pPr>
    <w:rPr>
      <w:rFonts w:eastAsia="黑体" w:cs="宋体"/>
      <w:b w:val="0"/>
      <w:bCs w:val="0"/>
      <w:kern w:val="2"/>
      <w:sz w:val="24"/>
      <w:szCs w:val="20"/>
      <w:lang w:bidi="ar-SA"/>
    </w:rPr>
  </w:style>
  <w:style w:type="paragraph" w:styleId="23">
    <w:name w:val="Body Text First Indent"/>
    <w:basedOn w:val="13"/>
    <w:next w:val="2"/>
    <w:qFormat/>
    <w:uiPriority w:val="0"/>
    <w:pPr>
      <w:spacing w:after="120" w:line="240" w:lineRule="auto"/>
      <w:ind w:firstLine="420" w:firstLineChars="100"/>
    </w:pPr>
    <w:rPr>
      <w:sz w:val="21"/>
      <w:szCs w:val="20"/>
    </w:rPr>
  </w:style>
  <w:style w:type="character" w:styleId="26">
    <w:name w:val="Strong"/>
    <w:basedOn w:val="25"/>
    <w:qFormat/>
    <w:uiPriority w:val="0"/>
    <w:rPr>
      <w:b/>
    </w:rPr>
  </w:style>
  <w:style w:type="character" w:styleId="27">
    <w:name w:val="page number"/>
    <w:qFormat/>
    <w:uiPriority w:val="0"/>
  </w:style>
  <w:style w:type="character" w:styleId="28">
    <w:name w:val="Emphasis"/>
    <w:basedOn w:val="25"/>
    <w:qFormat/>
    <w:uiPriority w:val="0"/>
    <w:rPr>
      <w:i/>
    </w:rPr>
  </w:style>
  <w:style w:type="paragraph" w:customStyle="1" w:styleId="29">
    <w:name w:val="Default"/>
    <w:next w:val="1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正文（缩进）"/>
    <w:basedOn w:val="1"/>
    <w:semiHidden/>
    <w:qFormat/>
    <w:uiPriority w:val="99"/>
    <w:pPr>
      <w:ind w:firstLine="480" w:firstLineChars="200"/>
    </w:pPr>
  </w:style>
  <w:style w:type="character" w:customStyle="1" w:styleId="31">
    <w:name w:val="样式 正文缩进特点ALT+Z表正文正文非缩进四号段1Normal Indent Char2Normal Inde..."/>
    <w:qFormat/>
    <w:uiPriority w:val="0"/>
    <w:rPr>
      <w:rFonts w:ascii="宋体"/>
      <w:b/>
      <w:sz w:val="44"/>
    </w:rPr>
  </w:style>
  <w:style w:type="character" w:customStyle="1" w:styleId="32">
    <w:name w:val="unnamed11"/>
    <w:qFormat/>
    <w:uiPriority w:val="0"/>
    <w:rPr>
      <w:sz w:val="21"/>
    </w:rPr>
  </w:style>
  <w:style w:type="character" w:customStyle="1" w:styleId="33">
    <w:name w:val="font11"/>
    <w:basedOn w:val="25"/>
    <w:qFormat/>
    <w:uiPriority w:val="0"/>
    <w:rPr>
      <w:rFonts w:hint="eastAsia" w:ascii="宋体" w:hAnsi="宋体" w:eastAsia="宋体" w:cs="宋体"/>
      <w:color w:val="000000"/>
      <w:sz w:val="24"/>
      <w:szCs w:val="24"/>
      <w:u w:val="single"/>
    </w:rPr>
  </w:style>
  <w:style w:type="paragraph" w:customStyle="1" w:styleId="34">
    <w:name w:val="Table Paragraph"/>
    <w:basedOn w:val="1"/>
    <w:qFormat/>
    <w:uiPriority w:val="1"/>
    <w:rPr>
      <w:rFonts w:ascii="宋体" w:hAnsi="宋体" w:cs="宋体"/>
      <w:lang w:val="zh-CN" w:bidi="zh-CN"/>
    </w:rPr>
  </w:style>
  <w:style w:type="paragraph" w:customStyle="1" w:styleId="35">
    <w:name w:val="样式 正文缩进正文（首行缩进两字）特点ALT+Z表正文正文非缩进四号段1Normal Indent Char2...4"/>
    <w:basedOn w:val="3"/>
    <w:qFormat/>
    <w:uiPriority w:val="0"/>
    <w:pPr>
      <w:numPr>
        <w:ilvl w:val="4"/>
        <w:numId w:val="3"/>
      </w:numPr>
      <w:tabs>
        <w:tab w:val="clear" w:pos="1008"/>
        <w:tab w:val="clear" w:pos="0"/>
        <w:tab w:val="clear" w:pos="1134"/>
      </w:tabs>
      <w:spacing w:line="300" w:lineRule="auto"/>
    </w:pPr>
    <w:rPr>
      <w:color w:val="000000"/>
      <w:sz w:val="24"/>
    </w:rPr>
  </w:style>
  <w:style w:type="character" w:customStyle="1" w:styleId="36">
    <w:name w:val="样式 正文缩进正文（首行缩进两字）特点ALT+Z表正文正文非缩进四号段1Normal Indent Char2... Char"/>
    <w:basedOn w:val="25"/>
    <w:link w:val="37"/>
    <w:qFormat/>
    <w:uiPriority w:val="0"/>
    <w:rPr>
      <w:rFonts w:ascii="宋体" w:hAnsi="宋体" w:eastAsia="黑体"/>
      <w:b/>
      <w:sz w:val="32"/>
      <w:lang w:val="en-US" w:eastAsia="zh-CN" w:bidi="ar-SA"/>
    </w:rPr>
  </w:style>
  <w:style w:type="paragraph" w:customStyle="1" w:styleId="37">
    <w:name w:val="样式 正文缩进正文（首行缩进两字）特点ALT+Z表正文正文非缩进四号段1Normal Indent Char2..."/>
    <w:next w:val="6"/>
    <w:link w:val="36"/>
    <w:qFormat/>
    <w:uiPriority w:val="0"/>
    <w:pPr>
      <w:keepNext/>
      <w:keepLines/>
      <w:widowControl w:val="0"/>
      <w:numPr>
        <w:ilvl w:val="1"/>
        <w:numId w:val="1"/>
      </w:numPr>
      <w:tabs>
        <w:tab w:val="clear" w:pos="720"/>
      </w:tabs>
      <w:adjustRightInd w:val="0"/>
      <w:spacing w:before="260" w:after="260" w:line="416" w:lineRule="atLeast"/>
      <w:ind w:firstLine="624"/>
      <w:jc w:val="both"/>
      <w:textAlignment w:val="baseline"/>
      <w:outlineLvl w:val="1"/>
    </w:pPr>
    <w:rPr>
      <w:rFonts w:ascii="宋体" w:hAnsi="宋体" w:eastAsia="黑体" w:cs="Times New Roman"/>
      <w:b/>
      <w:sz w:val="32"/>
      <w:lang w:val="en-US" w:eastAsia="zh-CN" w:bidi="ar-SA"/>
    </w:rPr>
  </w:style>
  <w:style w:type="paragraph" w:customStyle="1" w:styleId="38">
    <w:name w:val="CM99"/>
    <w:basedOn w:val="29"/>
    <w:next w:val="29"/>
    <w:qFormat/>
    <w:uiPriority w:val="0"/>
    <w:pPr>
      <w:spacing w:after="443"/>
    </w:pPr>
    <w:rPr>
      <w:color w:val="auto"/>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54539</Words>
  <Characters>57141</Characters>
  <Lines>0</Lines>
  <Paragraphs>0</Paragraphs>
  <TotalTime>176</TotalTime>
  <ScaleCrop>false</ScaleCrop>
  <LinksUpToDate>false</LinksUpToDate>
  <CharactersWithSpaces>63219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2022-08-23T02:41:00Z</dcterms:created>
  <dc:creator>Administrator</dc:creator>
  <cp:lastModifiedBy>Dell24</cp:lastModifiedBy>
  <cp:lastPrinted>2022-08-24T02:48:00Z</cp:lastPrinted>
  <dcterms:modified xsi:type="dcterms:W3CDTF">2023-08-07T02:15:49Z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0BB595F84AAE4D16A76F2B7BCE3392A1_13</vt:lpwstr>
  </property>
</Properties>
</file>