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Default ContentType="image/jpeg" Extension="jpe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180" w:lineRule="auto"/>
        <w:jc w:val="center"/>
        <w:rPr>
          <w:rFonts w:ascii="微软雅黑" w:hAnsi="微软雅黑" w:eastAsia="微软雅黑"/>
          <w:b/>
          <w:sz w:val="36"/>
          <w:szCs w:val="24"/>
        </w:rPr>
      </w:pPr>
      <w:r>
        <w:rPr>
          <w:rFonts w:hint="eastAsia" w:ascii="微软雅黑" w:hAnsi="微软雅黑" w:eastAsia="微软雅黑"/>
          <w:b/>
          <w:sz w:val="36"/>
          <w:szCs w:val="24"/>
        </w:rPr>
        <w:t>泉州师范学院﹠东海泰禾广场住宅专场团购会通知</w:t>
      </w:r>
    </w:p>
    <w:p>
      <w:pPr>
        <w:spacing w:line="360" w:lineRule="auto"/>
        <w:rPr>
          <w:rFonts w:ascii="微软雅黑" w:hAnsi="微软雅黑" w:eastAsia="微软雅黑"/>
          <w:color w:val="FF0000"/>
          <w:sz w:val="24"/>
          <w:szCs w:val="24"/>
        </w:rPr>
      </w:pPr>
    </w:p>
    <w:p>
      <w:pPr>
        <w:spacing w:line="360" w:lineRule="auto"/>
        <w:rPr>
          <w:rFonts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ab/>
      </w:r>
      <w:r>
        <w:rPr>
          <w:rFonts w:hint="eastAsia" w:ascii="微软雅黑" w:hAnsi="微软雅黑" w:eastAsia="微软雅黑"/>
          <w:sz w:val="24"/>
          <w:szCs w:val="24"/>
        </w:rPr>
        <w:t>东海泰禾广场位于东海板块核心位置，项目南至泉秀东路、北至江滨北路，为68万㎡国际级城市综合体，包</w:t>
      </w:r>
      <w:r>
        <w:rPr>
          <w:rFonts w:ascii="微软雅黑" w:hAnsi="微软雅黑" w:eastAsia="微软雅黑"/>
          <w:sz w:val="24"/>
          <w:szCs w:val="24"/>
        </w:rPr>
        <w:t>括</w:t>
      </w:r>
      <w:r>
        <w:rPr>
          <w:rFonts w:hint="eastAsia" w:ascii="微软雅黑" w:hAnsi="微软雅黑" w:eastAsia="微软雅黑"/>
          <w:sz w:val="24"/>
          <w:szCs w:val="24"/>
        </w:rPr>
        <w:t>国际</w:t>
      </w:r>
      <w:r>
        <w:rPr>
          <w:rFonts w:ascii="微软雅黑" w:hAnsi="微软雅黑" w:eastAsia="微软雅黑"/>
          <w:sz w:val="24"/>
          <w:szCs w:val="24"/>
        </w:rPr>
        <w:t>奢侈品牌购物中心、大型时尚精品购物中心、国际风情</w:t>
      </w:r>
      <w:r>
        <w:rPr>
          <w:rFonts w:hint="eastAsia" w:ascii="微软雅黑" w:hAnsi="微软雅黑" w:eastAsia="微软雅黑"/>
          <w:sz w:val="24"/>
          <w:szCs w:val="24"/>
        </w:rPr>
        <w:t>商业</w:t>
      </w:r>
      <w:r>
        <w:rPr>
          <w:rFonts w:ascii="微软雅黑" w:hAnsi="微软雅黑" w:eastAsia="微软雅黑"/>
          <w:sz w:val="24"/>
          <w:szCs w:val="24"/>
        </w:rPr>
        <w:t>街区、1万㎡摩天轮文化娱乐广场、超五星级酒店、5A甲级写字楼、顶级SOHO办公、滨</w:t>
      </w:r>
      <w:r>
        <w:rPr>
          <w:rFonts w:hint="eastAsia" w:ascii="微软雅黑" w:hAnsi="微软雅黑" w:eastAsia="微软雅黑"/>
          <w:sz w:val="24"/>
          <w:szCs w:val="24"/>
        </w:rPr>
        <w:t>江豪宅</w:t>
      </w:r>
      <w:r>
        <w:rPr>
          <w:rFonts w:ascii="微软雅黑" w:hAnsi="微软雅黑" w:eastAsia="微软雅黑"/>
          <w:sz w:val="24"/>
          <w:szCs w:val="24"/>
        </w:rPr>
        <w:t>等八大业态</w:t>
      </w:r>
      <w:r>
        <w:rPr>
          <w:rFonts w:hint="eastAsia" w:ascii="微软雅黑" w:hAnsi="微软雅黑" w:eastAsia="微软雅黑"/>
          <w:sz w:val="24"/>
          <w:szCs w:val="24"/>
        </w:rPr>
        <w:t>。该项目与我司相邻，并面向泉州师院</w:t>
      </w:r>
      <w:r>
        <w:rPr>
          <w:rFonts w:ascii="微软雅黑" w:hAnsi="微软雅黑" w:eastAsia="微软雅黑"/>
          <w:sz w:val="24"/>
          <w:szCs w:val="24"/>
        </w:rPr>
        <w:t>教师</w:t>
      </w:r>
      <w:r>
        <w:rPr>
          <w:rFonts w:hint="eastAsia" w:ascii="微软雅黑" w:hAnsi="微软雅黑" w:eastAsia="微软雅黑"/>
          <w:sz w:val="24"/>
          <w:szCs w:val="24"/>
        </w:rPr>
        <w:t>推出本次住宅团购优惠方案，具体团购方案如下：</w:t>
      </w:r>
      <w:r>
        <w:rPr>
          <w:rFonts w:ascii="微软雅黑" w:hAnsi="微软雅黑" w:eastAsia="微软雅黑"/>
          <w:color w:val="FF0000"/>
          <w:sz w:val="24"/>
          <w:szCs w:val="24"/>
        </w:rPr>
        <w:t xml:space="preserve"> </w:t>
      </w:r>
    </w:p>
    <w:p>
      <w:pPr>
        <w:spacing w:line="360" w:lineRule="auto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一、团购产品：</w:t>
      </w:r>
      <w:r>
        <w:rPr>
          <w:rFonts w:hint="eastAsia" w:ascii="微软雅黑" w:hAnsi="微软雅黑" w:eastAsia="微软雅黑"/>
          <w:sz w:val="24"/>
          <w:szCs w:val="24"/>
        </w:rPr>
        <w:t>户型产品包括90</w:t>
      </w:r>
      <w:r>
        <w:rPr>
          <w:rFonts w:hint="eastAsia" w:ascii="微软雅黑" w:hAnsi="宋体" w:eastAsia="宋体" w:cs="宋体"/>
          <w:sz w:val="24"/>
          <w:szCs w:val="24"/>
        </w:rPr>
        <w:t>㎡</w:t>
      </w:r>
      <w:r>
        <w:rPr>
          <w:rFonts w:hint="eastAsia" w:ascii="微软雅黑" w:hAnsi="微软雅黑" w:eastAsia="微软雅黑" w:cs="宋体"/>
          <w:sz w:val="24"/>
          <w:szCs w:val="24"/>
        </w:rPr>
        <w:t>（2+1房）、113-130</w:t>
      </w:r>
      <w:r>
        <w:rPr>
          <w:rFonts w:hint="eastAsia" w:ascii="微软雅黑" w:hAnsi="宋体" w:eastAsia="宋体" w:cs="宋体"/>
          <w:sz w:val="24"/>
          <w:szCs w:val="24"/>
        </w:rPr>
        <w:t>㎡</w:t>
      </w:r>
      <w:r>
        <w:rPr>
          <w:rFonts w:hint="eastAsia" w:ascii="微软雅黑" w:hAnsi="微软雅黑" w:eastAsia="微软雅黑" w:cs="宋体"/>
          <w:sz w:val="24"/>
          <w:szCs w:val="24"/>
        </w:rPr>
        <w:t>舒适三房、143</w:t>
      </w:r>
      <w:r>
        <w:rPr>
          <w:rFonts w:hint="eastAsia" w:ascii="微软雅黑" w:hAnsi="宋体" w:eastAsia="宋体" w:cs="宋体"/>
          <w:sz w:val="24"/>
          <w:szCs w:val="24"/>
        </w:rPr>
        <w:t>㎡</w:t>
      </w:r>
      <w:r>
        <w:rPr>
          <w:rFonts w:hint="eastAsia" w:ascii="微软雅黑" w:hAnsi="微软雅黑" w:eastAsia="微软雅黑" w:cs="宋体"/>
          <w:sz w:val="24"/>
          <w:szCs w:val="24"/>
        </w:rPr>
        <w:t>豪华四房。</w:t>
      </w:r>
    </w:p>
    <w:p>
      <w:pPr>
        <w:spacing w:line="360" w:lineRule="auto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二、参与对象：</w:t>
      </w:r>
      <w:r>
        <w:rPr>
          <w:rFonts w:hint="eastAsia" w:ascii="微软雅黑" w:hAnsi="微软雅黑" w:eastAsia="微软雅黑"/>
          <w:sz w:val="24"/>
          <w:szCs w:val="24"/>
        </w:rPr>
        <w:t>仅限泉州</w:t>
      </w:r>
      <w:r>
        <w:rPr>
          <w:rFonts w:ascii="微软雅黑" w:hAnsi="微软雅黑" w:eastAsia="微软雅黑"/>
          <w:sz w:val="24"/>
          <w:szCs w:val="24"/>
        </w:rPr>
        <w:t>师院教师及其</w:t>
      </w:r>
      <w:r>
        <w:rPr>
          <w:rFonts w:hint="eastAsia" w:ascii="微软雅黑" w:hAnsi="微软雅黑" w:eastAsia="微软雅黑"/>
          <w:sz w:val="24"/>
          <w:szCs w:val="24"/>
        </w:rPr>
        <w:t>直系亲属。</w:t>
      </w:r>
    </w:p>
    <w:p>
      <w:pPr>
        <w:spacing w:line="360" w:lineRule="auto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三、优惠有效期：</w:t>
      </w:r>
      <w:r>
        <w:rPr>
          <w:rFonts w:ascii="微软雅黑" w:hAnsi="微软雅黑" w:eastAsia="微软雅黑"/>
          <w:sz w:val="24"/>
          <w:szCs w:val="24"/>
          <w:u w:val="single"/>
        </w:rPr>
        <w:t>7</w:t>
      </w:r>
      <w:r>
        <w:rPr>
          <w:rFonts w:hint="eastAsia" w:ascii="微软雅黑" w:hAnsi="微软雅黑" w:eastAsia="微软雅黑"/>
          <w:sz w:val="24"/>
          <w:szCs w:val="24"/>
          <w:u w:val="single"/>
        </w:rPr>
        <w:t>月</w:t>
      </w:r>
      <w:r>
        <w:rPr>
          <w:rFonts w:ascii="微软雅黑" w:hAnsi="微软雅黑" w:eastAsia="微软雅黑"/>
          <w:sz w:val="24"/>
          <w:szCs w:val="24"/>
          <w:u w:val="single"/>
        </w:rPr>
        <w:t>8</w:t>
      </w:r>
      <w:r>
        <w:rPr>
          <w:rFonts w:hint="eastAsia" w:ascii="微软雅黑" w:hAnsi="微软雅黑" w:eastAsia="微软雅黑"/>
          <w:sz w:val="24"/>
          <w:szCs w:val="24"/>
          <w:u w:val="single"/>
        </w:rPr>
        <w:t>日至</w:t>
      </w:r>
      <w:r>
        <w:rPr>
          <w:rFonts w:ascii="微软雅黑" w:hAnsi="微软雅黑" w:eastAsia="微软雅黑"/>
          <w:sz w:val="24"/>
          <w:szCs w:val="24"/>
          <w:u w:val="single"/>
        </w:rPr>
        <w:t>7</w:t>
      </w:r>
      <w:r>
        <w:rPr>
          <w:rFonts w:hint="eastAsia" w:ascii="微软雅黑" w:hAnsi="微软雅黑" w:eastAsia="微软雅黑"/>
          <w:sz w:val="24"/>
          <w:szCs w:val="24"/>
          <w:u w:val="single"/>
        </w:rPr>
        <w:t>月</w:t>
      </w:r>
      <w:r>
        <w:rPr>
          <w:rFonts w:ascii="微软雅黑" w:hAnsi="微软雅黑" w:eastAsia="微软雅黑"/>
          <w:sz w:val="24"/>
          <w:szCs w:val="24"/>
          <w:u w:val="single"/>
        </w:rPr>
        <w:t>31</w:t>
      </w:r>
      <w:r>
        <w:rPr>
          <w:rFonts w:hint="eastAsia" w:ascii="微软雅黑" w:hAnsi="微软雅黑" w:eastAsia="微软雅黑"/>
          <w:sz w:val="24"/>
          <w:szCs w:val="24"/>
          <w:u w:val="single"/>
        </w:rPr>
        <w:t>日</w:t>
      </w:r>
      <w:r>
        <w:rPr>
          <w:rFonts w:hint="eastAsia" w:ascii="微软雅黑" w:hAnsi="微软雅黑" w:eastAsia="微软雅黑"/>
          <w:sz w:val="24"/>
          <w:szCs w:val="24"/>
        </w:rPr>
        <w:t>成交有效。</w:t>
      </w:r>
    </w:p>
    <w:p>
      <w:pPr>
        <w:spacing w:line="180" w:lineRule="auto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四</w:t>
      </w:r>
      <w:r>
        <w:rPr>
          <w:rFonts w:ascii="微软雅黑" w:hAnsi="微软雅黑" w:eastAsia="微软雅黑"/>
          <w:b/>
          <w:sz w:val="24"/>
          <w:szCs w:val="24"/>
        </w:rPr>
        <w:t>、联系方式：</w:t>
      </w:r>
      <w:r>
        <w:rPr>
          <w:rFonts w:ascii="微软雅黑" w:hAnsi="微软雅黑" w:eastAsia="微软雅黑"/>
          <w:sz w:val="24"/>
          <w:szCs w:val="24"/>
        </w:rPr>
        <w:t>销售经理：杨冰</w:t>
      </w:r>
      <w:r>
        <w:rPr>
          <w:rFonts w:hint="eastAsia" w:ascii="微软雅黑" w:hAnsi="微软雅黑" w:eastAsia="微软雅黑"/>
          <w:sz w:val="24"/>
          <w:szCs w:val="24"/>
        </w:rPr>
        <w:t xml:space="preserve">  15960741964；</w:t>
      </w:r>
      <w:r>
        <w:rPr>
          <w:rFonts w:ascii="微软雅黑" w:hAnsi="微软雅黑" w:eastAsia="微软雅黑"/>
          <w:sz w:val="24"/>
          <w:szCs w:val="24"/>
        </w:rPr>
        <w:t>刘丽</w:t>
      </w:r>
      <w:r>
        <w:rPr>
          <w:rFonts w:hint="eastAsia" w:ascii="微软雅黑" w:hAnsi="微软雅黑" w:eastAsia="微软雅黑"/>
          <w:sz w:val="24"/>
          <w:szCs w:val="24"/>
        </w:rPr>
        <w:t xml:space="preserve">   15059596015</w:t>
      </w:r>
    </w:p>
    <w:p>
      <w:pPr>
        <w:spacing w:line="360" w:lineRule="auto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五、优惠措施：</w:t>
      </w:r>
    </w:p>
    <w:p>
      <w:pPr>
        <w:spacing w:line="360" w:lineRule="auto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①1-5套：额外优惠1%</w:t>
      </w:r>
    </w:p>
    <w:p>
      <w:pPr>
        <w:spacing w:line="360" w:lineRule="auto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②6-10套：额外优惠2%</w:t>
      </w:r>
    </w:p>
    <w:p>
      <w:pPr>
        <w:spacing w:line="360" w:lineRule="auto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注：以上优惠不含售楼部现场优惠。</w:t>
      </w:r>
    </w:p>
    <w:p>
      <w:pPr>
        <w:spacing w:line="180" w:lineRule="auto"/>
        <w:rPr>
          <w:rFonts w:ascii="微软雅黑" w:hAnsi="微软雅黑" w:eastAsia="微软雅黑"/>
          <w:b/>
          <w:sz w:val="28"/>
          <w:szCs w:val="24"/>
        </w:rPr>
      </w:pPr>
    </w:p>
    <w:p>
      <w:pPr>
        <w:pStyle w:val="7"/>
        <w:spacing w:line="360" w:lineRule="auto"/>
        <w:ind w:left="598" w:leftChars="285" w:right="840" w:firstLine="0" w:firstLineChars="0"/>
        <w:jc w:val="righ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 xml:space="preserve">                                                                   </w:t>
      </w:r>
      <w:r>
        <w:rPr>
          <w:rFonts w:hint="eastAsia" w:ascii="微软雅黑" w:hAnsi="微软雅黑" w:eastAsia="微软雅黑"/>
          <w:sz w:val="24"/>
          <w:szCs w:val="24"/>
        </w:rPr>
        <w:t xml:space="preserve">              </w:t>
      </w:r>
    </w:p>
    <w:p>
      <w:pPr>
        <w:spacing w:line="180" w:lineRule="auto"/>
        <w:rPr>
          <w:rFonts w:hint="eastAsia" w:ascii="微软雅黑" w:hAnsi="微软雅黑" w:eastAsia="微软雅黑"/>
          <w:b/>
          <w:sz w:val="28"/>
          <w:szCs w:val="24"/>
        </w:rPr>
      </w:pPr>
    </w:p>
    <w:p>
      <w:pPr>
        <w:spacing w:line="180" w:lineRule="auto"/>
        <w:rPr>
          <w:rFonts w:hint="eastAsia" w:ascii="微软雅黑" w:hAnsi="微软雅黑" w:eastAsia="微软雅黑"/>
          <w:b/>
          <w:sz w:val="28"/>
          <w:szCs w:val="24"/>
        </w:rPr>
      </w:pPr>
    </w:p>
    <w:p>
      <w:pPr>
        <w:spacing w:line="180" w:lineRule="auto"/>
        <w:rPr>
          <w:rFonts w:hint="eastAsia" w:ascii="微软雅黑" w:hAnsi="微软雅黑" w:eastAsia="微软雅黑"/>
          <w:b/>
          <w:sz w:val="28"/>
          <w:szCs w:val="24"/>
        </w:rPr>
      </w:pPr>
    </w:p>
    <w:p>
      <w:pPr>
        <w:spacing w:line="180" w:lineRule="auto"/>
        <w:rPr>
          <w:rFonts w:hint="eastAsia" w:ascii="微软雅黑" w:hAnsi="微软雅黑" w:eastAsia="微软雅黑"/>
          <w:b/>
          <w:sz w:val="28"/>
          <w:szCs w:val="24"/>
        </w:rPr>
      </w:pPr>
    </w:p>
    <w:p>
      <w:pPr>
        <w:spacing w:line="180" w:lineRule="auto"/>
        <w:rPr>
          <w:rFonts w:hint="eastAsia" w:ascii="微软雅黑" w:hAnsi="微软雅黑" w:eastAsia="微软雅黑"/>
          <w:b/>
          <w:sz w:val="28"/>
          <w:szCs w:val="24"/>
        </w:rPr>
      </w:pPr>
    </w:p>
    <w:p>
      <w:pPr>
        <w:spacing w:line="180" w:lineRule="auto"/>
        <w:rPr>
          <w:rFonts w:hint="eastAsia" w:ascii="微软雅黑" w:hAnsi="微软雅黑" w:eastAsia="微软雅黑"/>
          <w:b/>
          <w:sz w:val="28"/>
          <w:szCs w:val="24"/>
        </w:rPr>
      </w:pPr>
    </w:p>
    <w:p>
      <w:pPr>
        <w:spacing w:line="180" w:lineRule="auto"/>
        <w:rPr>
          <w:rFonts w:hint="eastAsia" w:ascii="微软雅黑" w:hAnsi="微软雅黑" w:eastAsia="微软雅黑"/>
          <w:b/>
          <w:sz w:val="28"/>
          <w:szCs w:val="24"/>
        </w:rPr>
      </w:pPr>
    </w:p>
    <w:p>
      <w:pPr>
        <w:spacing w:line="180" w:lineRule="auto"/>
        <w:rPr>
          <w:rFonts w:hint="eastAsia" w:ascii="微软雅黑" w:hAnsi="微软雅黑" w:eastAsia="微软雅黑"/>
          <w:b/>
          <w:sz w:val="28"/>
          <w:szCs w:val="24"/>
        </w:rPr>
      </w:pPr>
    </w:p>
    <w:p>
      <w:pPr>
        <w:spacing w:line="180" w:lineRule="auto"/>
        <w:rPr>
          <w:rFonts w:hint="eastAsia" w:ascii="微软雅黑" w:hAnsi="微软雅黑" w:eastAsia="微软雅黑"/>
          <w:b/>
          <w:sz w:val="28"/>
          <w:szCs w:val="24"/>
        </w:rPr>
      </w:pPr>
    </w:p>
    <w:p>
      <w:pPr>
        <w:spacing w:line="180" w:lineRule="auto"/>
        <w:rPr>
          <w:rFonts w:ascii="微软雅黑" w:hAnsi="微软雅黑" w:eastAsia="微软雅黑"/>
          <w:b/>
          <w:sz w:val="28"/>
          <w:szCs w:val="24"/>
        </w:rPr>
      </w:pPr>
      <w:bookmarkStart w:id="0" w:name="_GoBack"/>
      <w:bookmarkEnd w:id="0"/>
      <w:r>
        <w:rPr>
          <w:rFonts w:hint="eastAsia" w:ascii="微软雅黑" w:hAnsi="微软雅黑" w:eastAsia="微软雅黑"/>
          <w:b/>
          <w:sz w:val="28"/>
          <w:szCs w:val="24"/>
        </w:rPr>
        <w:t>东海泰禾广场项目介绍</w:t>
      </w:r>
    </w:p>
    <w:p>
      <w:pPr>
        <w:spacing w:line="288" w:lineRule="auto"/>
        <w:ind w:firstLine="440" w:firstLineChars="200"/>
        <w:rPr>
          <w:rFonts w:ascii="黑体" w:hAnsi="黑体" w:eastAsia="黑体"/>
          <w:sz w:val="22"/>
        </w:rPr>
      </w:pPr>
      <w:r>
        <w:rPr>
          <w:rFonts w:ascii="黑体" w:hAnsi="黑体" w:eastAsia="黑体"/>
          <w:sz w:val="22"/>
        </w:rPr>
        <w:t>68万㎡国际级城市综合体——东海泰禾广场是泰禾集团继华大泰禾广场、石狮泰禾广场之后，在泉州打造的第三个商业项目，世界级手笔规划设计，引</w:t>
      </w:r>
      <w:r>
        <w:rPr>
          <w:rFonts w:hint="eastAsia" w:ascii="黑体" w:hAnsi="黑体" w:eastAsia="黑体"/>
          <w:sz w:val="22"/>
        </w:rPr>
        <w:t>进</w:t>
      </w:r>
      <w:r>
        <w:rPr>
          <w:rFonts w:ascii="黑体" w:hAnsi="黑体" w:eastAsia="黑体"/>
          <w:sz w:val="22"/>
        </w:rPr>
        <w:t>国际一线奢侈品牌首次进驻泉州。项目总建筑面积68万㎡，包括泰禾双MALL、泰禾新天地、摩天轮文化娱乐广场、顶级商务集群、泰禾首玺五大核心板块，囊括</w:t>
      </w:r>
      <w:r>
        <w:rPr>
          <w:rFonts w:hint="eastAsia" w:ascii="黑体" w:hAnsi="黑体" w:eastAsia="黑体"/>
          <w:sz w:val="22"/>
        </w:rPr>
        <w:t>国际</w:t>
      </w:r>
      <w:r>
        <w:rPr>
          <w:rFonts w:ascii="黑体" w:hAnsi="黑体" w:eastAsia="黑体"/>
          <w:sz w:val="22"/>
        </w:rPr>
        <w:t>奢侈品牌购物中心、大型时尚精品购物中心、国际风情</w:t>
      </w:r>
      <w:r>
        <w:rPr>
          <w:rFonts w:hint="eastAsia" w:ascii="黑体" w:hAnsi="黑体" w:eastAsia="黑体"/>
          <w:sz w:val="22"/>
        </w:rPr>
        <w:t>商业</w:t>
      </w:r>
      <w:r>
        <w:rPr>
          <w:rFonts w:ascii="黑体" w:hAnsi="黑体" w:eastAsia="黑体"/>
          <w:sz w:val="22"/>
        </w:rPr>
        <w:t>街区、1万㎡摩天轮文化娱乐广场、超五星级酒店、5A甲级写字楼、顶级SOHO办公、滨水典范华宅等八大业态，集购物、餐饮、娱乐、办公、休闲、酒店、会议等于一体，聚合全球优质资源，强大的商圈辐射能级，将改变泉州</w:t>
      </w:r>
      <w:r>
        <w:rPr>
          <w:rFonts w:hint="eastAsia" w:ascii="黑体" w:hAnsi="黑体" w:eastAsia="黑体"/>
          <w:sz w:val="22"/>
        </w:rPr>
        <w:t>、</w:t>
      </w:r>
      <w:r>
        <w:rPr>
          <w:rFonts w:ascii="黑体" w:hAnsi="黑体" w:eastAsia="黑体"/>
          <w:sz w:val="22"/>
        </w:rPr>
        <w:t>超越厦门，成为</w:t>
      </w:r>
      <w:r>
        <w:rPr>
          <w:rFonts w:hint="eastAsia" w:ascii="黑体" w:hAnsi="黑体" w:eastAsia="黑体"/>
          <w:sz w:val="22"/>
        </w:rPr>
        <w:t>泉州城市</w:t>
      </w:r>
      <w:r>
        <w:rPr>
          <w:rFonts w:ascii="黑体" w:hAnsi="黑体" w:eastAsia="黑体"/>
          <w:sz w:val="22"/>
        </w:rPr>
        <w:t>新地标。</w:t>
      </w:r>
    </w:p>
    <w:p>
      <w:pPr>
        <w:spacing w:line="180" w:lineRule="auto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 w:cs="黑体"/>
          <w:kern w:val="2"/>
          <w:sz w:val="24"/>
          <w:szCs w:val="24"/>
          <w:lang w:val="en-US" w:eastAsia="zh-CN" w:bidi="ar-SA"/>
        </w:rPr>
        <w:pict>
          <v:shape id="图片 7" o:spid="_x0000_s1026" type="#_x0000_t75" style="height:227.65pt;width:403.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ascii="黑体" w:hAnsi="黑体" w:eastAsia="黑体"/>
          <w:b/>
          <w:bCs/>
          <w:sz w:val="24"/>
        </w:rPr>
      </w:pPr>
    </w:p>
    <w:p>
      <w:pPr>
        <w:jc w:val="left"/>
        <w:rPr>
          <w:rFonts w:ascii="黑体" w:hAnsi="黑体" w:eastAsia="黑体"/>
          <w:b/>
          <w:sz w:val="24"/>
        </w:rPr>
      </w:pPr>
      <w:r>
        <w:rPr>
          <w:rFonts w:hint="eastAsia" w:ascii="黑体" w:hAnsi="黑体" w:eastAsia="黑体"/>
          <w:b/>
          <w:bCs/>
          <w:sz w:val="24"/>
        </w:rPr>
        <w:t xml:space="preserve">1、泉州唯一双MALL的大型城市综合体 </w:t>
      </w:r>
    </w:p>
    <w:p>
      <w:pPr>
        <w:framePr w:dropCap="drop" w:lines="2" w:w="3691" w:h="3151" w:hRule="exact" w:wrap="around" w:vAnchor="text" w:hAnchor="page" w:x="6586" w:y="118"/>
        <w:spacing w:line="264" w:lineRule="auto"/>
        <w:rPr>
          <w:rFonts w:ascii="黑体" w:hAnsi="黑体" w:eastAsia="黑体"/>
          <w:b/>
          <w:sz w:val="22"/>
        </w:rPr>
      </w:pPr>
      <w:r>
        <w:rPr>
          <w:rFonts w:hint="eastAsia" w:ascii="黑体" w:hAnsi="黑体" w:eastAsia="黑体"/>
          <w:b/>
          <w:bCs/>
          <w:sz w:val="24"/>
        </w:rPr>
        <w:t>奢侈品MALL+大型时尚MALL</w:t>
      </w:r>
    </w:p>
    <w:p>
      <w:pPr>
        <w:framePr w:dropCap="drop" w:lines="2" w:w="3691" w:h="3151" w:hRule="exact" w:wrap="around" w:vAnchor="text" w:hAnchor="page" w:x="6586" w:y="118"/>
        <w:numPr>
          <w:ilvl w:val="0"/>
          <w:numId w:val="1"/>
        </w:numPr>
        <w:spacing w:line="264" w:lineRule="auto"/>
        <w:jc w:val="left"/>
        <w:rPr>
          <w:rFonts w:ascii="黑体" w:hAnsi="黑体" w:eastAsia="黑体"/>
          <w:sz w:val="22"/>
        </w:rPr>
      </w:pPr>
      <w:r>
        <w:rPr>
          <w:rFonts w:hint="eastAsia" w:ascii="黑体" w:hAnsi="黑体" w:eastAsia="黑体"/>
          <w:sz w:val="22"/>
        </w:rPr>
        <w:t xml:space="preserve">两大购物中心地上、地下共15万平米，其中奢侈品MALL约3万平米，大型时尚MALL约12万平米，同时配备4500个停车位。 </w:t>
      </w:r>
    </w:p>
    <w:p>
      <w:pPr>
        <w:framePr w:dropCap="drop" w:lines="2" w:w="3691" w:h="3151" w:hRule="exact" w:wrap="around" w:vAnchor="text" w:hAnchor="page" w:x="6586" w:y="118"/>
        <w:numPr>
          <w:ilvl w:val="0"/>
          <w:numId w:val="1"/>
        </w:numPr>
        <w:spacing w:line="264" w:lineRule="auto"/>
        <w:jc w:val="left"/>
        <w:rPr>
          <w:b/>
          <w:sz w:val="22"/>
        </w:rPr>
      </w:pPr>
      <w:r>
        <w:rPr>
          <w:rFonts w:hint="eastAsia" w:ascii="黑体" w:hAnsi="黑体" w:eastAsia="黑体"/>
          <w:sz w:val="22"/>
        </w:rPr>
        <w:t>汇聚国际奢侈品、精品超市、环球美食、豪华影院、时尚潮牌等高端品牌。</w:t>
      </w:r>
    </w:p>
    <w:p>
      <w:pPr>
        <w:keepNext/>
        <w:framePr w:dropCap="drop" w:lines="2" w:w="3691" w:h="3151" w:hRule="exact" w:wrap="around" w:vAnchor="text" w:hAnchor="page" w:x="6586" w:y="118"/>
        <w:spacing w:line="6226" w:lineRule="exact"/>
        <w:textAlignment w:val="baseline"/>
        <w:rPr>
          <w:rFonts w:ascii="宋体" w:hAnsi="宋体"/>
          <w:b/>
          <w:position w:val="-82"/>
          <w:sz w:val="300"/>
        </w:rPr>
      </w:pPr>
    </w:p>
    <w:p>
      <w:pPr>
        <w:rPr>
          <w:b/>
          <w:sz w:val="28"/>
        </w:rPr>
      </w:pPr>
      <w:r>
        <w:rPr>
          <w:rFonts w:ascii="Calibri" w:hAnsi="Calibri" w:eastAsia="宋体" w:cs="黑体"/>
          <w:b/>
          <w:kern w:val="2"/>
          <w:sz w:val="28"/>
          <w:szCs w:val="22"/>
          <w:lang w:val="en-US" w:eastAsia="zh-CN" w:bidi="ar-SA"/>
        </w:rPr>
        <w:pict>
          <v:group id="对象 2" o:spid="_x0000_s1027" style="height:163.5pt;width:232.5pt;rotation:0f;" coordorigin="7200,2098" coordsize="6578,4667">
            <o:lock v:ext="edit" position="f" selection="f" grouping="f" rotation="f" cropping="f" text="f"/>
            <v:shape id="Picture 2" o:spid="_x0000_s1028" type="#_x0000_t75" style="position:absolute;left:7200;top:2098;height:4667;width:6578;rotation:0f;" o:ole="f" fillcolor="#FFFFFF" filled="f" o:preferrelative="t" stroked="f" coordorigin="0,0" coordsize="21600,21600">
              <v:fill on="f" color2="#FFFFFF" focus="0%"/>
              <v:imagedata cropleft="13027f" croptop="22415f" cropright="4540f" cropbottom="2588f" gain="65536f" blacklevel="0f" gamma="0" o:title="" r:id="rId6"/>
              <o:lock v:ext="edit" position="f" selection="f" grouping="f" rotation="f" cropping="f" text="f" aspectratio="t"/>
            </v:shape>
            <v:shape id="矩形标注 5" o:spid="_x0000_s1029" type="#_x0000_t61" style="position:absolute;left:11169;top:2511;height:485;width:2381;rotation:0f;" o:ole="f" fillcolor="#C96C1F" filled="t" o:preferrelative="t" stroked="t" coordorigin="0,0" coordsize="21600,21600" adj="1292,93541">
              <v:fill type="gradient" on="t" color2="#FFFFFF" o:opacity2="100%" colors="0f #C96C1F;52429f #FF8F33;65536f #FF8F35;" focus="0%" focussize="0f,0f" focusposition="0f,0f" method="linear sigma" rotate="t">
                <o:fill type="gradientUnscaled" v:ext="backwardCompatible"/>
              </v:fill>
              <v:stroke color="#F5913F" color2="#FFFFFF" miterlimit="2"/>
              <v:imagedata gain="65536f" blacklevel="0f" gamma="0"/>
              <o:lock v:ext="edit" position="f" selection="f" grouping="f" rotation="f" cropping="f" text="f" aspectratio="f"/>
              <v:shadow on="t" type="perspective" color="#000000" opacity="34%" offset="0pt,1.81102362204724pt" origin="0f,32768f" matrix="65536f,0,0,65536f,0,0"/>
              <v:textbox inset="7.20pt,3.60pt,7.20pt,3.60pt" style="mso-fit-shape-to-text:t;">
                <w:txbxContent>
                  <w:p>
                    <w:pPr>
                      <w:jc w:val="center"/>
                      <w:rPr>
                        <w:rFonts w:ascii="微软雅黑" w:eastAsia="黑体"/>
                        <w:b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="微软雅黑" w:eastAsia="黑体"/>
                        <w:b/>
                        <w:color w:val="FFFFFF"/>
                        <w:sz w:val="28"/>
                        <w:szCs w:val="28"/>
                      </w:rPr>
                      <w:t>大型时尚MALL</w:t>
                    </w:r>
                  </w:p>
                </w:txbxContent>
              </v:textbox>
            </v:shape>
            <v:shape id="矩形标注 6" o:spid="_x0000_s1030" type="#_x0000_t61" style="position:absolute;left:7313;top:6221;height:485;width:2835;rotation:0f;" o:ole="f" fillcolor="#C96C1F" filled="t" o:preferrelative="t" stroked="t" coordorigin="0,0" coordsize="21600,21600" adj="25221,-46083">
              <v:fill type="gradient" on="t" color2="#FFFFFF" o:opacity2="100%" colors="0f #C96C1F;52429f #FF8F33;65536f #FF8F35;" focus="0%" focussize="0f,0f" focusposition="0f,0f" method="linear sigma" rotate="t">
                <o:fill type="gradientUnscaled" v:ext="backwardCompatible"/>
              </v:fill>
              <v:stroke color="#F5913F" color2="#FFFFFF" miterlimit="2"/>
              <v:imagedata gain="65536f" blacklevel="0f" gamma="0"/>
              <o:lock v:ext="edit" position="f" selection="f" grouping="f" rotation="f" cropping="f" text="f" aspectratio="f"/>
              <v:shadow on="t" type="perspective" color="#000000" opacity="34%" offset="0pt,1.81102362204724pt" origin="0f,32768f" matrix="65536f,0,0,65536f,0,0"/>
              <v:textbox inset="7.20pt,3.60pt,7.20pt,3.60pt" style="mso-fit-shape-to-text:t;">
                <w:txbxContent>
                  <w:p>
                    <w:pPr>
                      <w:jc w:val="center"/>
                      <w:rPr>
                        <w:rFonts w:ascii="微软雅黑" w:eastAsia="黑体"/>
                        <w:b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="微软雅黑" w:eastAsia="黑体"/>
                        <w:b/>
                        <w:color w:val="FFFFFF"/>
                        <w:sz w:val="28"/>
                        <w:szCs w:val="28"/>
                      </w:rPr>
                      <w:t>奢侈品MALL</w:t>
                    </w:r>
                  </w:p>
                </w:txbxContent>
              </v:textbox>
            </v:shape>
            <v:shape id="矩形标注 8" o:spid="_x0000_s1031" type="#_x0000_t61" style="position:absolute;left:8561;top:2511;height:485;width:2154;rotation:0f;" o:ole="f" fillcolor="#C96C1F" filled="t" o:preferrelative="t" stroked="t" coordorigin="0,0" coordsize="21600,21600" adj="13339,82819">
              <v:fill type="gradient" on="t" color2="#FFFFFF" o:opacity2="100%" colors="0f #C96C1F;52429f #FF8F33;65536f #FF8F35;" focus="0%" focussize="0f,0f" focusposition="0f,0f" method="linear sigma" rotate="t">
                <o:fill type="gradientUnscaled" v:ext="backwardCompatible"/>
              </v:fill>
              <v:stroke color="#F5913F" color2="#FFFFFF" miterlimit="2"/>
              <v:imagedata gain="65536f" blacklevel="0f" gamma="0"/>
              <o:lock v:ext="edit" position="f" selection="f" grouping="f" rotation="f" cropping="f" text="f" aspectratio="f"/>
              <v:shadow on="t" type="perspective" color="#000000" opacity="34%" offset="0pt,1.81102362204724pt" origin="0f,32768f" matrix="65536f,0,0,65536f,0,0"/>
              <v:textbox inset="7.20pt,3.60pt,7.20pt,3.60pt" style="mso-fit-shape-to-text:t;">
                <w:txbxContent>
                  <w:p>
                    <w:pPr>
                      <w:jc w:val="center"/>
                      <w:rPr>
                        <w:rFonts w:ascii="微软雅黑" w:eastAsia="宋体"/>
                        <w:b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="微软雅黑" w:eastAsia="宋体"/>
                        <w:b/>
                        <w:color w:val="FFFFFF"/>
                        <w:sz w:val="28"/>
                        <w:szCs w:val="28"/>
                      </w:rPr>
                      <w:t>泰禾新天地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88" w:lineRule="auto"/>
        <w:jc w:val="left"/>
        <w:rPr>
          <w:rFonts w:ascii="黑体" w:hAnsi="黑体" w:eastAsia="黑体"/>
          <w:b/>
          <w:sz w:val="22"/>
        </w:rPr>
      </w:pPr>
    </w:p>
    <w:p>
      <w:pPr>
        <w:spacing w:line="288" w:lineRule="auto"/>
        <w:jc w:val="left"/>
        <w:rPr>
          <w:rFonts w:ascii="黑体" w:hAnsi="黑体" w:eastAsia="黑体"/>
          <w:b/>
          <w:sz w:val="22"/>
        </w:rPr>
      </w:pPr>
    </w:p>
    <w:p>
      <w:pPr>
        <w:spacing w:line="288" w:lineRule="auto"/>
        <w:jc w:val="left"/>
        <w:rPr>
          <w:rFonts w:ascii="黑体" w:hAnsi="黑体" w:eastAsia="黑体"/>
          <w:b/>
          <w:sz w:val="22"/>
        </w:rPr>
      </w:pPr>
    </w:p>
    <w:p>
      <w:pPr>
        <w:spacing w:line="288" w:lineRule="auto"/>
        <w:jc w:val="left"/>
        <w:rPr>
          <w:rFonts w:ascii="黑体" w:hAnsi="黑体" w:eastAsia="黑体"/>
          <w:b/>
          <w:sz w:val="22"/>
        </w:rPr>
      </w:pPr>
    </w:p>
    <w:p>
      <w:pPr>
        <w:spacing w:line="288" w:lineRule="auto"/>
        <w:jc w:val="left"/>
        <w:rPr>
          <w:rFonts w:ascii="黑体" w:hAnsi="黑体" w:eastAsia="黑体"/>
          <w:b/>
          <w:sz w:val="22"/>
        </w:rPr>
      </w:pPr>
    </w:p>
    <w:p>
      <w:pPr>
        <w:spacing w:line="288" w:lineRule="auto"/>
        <w:jc w:val="left"/>
        <w:rPr>
          <w:rFonts w:ascii="黑体" w:hAnsi="黑体" w:eastAsia="黑体"/>
          <w:b/>
          <w:sz w:val="22"/>
        </w:rPr>
      </w:pPr>
      <w:r>
        <w:rPr>
          <w:rFonts w:hint="eastAsia" w:ascii="黑体" w:hAnsi="黑体" w:eastAsia="黑体"/>
          <w:b/>
          <w:sz w:val="22"/>
        </w:rPr>
        <w:t>1．1</w:t>
      </w:r>
      <w:r>
        <w:rPr>
          <w:rFonts w:hint="eastAsia" w:ascii="黑体" w:hAnsi="黑体" w:eastAsia="黑体"/>
          <w:b/>
          <w:bCs/>
          <w:sz w:val="22"/>
        </w:rPr>
        <w:t>泰禾双MALL 之——奢侈品MALL</w:t>
      </w:r>
    </w:p>
    <w:p>
      <w:pPr>
        <w:spacing w:line="288" w:lineRule="auto"/>
        <w:jc w:val="left"/>
        <w:rPr>
          <w:rFonts w:ascii="黑体" w:hAnsi="黑体" w:eastAsia="黑体"/>
          <w:sz w:val="22"/>
        </w:rPr>
      </w:pPr>
      <w:r>
        <w:rPr>
          <w:rFonts w:hint="eastAsia" w:ascii="黑体" w:hAnsi="黑体" w:eastAsia="黑体"/>
          <w:sz w:val="22"/>
        </w:rPr>
        <w:t>城市向前发展升级之作，泉州首个国际顶级奢侈品购物中心应运而生，彻底改变泉州没有奢侈品购物中心的商业现状，也是东海泰禾广场最大的核心亮点。</w:t>
      </w:r>
      <w:r>
        <w:rPr>
          <w:rFonts w:hint="eastAsia" w:ascii="黑体" w:hAnsi="黑体" w:eastAsia="黑体"/>
          <w:bCs/>
          <w:sz w:val="22"/>
        </w:rPr>
        <w:t xml:space="preserve">泰禾集团基于历史使命，打造超越厦门磐基中心的高端购物中心，彻底填补大泉州城市空白。 </w:t>
      </w:r>
    </w:p>
    <w:p>
      <w:pPr>
        <w:spacing w:line="288" w:lineRule="auto"/>
        <w:jc w:val="left"/>
        <w:rPr>
          <w:rFonts w:ascii="黑体" w:hAnsi="黑体" w:eastAsia="黑体"/>
          <w:sz w:val="22"/>
        </w:rPr>
      </w:pPr>
      <w:r>
        <w:rPr>
          <w:rFonts w:hint="eastAsia" w:ascii="黑体" w:hAnsi="黑体" w:eastAsia="黑体"/>
          <w:sz w:val="22"/>
        </w:rPr>
        <w:t>拟引进</w:t>
      </w:r>
      <w:r>
        <w:rPr>
          <w:rFonts w:hint="eastAsia" w:ascii="黑体" w:hAnsi="黑体" w:eastAsia="黑体"/>
          <w:bCs/>
          <w:sz w:val="22"/>
        </w:rPr>
        <w:t>Gucci、ZEGNA、Cerruti 1881、Hugo Boss、Dunhill</w:t>
      </w:r>
      <w:r>
        <w:rPr>
          <w:rFonts w:hint="eastAsia" w:ascii="黑体" w:hAnsi="黑体" w:eastAsia="黑体"/>
          <w:sz w:val="22"/>
        </w:rPr>
        <w:t>等国际一线奢侈品牌，打造涵盖奢侈品旗舰店、潮流概念店、滨江环球美食、高级私人护理等业态的奢侈品MALL，为泉州精英层提供一站式高端服务。</w:t>
      </w:r>
      <w:r>
        <w:rPr>
          <w:rFonts w:hint="eastAsia" w:ascii="黑体" w:hAnsi="黑体" w:eastAsia="黑体"/>
          <w:bCs/>
          <w:sz w:val="22"/>
        </w:rPr>
        <w:t xml:space="preserve"> </w:t>
      </w:r>
    </w:p>
    <w:p>
      <w:pPr>
        <w:spacing w:line="288" w:lineRule="auto"/>
        <w:jc w:val="left"/>
        <w:rPr>
          <w:rFonts w:ascii="黑体" w:hAnsi="黑体" w:eastAsia="黑体"/>
          <w:b/>
          <w:sz w:val="22"/>
        </w:rPr>
      </w:pPr>
      <w:r>
        <w:rPr>
          <w:rFonts w:hint="eastAsia" w:ascii="黑体" w:hAnsi="黑体" w:eastAsia="黑体"/>
          <w:b/>
          <w:bCs/>
          <w:sz w:val="22"/>
        </w:rPr>
        <w:t>1.2泰禾双MALL 之——大型时尚MALL</w:t>
      </w:r>
    </w:p>
    <w:p>
      <w:pPr>
        <w:spacing w:line="288" w:lineRule="auto"/>
        <w:jc w:val="left"/>
        <w:rPr>
          <w:rFonts w:ascii="黑体" w:hAnsi="黑体" w:eastAsia="黑体"/>
          <w:sz w:val="22"/>
        </w:rPr>
      </w:pPr>
      <w:r>
        <w:rPr>
          <w:rFonts w:hint="eastAsia" w:ascii="黑体" w:hAnsi="黑体" w:eastAsia="黑体"/>
          <w:sz w:val="22"/>
        </w:rPr>
        <w:t xml:space="preserve">东海泰禾广场大型时尚MALL为城市中坚阶层打造最时尚、最潮流、最家庭、最文化的购物中心，比肩北京西单大悦城、深圳地标KK MALL。填补泉州缺少真正、纯粹的适合城市中坚阶层消费的购物中心的空白。 </w:t>
      </w:r>
    </w:p>
    <w:p>
      <w:pPr>
        <w:spacing w:line="288" w:lineRule="auto"/>
        <w:jc w:val="left"/>
        <w:rPr>
          <w:rFonts w:ascii="黑体" w:hAnsi="黑体" w:eastAsia="黑体"/>
          <w:sz w:val="28"/>
        </w:rPr>
      </w:pPr>
      <w:r>
        <w:rPr>
          <w:rFonts w:hint="eastAsia" w:ascii="黑体" w:hAnsi="黑体" w:eastAsia="黑体"/>
          <w:sz w:val="22"/>
        </w:rPr>
        <w:t>拟引进</w:t>
      </w:r>
      <w:r>
        <w:rPr>
          <w:rFonts w:hint="eastAsia" w:ascii="黑体" w:hAnsi="黑体" w:eastAsia="黑体"/>
          <w:bCs/>
          <w:sz w:val="22"/>
        </w:rPr>
        <w:t>苹果直营体验店、IT等高科技体验中心，阿迪等运动休闲，Mothercare等母婴护理，外婆家时尚概念餐厅</w:t>
      </w:r>
      <w:r>
        <w:rPr>
          <w:rFonts w:hint="eastAsia" w:ascii="黑体" w:hAnsi="黑体" w:eastAsia="黑体"/>
          <w:sz w:val="22"/>
        </w:rPr>
        <w:t>等多种业态复合的时尚购物中心，为泉州城市中间阶层提供一站式服务。</w:t>
      </w:r>
      <w:r>
        <w:rPr>
          <w:rFonts w:hint="eastAsia" w:ascii="黑体" w:hAnsi="黑体" w:eastAsia="黑体"/>
          <w:sz w:val="28"/>
        </w:rPr>
        <w:t xml:space="preserve"> </w:t>
      </w:r>
    </w:p>
    <w:p>
      <w:pPr>
        <w:spacing w:line="288" w:lineRule="auto"/>
        <w:jc w:val="left"/>
        <w:rPr>
          <w:sz w:val="28"/>
        </w:rPr>
      </w:pPr>
    </w:p>
    <w:p>
      <w:pPr>
        <w:rPr>
          <w:rFonts w:ascii="黑体" w:hAnsi="黑体" w:eastAsia="黑体"/>
          <w:b/>
          <w:bCs/>
          <w:sz w:val="24"/>
        </w:rPr>
      </w:pPr>
      <w:r>
        <w:rPr>
          <w:rFonts w:hint="eastAsia" w:ascii="黑体" w:hAnsi="黑体" w:eastAsia="黑体"/>
          <w:b/>
          <w:bCs/>
          <w:sz w:val="24"/>
        </w:rPr>
        <w:t xml:space="preserve">2、泉州唯一滨江商业步行街——泰禾新天地 </w:t>
      </w:r>
    </w:p>
    <w:p>
      <w:pPr>
        <w:framePr w:dropCap="drop" w:lines="2" w:w="4216" w:h="2296" w:hRule="exact" w:wrap="around" w:vAnchor="text" w:hAnchor="page" w:x="5836" w:y="217"/>
        <w:numPr>
          <w:ilvl w:val="0"/>
          <w:numId w:val="1"/>
        </w:numPr>
        <w:spacing w:line="264" w:lineRule="auto"/>
        <w:jc w:val="left"/>
        <w:rPr>
          <w:rFonts w:ascii="黑体" w:hAnsi="黑体" w:eastAsia="黑体"/>
          <w:bCs/>
          <w:sz w:val="22"/>
        </w:rPr>
      </w:pPr>
      <w:r>
        <w:rPr>
          <w:rFonts w:hint="eastAsia" w:ascii="黑体" w:hAnsi="黑体" w:eastAsia="黑体"/>
          <w:bCs/>
          <w:sz w:val="22"/>
        </w:rPr>
        <w:t xml:space="preserve">最好的地段：泰禾新天地位于两大购物中心与中央商务集群之间的核心位置。 </w:t>
      </w:r>
    </w:p>
    <w:p>
      <w:pPr>
        <w:framePr w:dropCap="drop" w:lines="2" w:w="4216" w:h="2296" w:hRule="exact" w:wrap="around" w:vAnchor="text" w:hAnchor="page" w:x="5836" w:y="217"/>
        <w:numPr>
          <w:ilvl w:val="0"/>
          <w:numId w:val="1"/>
        </w:numPr>
        <w:spacing w:line="264" w:lineRule="auto"/>
        <w:jc w:val="left"/>
        <w:rPr>
          <w:b/>
          <w:bCs/>
          <w:sz w:val="22"/>
        </w:rPr>
      </w:pPr>
      <w:r>
        <w:rPr>
          <w:rFonts w:hint="eastAsia" w:ascii="黑体" w:hAnsi="黑体" w:eastAsia="黑体"/>
          <w:bCs/>
          <w:sz w:val="22"/>
        </w:rPr>
        <w:t xml:space="preserve">最好的景观：与摩天轮娱乐广场、天然河流等一同形成泉州最具滨江特色的风情商业区。 </w:t>
      </w:r>
    </w:p>
    <w:p>
      <w:pPr>
        <w:framePr w:dropCap="drop" w:lines="2" w:w="4216" w:h="2296" w:hRule="exact" w:wrap="around" w:vAnchor="text" w:hAnchor="page" w:x="5836" w:y="217"/>
        <w:spacing w:line="264" w:lineRule="auto"/>
        <w:ind w:left="360"/>
        <w:jc w:val="left"/>
        <w:rPr>
          <w:b/>
          <w:sz w:val="22"/>
        </w:rPr>
      </w:pPr>
    </w:p>
    <w:p>
      <w:pPr>
        <w:keepNext/>
        <w:framePr w:dropCap="drop" w:lines="2" w:w="4216" w:h="2296" w:hRule="exact" w:wrap="around" w:vAnchor="text" w:hAnchor="page" w:x="5836" w:y="217"/>
        <w:spacing w:line="6226" w:lineRule="exact"/>
        <w:textAlignment w:val="baseline"/>
        <w:rPr>
          <w:rFonts w:ascii="宋体" w:hAnsi="宋体"/>
          <w:b/>
          <w:position w:val="-82"/>
          <w:sz w:val="300"/>
        </w:rPr>
      </w:pPr>
    </w:p>
    <w:p>
      <w:pPr>
        <w:jc w:val="left"/>
        <w:rPr>
          <w:b/>
          <w:sz w:val="28"/>
        </w:rPr>
      </w:pPr>
      <w:r>
        <w:rPr>
          <w:rFonts w:ascii="Calibri" w:hAnsi="Calibri" w:eastAsia="宋体" w:cs="黑体"/>
          <w:b/>
          <w:kern w:val="2"/>
          <w:sz w:val="28"/>
          <w:szCs w:val="22"/>
          <w:lang w:val="en-US" w:eastAsia="zh-CN" w:bidi="ar-SA"/>
        </w:rPr>
        <w:pict>
          <v:shape id="图片 4" o:spid="_x0000_s1032" type="#_x0000_t75" style="height:156pt;width:205.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88" w:lineRule="auto"/>
        <w:jc w:val="left"/>
        <w:rPr>
          <w:rFonts w:ascii="黑体" w:hAnsi="黑体" w:eastAsia="黑体"/>
          <w:b/>
          <w:sz w:val="22"/>
        </w:rPr>
      </w:pPr>
      <w:r>
        <w:rPr>
          <w:rFonts w:hint="eastAsia" w:ascii="黑体" w:hAnsi="黑体" w:eastAsia="黑体"/>
          <w:b/>
          <w:bCs/>
          <w:sz w:val="22"/>
        </w:rPr>
        <w:t xml:space="preserve">√特色一：最具风情感 </w:t>
      </w:r>
    </w:p>
    <w:p>
      <w:pPr>
        <w:pStyle w:val="7"/>
        <w:numPr>
          <w:ilvl w:val="0"/>
          <w:numId w:val="2"/>
        </w:numPr>
        <w:spacing w:line="288" w:lineRule="auto"/>
        <w:ind w:firstLineChars="0"/>
        <w:jc w:val="left"/>
        <w:rPr>
          <w:rFonts w:ascii="黑体" w:hAnsi="黑体" w:eastAsia="黑体"/>
          <w:sz w:val="22"/>
        </w:rPr>
      </w:pPr>
      <w:r>
        <w:rPr>
          <w:rFonts w:hint="eastAsia" w:ascii="黑体" w:hAnsi="黑体" w:eastAsia="黑体"/>
          <w:sz w:val="22"/>
        </w:rPr>
        <w:t>泰禾新天地</w:t>
      </w:r>
      <w:r>
        <w:rPr>
          <w:rFonts w:hint="eastAsia" w:ascii="黑体" w:hAnsi="黑体" w:eastAsia="黑体"/>
          <w:bCs/>
          <w:sz w:val="22"/>
        </w:rPr>
        <w:t>以摩天轮为轴心</w:t>
      </w:r>
      <w:r>
        <w:rPr>
          <w:rFonts w:hint="eastAsia" w:ascii="黑体" w:hAnsi="黑体" w:eastAsia="黑体"/>
          <w:sz w:val="22"/>
        </w:rPr>
        <w:t>，起始点设置</w:t>
      </w:r>
      <w:r>
        <w:rPr>
          <w:rFonts w:hint="eastAsia" w:ascii="黑体" w:hAnsi="黑体" w:eastAsia="黑体"/>
          <w:bCs/>
          <w:sz w:val="22"/>
        </w:rPr>
        <w:t>一条丰富的自然水系景观</w:t>
      </w:r>
      <w:r>
        <w:rPr>
          <w:rFonts w:hint="eastAsia" w:ascii="黑体" w:hAnsi="黑体" w:eastAsia="黑体"/>
          <w:sz w:val="22"/>
        </w:rPr>
        <w:t>带，结合</w:t>
      </w:r>
      <w:r>
        <w:rPr>
          <w:rFonts w:hint="eastAsia" w:ascii="黑体" w:hAnsi="黑体" w:eastAsia="黑体"/>
          <w:bCs/>
          <w:sz w:val="22"/>
        </w:rPr>
        <w:t>水秀广场</w:t>
      </w:r>
      <w:r>
        <w:rPr>
          <w:rFonts w:hint="eastAsia" w:ascii="黑体" w:hAnsi="黑体" w:eastAsia="黑体"/>
          <w:sz w:val="22"/>
        </w:rPr>
        <w:t>营造出最具风情的</w:t>
      </w:r>
      <w:r>
        <w:rPr>
          <w:rFonts w:hint="eastAsia" w:ascii="黑体" w:hAnsi="黑体" w:eastAsia="黑体"/>
          <w:bCs/>
          <w:sz w:val="22"/>
        </w:rPr>
        <w:t>滨江商业街区</w:t>
      </w:r>
      <w:r>
        <w:rPr>
          <w:rFonts w:hint="eastAsia" w:ascii="黑体" w:hAnsi="黑体" w:eastAsia="黑体"/>
          <w:sz w:val="22"/>
        </w:rPr>
        <w:t xml:space="preserve">。 </w:t>
      </w:r>
    </w:p>
    <w:p>
      <w:pPr>
        <w:pStyle w:val="7"/>
        <w:numPr>
          <w:ilvl w:val="0"/>
          <w:numId w:val="2"/>
        </w:numPr>
        <w:spacing w:line="288" w:lineRule="auto"/>
        <w:ind w:firstLineChars="0"/>
        <w:jc w:val="left"/>
        <w:rPr>
          <w:rFonts w:ascii="黑体" w:hAnsi="黑体" w:eastAsia="黑体"/>
          <w:sz w:val="22"/>
        </w:rPr>
      </w:pPr>
      <w:r>
        <w:rPr>
          <w:rFonts w:hint="eastAsia" w:ascii="黑体" w:hAnsi="黑体" w:eastAsia="黑体"/>
          <w:sz w:val="22"/>
        </w:rPr>
        <w:t>通过欧式商业小镇、景观小品、广场、街区等经典元素勾勒出极具</w:t>
      </w:r>
      <w:r>
        <w:rPr>
          <w:rFonts w:hint="eastAsia" w:ascii="黑体" w:hAnsi="黑体" w:eastAsia="黑体"/>
          <w:bCs/>
          <w:sz w:val="22"/>
        </w:rPr>
        <w:t>欧式风情</w:t>
      </w:r>
      <w:r>
        <w:rPr>
          <w:rFonts w:hint="eastAsia" w:ascii="黑体" w:hAnsi="黑体" w:eastAsia="黑体"/>
          <w:sz w:val="22"/>
        </w:rPr>
        <w:t>的商业步行街区。实现</w:t>
      </w:r>
      <w:r>
        <w:rPr>
          <w:rFonts w:hint="eastAsia" w:ascii="黑体" w:hAnsi="黑体" w:eastAsia="黑体"/>
          <w:bCs/>
          <w:sz w:val="22"/>
        </w:rPr>
        <w:t>购物公园化</w:t>
      </w:r>
      <w:r>
        <w:rPr>
          <w:rFonts w:hint="eastAsia" w:ascii="黑体" w:hAnsi="黑体" w:eastAsia="黑体"/>
          <w:sz w:val="22"/>
        </w:rPr>
        <w:t xml:space="preserve">，极具休闲、旅游度假的目的性消费功能。 </w:t>
      </w:r>
    </w:p>
    <w:p>
      <w:pPr>
        <w:spacing w:line="288" w:lineRule="auto"/>
        <w:jc w:val="left"/>
        <w:rPr>
          <w:rFonts w:ascii="黑体" w:hAnsi="黑体" w:eastAsia="黑体"/>
          <w:b/>
          <w:sz w:val="22"/>
        </w:rPr>
      </w:pPr>
      <w:r>
        <w:rPr>
          <w:rFonts w:hint="eastAsia" w:ascii="黑体" w:hAnsi="黑体" w:eastAsia="黑体"/>
          <w:b/>
          <w:bCs/>
          <w:sz w:val="22"/>
        </w:rPr>
        <w:t xml:space="preserve">√特色二：自成商业中心 </w:t>
      </w:r>
    </w:p>
    <w:p>
      <w:pPr>
        <w:spacing w:line="288" w:lineRule="auto"/>
        <w:jc w:val="left"/>
        <w:rPr>
          <w:rFonts w:ascii="黑体" w:hAnsi="黑体" w:eastAsia="黑体"/>
          <w:sz w:val="22"/>
        </w:rPr>
      </w:pPr>
      <w:r>
        <w:rPr>
          <w:rFonts w:hint="eastAsia" w:ascii="黑体" w:hAnsi="黑体" w:eastAsia="黑体"/>
          <w:sz w:val="22"/>
        </w:rPr>
        <w:t>泰禾新天地具有</w:t>
      </w:r>
      <w:r>
        <w:rPr>
          <w:rFonts w:hint="eastAsia" w:ascii="黑体" w:hAnsi="黑体" w:eastAsia="黑体"/>
          <w:bCs/>
          <w:sz w:val="22"/>
        </w:rPr>
        <w:t>独立人流动线</w:t>
      </w:r>
      <w:r>
        <w:rPr>
          <w:rFonts w:hint="eastAsia" w:ascii="黑体" w:hAnsi="黑体" w:eastAsia="黑体"/>
          <w:sz w:val="22"/>
        </w:rPr>
        <w:t xml:space="preserve">，地下停车场人流可直达购物中心， 使其可自成商业中心，与泰禾双MALL既相互依存、又相互独立，一起形成三商业中心。 </w:t>
      </w:r>
    </w:p>
    <w:p>
      <w:pPr>
        <w:spacing w:line="288" w:lineRule="auto"/>
        <w:jc w:val="left"/>
        <w:rPr>
          <w:rFonts w:ascii="黑体" w:hAnsi="黑体" w:eastAsia="黑体"/>
          <w:b/>
          <w:sz w:val="22"/>
        </w:rPr>
      </w:pPr>
      <w:r>
        <w:rPr>
          <w:rFonts w:hint="eastAsia" w:ascii="黑体" w:hAnsi="黑体" w:eastAsia="黑体"/>
          <w:b/>
          <w:bCs/>
          <w:sz w:val="22"/>
        </w:rPr>
        <w:t xml:space="preserve">√特色三：24小时不夜城 </w:t>
      </w:r>
    </w:p>
    <w:p>
      <w:pPr>
        <w:spacing w:line="288" w:lineRule="auto"/>
        <w:jc w:val="left"/>
        <w:rPr>
          <w:rFonts w:ascii="黑体" w:hAnsi="黑体" w:eastAsia="黑体"/>
          <w:sz w:val="22"/>
        </w:rPr>
      </w:pPr>
      <w:r>
        <w:rPr>
          <w:rFonts w:hint="eastAsia" w:ascii="黑体" w:hAnsi="黑体" w:eastAsia="黑体"/>
          <w:sz w:val="22"/>
        </w:rPr>
        <w:t>独特</w:t>
      </w:r>
      <w:r>
        <w:rPr>
          <w:rFonts w:hint="eastAsia" w:ascii="黑体" w:hAnsi="黑体" w:eastAsia="黑体"/>
          <w:bCs/>
          <w:sz w:val="22"/>
        </w:rPr>
        <w:t>24小时动线</w:t>
      </w:r>
      <w:r>
        <w:rPr>
          <w:rFonts w:hint="eastAsia" w:ascii="黑体" w:hAnsi="黑体" w:eastAsia="黑体"/>
          <w:sz w:val="22"/>
        </w:rPr>
        <w:t>，全天候经营，囊括现代酒吧、概念餐饮、特色咖啡、创意集市、艺术展厅等多样化业态，打造泉州24小时不夜城。</w:t>
      </w:r>
    </w:p>
    <w:p>
      <w:pPr>
        <w:rPr>
          <w:rFonts w:ascii="黑体" w:hAnsi="黑体" w:eastAsia="黑体"/>
          <w:b/>
          <w:bCs/>
          <w:sz w:val="24"/>
        </w:rPr>
      </w:pPr>
    </w:p>
    <w:p>
      <w:pPr>
        <w:rPr>
          <w:rFonts w:ascii="黑体" w:hAnsi="黑体" w:eastAsia="黑体"/>
          <w:b/>
          <w:sz w:val="24"/>
        </w:rPr>
      </w:pPr>
      <w:r>
        <w:rPr>
          <w:rFonts w:hint="eastAsia" w:ascii="黑体" w:hAnsi="黑体" w:eastAsia="黑体"/>
          <w:b/>
          <w:bCs/>
          <w:sz w:val="24"/>
        </w:rPr>
        <w:t xml:space="preserve">3、市中心唯一摩天轮游乐广场 </w:t>
      </w:r>
    </w:p>
    <w:p>
      <w:pPr>
        <w:framePr w:dropCap="drop" w:lines="2" w:w="3946" w:h="3076" w:hRule="exact" w:wrap="around" w:vAnchor="text" w:hAnchor="page" w:x="6301" w:y="22"/>
        <w:numPr>
          <w:ilvl w:val="0"/>
          <w:numId w:val="1"/>
        </w:numPr>
        <w:spacing w:line="264" w:lineRule="auto"/>
        <w:rPr>
          <w:rFonts w:ascii="黑体" w:hAnsi="黑体" w:eastAsia="黑体"/>
          <w:bCs/>
          <w:sz w:val="22"/>
        </w:rPr>
      </w:pPr>
      <w:r>
        <w:rPr>
          <w:rFonts w:hint="eastAsia" w:ascii="黑体" w:hAnsi="黑体" w:eastAsia="黑体"/>
          <w:bCs/>
          <w:sz w:val="22"/>
        </w:rPr>
        <w:t xml:space="preserve">以高88m的摩天轮（投资8000万元）为中心，打造泉州最大的市中心游乐广场，比肩台湾高雄梦时代广场（Dream Mall）屋顶巨形摩天轮——高雄之眼。 </w:t>
      </w:r>
    </w:p>
    <w:p>
      <w:pPr>
        <w:framePr w:dropCap="drop" w:lines="2" w:w="3946" w:h="3076" w:hRule="exact" w:wrap="around" w:vAnchor="text" w:hAnchor="page" w:x="6301" w:y="22"/>
        <w:numPr>
          <w:ilvl w:val="0"/>
          <w:numId w:val="1"/>
        </w:numPr>
        <w:spacing w:line="264" w:lineRule="auto"/>
        <w:rPr>
          <w:b/>
          <w:bCs/>
          <w:sz w:val="22"/>
        </w:rPr>
      </w:pPr>
      <w:r>
        <w:rPr>
          <w:rFonts w:hint="eastAsia" w:ascii="黑体" w:hAnsi="黑体" w:eastAsia="黑体"/>
          <w:bCs/>
          <w:sz w:val="22"/>
        </w:rPr>
        <w:t xml:space="preserve">泉州最大的水秀表演广场（长130米宽20米），设计亲水平台+观景平台，成为泉州最佳的旅游休闲胜地。 </w:t>
      </w:r>
    </w:p>
    <w:p>
      <w:pPr>
        <w:keepNext/>
        <w:framePr w:dropCap="drop" w:lines="2" w:w="3946" w:h="3076" w:hRule="exact" w:wrap="around" w:vAnchor="text" w:hAnchor="page" w:x="6301" w:y="22"/>
        <w:spacing w:line="6226" w:lineRule="exact"/>
        <w:textAlignment w:val="baseline"/>
        <w:rPr>
          <w:rFonts w:ascii="宋体" w:hAnsi="宋体"/>
          <w:b/>
          <w:position w:val="-82"/>
          <w:sz w:val="300"/>
        </w:rPr>
      </w:pPr>
    </w:p>
    <w:p>
      <w:pPr>
        <w:jc w:val="left"/>
        <w:rPr>
          <w:b/>
          <w:sz w:val="28"/>
        </w:rPr>
      </w:pPr>
      <w:r>
        <w:rPr>
          <w:rFonts w:ascii="Calibri" w:hAnsi="Calibri" w:eastAsia="宋体" w:cs="黑体"/>
          <w:b/>
          <w:kern w:val="2"/>
          <w:sz w:val="28"/>
          <w:szCs w:val="22"/>
          <w:lang w:val="en-US" w:eastAsia="zh-CN" w:bidi="ar-SA"/>
        </w:rPr>
        <w:pict>
          <v:shape id="图片 5" o:spid="_x0000_s1033" type="#_x0000_t75" style="height:150.45pt;width:232.5pt;rotation:0f;" o:ole="f" fillcolor="#FFFFFF" filled="f" o:preferrelative="t" stroked="f" coordorigin="0,0" coordsize="21600,21600">
            <v:fill on="f" color2="#FFFFFF" focus="0%"/>
            <v:imagedata croptop="9045f" cropbottom="11873f"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88" w:lineRule="auto"/>
        <w:jc w:val="left"/>
        <w:rPr>
          <w:rFonts w:ascii="黑体" w:hAnsi="黑体" w:eastAsia="黑体"/>
          <w:b/>
          <w:bCs/>
          <w:sz w:val="22"/>
        </w:rPr>
      </w:pPr>
      <w:r>
        <w:rPr>
          <w:rFonts w:hint="eastAsia" w:ascii="黑体" w:hAnsi="黑体" w:eastAsia="黑体"/>
          <w:b/>
          <w:bCs/>
          <w:sz w:val="22"/>
        </w:rPr>
        <w:t xml:space="preserve">√ 市中心旅游、观光地标建筑      </w:t>
      </w:r>
    </w:p>
    <w:p>
      <w:pPr>
        <w:spacing w:line="288" w:lineRule="auto"/>
        <w:jc w:val="left"/>
        <w:rPr>
          <w:rFonts w:ascii="黑体" w:hAnsi="黑体" w:eastAsia="黑体"/>
          <w:b/>
          <w:bCs/>
          <w:sz w:val="22"/>
        </w:rPr>
      </w:pPr>
      <w:r>
        <w:rPr>
          <w:rFonts w:hint="eastAsia" w:ascii="黑体" w:hAnsi="黑体" w:eastAsia="黑体"/>
          <w:b/>
          <w:bCs/>
          <w:sz w:val="22"/>
        </w:rPr>
        <w:t xml:space="preserve">√ 聚集人气的城市级文化广场 </w:t>
      </w:r>
    </w:p>
    <w:p>
      <w:pPr>
        <w:spacing w:line="288" w:lineRule="auto"/>
        <w:jc w:val="left"/>
        <w:rPr>
          <w:rFonts w:ascii="黑体" w:hAnsi="黑体" w:eastAsia="黑体"/>
          <w:b/>
          <w:bCs/>
          <w:sz w:val="22"/>
        </w:rPr>
      </w:pPr>
      <w:r>
        <w:rPr>
          <w:rFonts w:hint="eastAsia" w:ascii="黑体" w:hAnsi="黑体" w:eastAsia="黑体"/>
          <w:b/>
          <w:bCs/>
          <w:sz w:val="22"/>
        </w:rPr>
        <w:t xml:space="preserve">√ 与晋江大桥一起，形成泉州新的城市名片 </w:t>
      </w:r>
      <w:r>
        <w:rPr>
          <w:rFonts w:hint="eastAsia" w:ascii="黑体" w:hAnsi="黑体" w:eastAsia="黑体"/>
          <w:b/>
          <w:bCs/>
          <w:sz w:val="22"/>
        </w:rPr>
        <w:tab/>
      </w:r>
    </w:p>
    <w:p>
      <w:pPr>
        <w:spacing w:line="288" w:lineRule="auto"/>
        <w:jc w:val="left"/>
        <w:rPr>
          <w:rFonts w:ascii="黑体" w:hAnsi="黑体" w:eastAsia="黑体"/>
          <w:b/>
          <w:bCs/>
          <w:sz w:val="22"/>
        </w:rPr>
      </w:pPr>
      <w:r>
        <w:rPr>
          <w:rFonts w:hint="eastAsia" w:ascii="黑体" w:hAnsi="黑体" w:eastAsia="黑体"/>
          <w:b/>
          <w:bCs/>
          <w:sz w:val="22"/>
        </w:rPr>
        <w:t>√ 具备超强的目的性消费功能</w:t>
      </w:r>
    </w:p>
    <w:p>
      <w:pPr>
        <w:jc w:val="left"/>
        <w:rPr>
          <w:rFonts w:ascii="黑体" w:hAnsi="黑体" w:eastAsia="黑体"/>
          <w:b/>
          <w:bCs/>
          <w:sz w:val="24"/>
        </w:rPr>
      </w:pPr>
    </w:p>
    <w:p>
      <w:pPr>
        <w:jc w:val="left"/>
        <w:rPr>
          <w:rFonts w:ascii="黑体" w:hAnsi="黑体" w:eastAsia="黑体"/>
          <w:b/>
          <w:sz w:val="24"/>
        </w:rPr>
      </w:pPr>
      <w:r>
        <w:rPr>
          <w:rFonts w:hint="eastAsia" w:ascii="黑体" w:hAnsi="黑体" w:eastAsia="黑体"/>
          <w:b/>
          <w:bCs/>
          <w:sz w:val="24"/>
        </w:rPr>
        <w:t xml:space="preserve">4、市中心规模最大的商务集群 </w:t>
      </w:r>
    </w:p>
    <w:p>
      <w:pPr>
        <w:framePr w:dropCap="drop" w:lines="2" w:w="4471" w:h="3076" w:hRule="exact" w:wrap="around" w:vAnchor="text" w:hAnchor="page" w:x="5731" w:y="126"/>
        <w:numPr>
          <w:ilvl w:val="0"/>
          <w:numId w:val="1"/>
        </w:numPr>
        <w:spacing w:line="264" w:lineRule="auto"/>
        <w:rPr>
          <w:rFonts w:ascii="黑体" w:hAnsi="黑体" w:eastAsia="黑体"/>
          <w:bCs/>
          <w:sz w:val="22"/>
        </w:rPr>
      </w:pPr>
      <w:r>
        <w:rPr>
          <w:rFonts w:hint="eastAsia" w:ascii="黑体" w:hAnsi="黑体" w:eastAsia="黑体"/>
          <w:bCs/>
          <w:sz w:val="22"/>
        </w:rPr>
        <w:t xml:space="preserve">由5A甲级写字楼、顶级SOHO办公、洲际酒店等高端商务业态组成，成就泉州市中心商务地标。 </w:t>
      </w:r>
    </w:p>
    <w:p>
      <w:pPr>
        <w:framePr w:dropCap="drop" w:lines="2" w:w="4471" w:h="3076" w:hRule="exact" w:wrap="around" w:vAnchor="text" w:hAnchor="page" w:x="5731" w:y="126"/>
        <w:numPr>
          <w:ilvl w:val="0"/>
          <w:numId w:val="1"/>
        </w:numPr>
        <w:spacing w:line="264" w:lineRule="auto"/>
        <w:rPr>
          <w:rFonts w:ascii="黑体" w:hAnsi="黑体" w:eastAsia="黑体"/>
          <w:bCs/>
          <w:sz w:val="22"/>
        </w:rPr>
      </w:pPr>
      <w:r>
        <w:rPr>
          <w:rFonts w:hint="eastAsia" w:ascii="黑体" w:hAnsi="黑体" w:eastAsia="黑体"/>
          <w:bCs/>
          <w:sz w:val="22"/>
        </w:rPr>
        <w:t xml:space="preserve">120米超高层地标建筑，玻璃幕墙+干挂石材+9米挑高大堂，打造奢适商务空间。 </w:t>
      </w:r>
    </w:p>
    <w:p>
      <w:pPr>
        <w:framePr w:dropCap="drop" w:lines="2" w:w="4471" w:h="3076" w:hRule="exact" w:wrap="around" w:vAnchor="text" w:hAnchor="page" w:x="5731" w:y="126"/>
        <w:numPr>
          <w:ilvl w:val="0"/>
          <w:numId w:val="1"/>
        </w:numPr>
        <w:spacing w:line="264" w:lineRule="auto"/>
        <w:rPr>
          <w:b/>
          <w:bCs/>
          <w:sz w:val="22"/>
        </w:rPr>
      </w:pPr>
      <w:r>
        <w:rPr>
          <w:rFonts w:hint="eastAsia" w:ascii="黑体" w:hAnsi="黑体" w:eastAsia="黑体"/>
          <w:bCs/>
          <w:sz w:val="22"/>
        </w:rPr>
        <w:t>泉州中心地段绝佳、景观一流、规模超大的商务集群！</w:t>
      </w:r>
      <w:r>
        <w:rPr>
          <w:rFonts w:ascii="黑体" w:hAnsi="黑体" w:eastAsia="黑体"/>
          <w:bCs/>
          <w:sz w:val="22"/>
        </w:rPr>
        <w:t xml:space="preserve"> </w:t>
      </w:r>
    </w:p>
    <w:p>
      <w:pPr>
        <w:keepNext/>
        <w:framePr w:dropCap="drop" w:lines="2" w:w="4471" w:h="3076" w:hRule="exact" w:wrap="around" w:vAnchor="text" w:hAnchor="page" w:x="5731" w:y="126"/>
        <w:spacing w:line="6226" w:lineRule="exact"/>
        <w:textAlignment w:val="baseline"/>
        <w:rPr>
          <w:rFonts w:ascii="宋体" w:hAnsi="宋体"/>
          <w:b/>
          <w:position w:val="-82"/>
          <w:sz w:val="300"/>
        </w:rPr>
      </w:pPr>
    </w:p>
    <w:p>
      <w:pPr>
        <w:jc w:val="left"/>
        <w:rPr>
          <w:b/>
          <w:sz w:val="28"/>
        </w:rPr>
      </w:pPr>
      <w:r>
        <w:rPr>
          <w:rFonts w:ascii="Calibri" w:hAnsi="Calibri" w:eastAsia="宋体" w:cs="黑体"/>
          <w:b/>
          <w:kern w:val="2"/>
          <w:sz w:val="28"/>
          <w:szCs w:val="22"/>
          <w:lang w:val="en-US" w:eastAsia="zh-CN" w:bidi="ar-SA"/>
        </w:rPr>
        <w:pict>
          <v:shape id="图片 6" o:spid="_x0000_s1034" type="#_x0000_t75" style="height:167.55pt;width:196.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88" w:lineRule="auto"/>
        <w:jc w:val="left"/>
        <w:rPr>
          <w:rFonts w:ascii="黑体" w:hAnsi="黑体" w:eastAsia="黑体"/>
          <w:b/>
          <w:sz w:val="22"/>
        </w:rPr>
      </w:pPr>
      <w:r>
        <w:rPr>
          <w:rFonts w:hint="eastAsia" w:ascii="黑体" w:hAnsi="黑体" w:eastAsia="黑体"/>
          <w:b/>
          <w:bCs/>
        </w:rPr>
        <w:t>√</w:t>
      </w:r>
      <w:r>
        <w:rPr>
          <w:rFonts w:hint="eastAsia" w:ascii="黑体" w:hAnsi="黑体" w:eastAsia="黑体"/>
          <w:b/>
          <w:bCs/>
          <w:sz w:val="22"/>
        </w:rPr>
        <w:t>超五星级酒店：高贵与奢华的商务平台 领航多领域会晤交流</w:t>
      </w:r>
    </w:p>
    <w:p>
      <w:pPr>
        <w:spacing w:line="288" w:lineRule="auto"/>
        <w:rPr>
          <w:rFonts w:ascii="黑体" w:hAnsi="黑体" w:eastAsia="黑体"/>
          <w:b/>
          <w:sz w:val="22"/>
        </w:rPr>
      </w:pPr>
      <w:r>
        <w:rPr>
          <w:rFonts w:hint="eastAsia" w:ascii="黑体" w:hAnsi="黑体" w:eastAsia="黑体"/>
          <w:b/>
          <w:bCs/>
        </w:rPr>
        <w:t>√</w:t>
      </w:r>
      <w:r>
        <w:rPr>
          <w:rFonts w:hint="eastAsia" w:ascii="黑体" w:hAnsi="黑体" w:eastAsia="黑体"/>
          <w:b/>
          <w:bCs/>
          <w:sz w:val="22"/>
        </w:rPr>
        <w:t>顶级SOHO办公</w:t>
      </w:r>
      <w:r>
        <w:rPr>
          <w:rFonts w:hint="eastAsia" w:ascii="黑体" w:hAnsi="黑体" w:eastAsia="黑体"/>
          <w:b/>
          <w:sz w:val="22"/>
        </w:rPr>
        <w:t>：</w:t>
      </w:r>
      <w:r>
        <w:rPr>
          <w:rFonts w:hint="eastAsia" w:ascii="黑体" w:hAnsi="黑体" w:eastAsia="黑体"/>
          <w:b/>
          <w:bCs/>
          <w:sz w:val="22"/>
        </w:rPr>
        <w:t xml:space="preserve">高性价比企业基地 抢占泉州顶级商务平台 </w:t>
      </w:r>
    </w:p>
    <w:p>
      <w:pPr>
        <w:spacing w:line="288" w:lineRule="auto"/>
        <w:rPr>
          <w:rFonts w:ascii="黑体" w:hAnsi="黑体" w:eastAsia="黑体"/>
          <w:b/>
          <w:sz w:val="22"/>
        </w:rPr>
      </w:pPr>
      <w:r>
        <w:rPr>
          <w:rFonts w:hint="eastAsia" w:ascii="黑体" w:hAnsi="黑体" w:eastAsia="黑体"/>
          <w:b/>
          <w:bCs/>
        </w:rPr>
        <w:t>√</w:t>
      </w:r>
      <w:r>
        <w:rPr>
          <w:rFonts w:hint="eastAsia" w:ascii="黑体" w:hAnsi="黑体" w:eastAsia="黑体" w:cs="+mn-cs"/>
          <w:b/>
          <w:bCs/>
          <w:color w:val="C00000"/>
          <w:kern w:val="24"/>
          <w:szCs w:val="24"/>
        </w:rPr>
        <w:t xml:space="preserve"> </w:t>
      </w:r>
      <w:r>
        <w:rPr>
          <w:rFonts w:hint="eastAsia" w:ascii="黑体" w:hAnsi="黑体" w:eastAsia="黑体"/>
          <w:b/>
          <w:bCs/>
          <w:sz w:val="22"/>
        </w:rPr>
        <w:t>5A甲级写字楼：超越国际标准定制 企业总部商务平台</w:t>
      </w:r>
      <w:r>
        <w:rPr>
          <w:rFonts w:hint="eastAsia" w:ascii="黑体" w:hAnsi="黑体" w:eastAsia="黑体"/>
          <w:b/>
          <w:sz w:val="22"/>
        </w:rPr>
        <w:t xml:space="preserve"> </w:t>
      </w:r>
    </w:p>
    <w:p>
      <w:pPr>
        <w:spacing w:line="288" w:lineRule="auto"/>
        <w:rPr>
          <w:rFonts w:ascii="黑体" w:hAnsi="黑体" w:eastAsia="黑体"/>
          <w:b/>
          <w:sz w:val="24"/>
        </w:rPr>
      </w:pPr>
    </w:p>
    <w:p>
      <w:pPr>
        <w:spacing w:line="288" w:lineRule="auto"/>
        <w:rPr>
          <w:rFonts w:ascii="黑体" w:hAnsi="黑体" w:eastAsia="黑体"/>
          <w:b/>
          <w:sz w:val="24"/>
        </w:rPr>
      </w:pPr>
    </w:p>
    <w:p>
      <w:pPr>
        <w:spacing w:line="288" w:lineRule="auto"/>
        <w:rPr>
          <w:rFonts w:ascii="黑体" w:hAnsi="黑体" w:eastAsia="黑体"/>
          <w:b/>
          <w:sz w:val="24"/>
        </w:rPr>
      </w:pPr>
    </w:p>
    <w:p>
      <w:pPr>
        <w:spacing w:line="288" w:lineRule="auto"/>
        <w:rPr>
          <w:rFonts w:ascii="黑体" w:hAnsi="黑体" w:eastAsia="黑体"/>
          <w:b/>
          <w:sz w:val="24"/>
        </w:rPr>
      </w:pPr>
    </w:p>
    <w:p>
      <w:pPr>
        <w:spacing w:line="288" w:lineRule="auto"/>
        <w:rPr>
          <w:rFonts w:ascii="黑体" w:hAnsi="黑体" w:eastAsia="黑体"/>
          <w:b/>
          <w:sz w:val="24"/>
        </w:rPr>
      </w:pPr>
    </w:p>
    <w:p>
      <w:pPr>
        <w:spacing w:line="288" w:lineRule="auto"/>
        <w:rPr>
          <w:rFonts w:ascii="黑体" w:hAnsi="黑体" w:eastAsia="黑体"/>
          <w:b/>
          <w:sz w:val="28"/>
        </w:rPr>
      </w:pPr>
      <w:r>
        <w:rPr>
          <w:rFonts w:hint="eastAsia" w:ascii="黑体" w:hAnsi="黑体" w:eastAsia="黑体"/>
          <w:b/>
          <w:sz w:val="24"/>
        </w:rPr>
        <w:t>5、</w:t>
      </w:r>
      <w:r>
        <w:rPr>
          <w:rFonts w:hint="eastAsia" w:ascii="黑体" w:hAnsi="黑体" w:eastAsia="黑体"/>
          <w:b/>
          <w:bCs/>
          <w:sz w:val="24"/>
        </w:rPr>
        <w:t>市中心唯一外资品牌五星级酒店</w:t>
      </w:r>
      <w:r>
        <w:rPr>
          <w:rFonts w:hint="eastAsia" w:ascii="黑体" w:hAnsi="黑体" w:eastAsia="黑体"/>
          <w:b/>
          <w:bCs/>
          <w:sz w:val="28"/>
        </w:rPr>
        <w:t xml:space="preserve"> </w:t>
      </w:r>
    </w:p>
    <w:p>
      <w:pPr>
        <w:framePr w:dropCap="drop" w:lines="2" w:w="4741" w:h="3826" w:hRule="exact" w:wrap="around" w:vAnchor="text" w:hAnchor="page" w:x="5086" w:y="345"/>
        <w:spacing w:line="264" w:lineRule="auto"/>
        <w:rPr>
          <w:rFonts w:ascii="黑体" w:hAnsi="黑体" w:eastAsia="黑体"/>
          <w:b/>
          <w:bCs/>
          <w:sz w:val="22"/>
        </w:rPr>
      </w:pPr>
      <w:r>
        <w:rPr>
          <w:rFonts w:hint="eastAsia" w:ascii="黑体" w:hAnsi="黑体" w:eastAsia="黑体"/>
          <w:b/>
          <w:bCs/>
          <w:sz w:val="28"/>
        </w:rPr>
        <w:t>洲际酒店强势进驻泰禾</w:t>
      </w:r>
      <w:r>
        <w:rPr>
          <w:rFonts w:ascii="黑体" w:hAnsi="黑体" w:eastAsia="黑体"/>
          <w:b/>
          <w:bCs/>
          <w:sz w:val="28"/>
        </w:rPr>
        <w:t xml:space="preserve"> </w:t>
      </w:r>
    </w:p>
    <w:p>
      <w:pPr>
        <w:framePr w:dropCap="drop" w:lines="2" w:w="4741" w:h="3826" w:hRule="exact" w:wrap="around" w:vAnchor="text" w:hAnchor="page" w:x="5086" w:y="345"/>
        <w:numPr>
          <w:ilvl w:val="0"/>
          <w:numId w:val="1"/>
        </w:numPr>
        <w:spacing w:line="264" w:lineRule="auto"/>
        <w:rPr>
          <w:rFonts w:ascii="黑体" w:hAnsi="黑体" w:eastAsia="黑体"/>
          <w:bCs/>
          <w:sz w:val="22"/>
        </w:rPr>
      </w:pPr>
      <w:r>
        <w:rPr>
          <w:rFonts w:hint="eastAsia" w:ascii="黑体" w:hAnsi="黑体" w:eastAsia="黑体"/>
          <w:bCs/>
          <w:sz w:val="22"/>
        </w:rPr>
        <w:t xml:space="preserve">全球第一的洲际酒店强势进驻， 近50000平米建筑面积、300余间豪华客房，是泉州最顶级的酒店、市区唯一外资超五星级酒店； </w:t>
      </w:r>
    </w:p>
    <w:p>
      <w:pPr>
        <w:framePr w:dropCap="drop" w:lines="2" w:w="4741" w:h="3826" w:hRule="exact" w:wrap="around" w:vAnchor="text" w:hAnchor="page" w:x="5086" w:y="345"/>
        <w:numPr>
          <w:ilvl w:val="0"/>
          <w:numId w:val="1"/>
        </w:numPr>
        <w:spacing w:line="264" w:lineRule="auto"/>
        <w:rPr>
          <w:rFonts w:ascii="黑体" w:hAnsi="黑体" w:eastAsia="黑体"/>
          <w:bCs/>
          <w:sz w:val="22"/>
        </w:rPr>
      </w:pPr>
      <w:r>
        <w:rPr>
          <w:rFonts w:hint="eastAsia" w:ascii="黑体" w:hAnsi="黑体" w:eastAsia="黑体"/>
          <w:bCs/>
          <w:sz w:val="22"/>
        </w:rPr>
        <w:t xml:space="preserve">2000平米泉州最大的宴会厅； </w:t>
      </w:r>
    </w:p>
    <w:p>
      <w:pPr>
        <w:framePr w:dropCap="drop" w:lines="2" w:w="4741" w:h="3826" w:hRule="exact" w:wrap="around" w:vAnchor="text" w:hAnchor="page" w:x="5086" w:y="345"/>
        <w:numPr>
          <w:ilvl w:val="0"/>
          <w:numId w:val="1"/>
        </w:numPr>
        <w:spacing w:line="264" w:lineRule="auto"/>
        <w:rPr>
          <w:rFonts w:ascii="黑体" w:hAnsi="黑体" w:eastAsia="黑体"/>
          <w:bCs/>
          <w:sz w:val="22"/>
        </w:rPr>
      </w:pPr>
      <w:r>
        <w:rPr>
          <w:rFonts w:hint="eastAsia" w:ascii="黑体" w:hAnsi="黑体" w:eastAsia="黑体"/>
          <w:bCs/>
          <w:sz w:val="22"/>
        </w:rPr>
        <w:t xml:space="preserve">无边际江景室内泳池； </w:t>
      </w:r>
    </w:p>
    <w:p>
      <w:pPr>
        <w:framePr w:dropCap="drop" w:lines="2" w:w="4741" w:h="3826" w:hRule="exact" w:wrap="around" w:vAnchor="text" w:hAnchor="page" w:x="5086" w:y="345"/>
        <w:numPr>
          <w:ilvl w:val="0"/>
          <w:numId w:val="1"/>
        </w:numPr>
        <w:spacing w:line="264" w:lineRule="auto"/>
        <w:rPr>
          <w:rFonts w:ascii="黑体" w:hAnsi="黑体" w:eastAsia="黑体"/>
          <w:bCs/>
          <w:sz w:val="22"/>
        </w:rPr>
      </w:pPr>
      <w:r>
        <w:rPr>
          <w:rFonts w:hint="eastAsia" w:ascii="黑体" w:hAnsi="黑体" w:eastAsia="黑体"/>
          <w:bCs/>
          <w:sz w:val="22"/>
        </w:rPr>
        <w:t xml:space="preserve">泉州最顶级的健身SPA会所； </w:t>
      </w:r>
    </w:p>
    <w:p>
      <w:pPr>
        <w:framePr w:dropCap="drop" w:lines="2" w:w="4741" w:h="3826" w:hRule="exact" w:wrap="around" w:vAnchor="text" w:hAnchor="page" w:x="5086" w:y="345"/>
        <w:numPr>
          <w:ilvl w:val="0"/>
          <w:numId w:val="1"/>
        </w:numPr>
        <w:spacing w:line="264" w:lineRule="auto"/>
        <w:rPr>
          <w:b/>
          <w:bCs/>
          <w:sz w:val="22"/>
        </w:rPr>
      </w:pPr>
      <w:r>
        <w:rPr>
          <w:rFonts w:hint="eastAsia" w:ascii="黑体" w:hAnsi="黑体" w:eastAsia="黑体"/>
          <w:bCs/>
          <w:sz w:val="22"/>
        </w:rPr>
        <w:t xml:space="preserve">泉州唯一的江景茶艺馆。 </w:t>
      </w:r>
    </w:p>
    <w:p>
      <w:pPr>
        <w:keepNext/>
        <w:framePr w:dropCap="drop" w:lines="2" w:w="4741" w:h="3826" w:hRule="exact" w:wrap="around" w:vAnchor="text" w:hAnchor="page" w:x="5086" w:y="345"/>
        <w:spacing w:line="6226" w:lineRule="exact"/>
        <w:textAlignment w:val="baseline"/>
        <w:rPr>
          <w:rFonts w:ascii="宋体" w:hAnsi="宋体"/>
          <w:b/>
          <w:position w:val="-82"/>
          <w:sz w:val="300"/>
        </w:rPr>
      </w:pPr>
    </w:p>
    <w:p>
      <w:pPr>
        <w:spacing w:line="288" w:lineRule="auto"/>
        <w:rPr>
          <w:rFonts w:ascii="黑体" w:hAnsi="黑体" w:eastAsia="黑体"/>
          <w:b/>
          <w:sz w:val="22"/>
        </w:rPr>
      </w:pPr>
    </w:p>
    <w:p>
      <w:pPr>
        <w:jc w:val="left"/>
        <w:rPr>
          <w:b/>
          <w:sz w:val="28"/>
        </w:rPr>
      </w:pPr>
      <w:r>
        <w:rPr>
          <w:rFonts w:ascii="Calibri" w:hAnsi="Calibri" w:eastAsia="宋体" w:cs="黑体"/>
          <w:b/>
          <w:kern w:val="2"/>
          <w:sz w:val="28"/>
          <w:szCs w:val="22"/>
          <w:lang w:val="en-US" w:eastAsia="zh-CN" w:bidi="ar-SA"/>
        </w:rPr>
        <w:pict>
          <v:shape id="图片 7" o:spid="_x0000_s1035" type="#_x0000_t75" style="height:186.45pt;width:151.5pt;rotation:0f;" o:ole="f" fillcolor="#FFFFFF" filled="f" o:preferrelative="t" stroked="f" coordorigin="0,0" coordsize="21600,21600">
            <v:fill on="f" color2="#FFFFFF" focus="0%"/>
            <v:imagedata cropbottom="7161f"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b/>
          <w:sz w:val="28"/>
        </w:rPr>
      </w:pPr>
    </w:p>
    <w:p>
      <w:pPr>
        <w:spacing w:line="180" w:lineRule="auto"/>
        <w:rPr>
          <w:rFonts w:ascii="黑体" w:hAnsi="黑体" w:eastAsia="黑体"/>
          <w:b/>
          <w:sz w:val="24"/>
          <w:szCs w:val="24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auto"/>
    <w:pitch w:val="default"/>
    <w:sig w:usb0="E00002FF" w:usb1="4000ACFF" w:usb2="00000001" w:usb3="00000000" w:csb0="0000019F" w:csb1="00000000"/>
  </w:font>
  <w:font w:name="微软雅黑">
    <w:altName w:val="黑体"/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+mn-cs">
    <w:altName w:val="仿宋_GB2312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仿宋_GB2312">
    <w:panose1 w:val="02010609030101010101"/>
    <w:charset w:val="00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040816564">
    <w:nsid w:val="79A463B4"/>
    <w:multiLevelType w:val="multilevel"/>
    <w:tmpl w:val="79A463B4"/>
    <w:lvl w:ilvl="0" w:tentative="1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1">
      <w:start w:val="1"/>
      <w:numFmt w:val="bullet"/>
      <w:lvlText w:val="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1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1">
      <w:start w:val="1"/>
      <w:numFmt w:val="bullet"/>
      <w:lvlText w:val="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1">
      <w:start w:val="1"/>
      <w:numFmt w:val="bullet"/>
      <w:lvlText w:val="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1">
      <w:start w:val="1"/>
      <w:numFmt w:val="bullet"/>
      <w:lvlText w:val="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1">
      <w:start w:val="1"/>
      <w:numFmt w:val="bullet"/>
      <w:lvlText w:val="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1">
      <w:start w:val="1"/>
      <w:numFmt w:val="bullet"/>
      <w:lvlText w:val="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1">
      <w:start w:val="1"/>
      <w:numFmt w:val="bullet"/>
      <w:lvlText w:val="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459347671">
    <w:nsid w:val="1B6116D7"/>
    <w:multiLevelType w:val="multilevel"/>
    <w:tmpl w:val="1B6116D7"/>
    <w:lvl w:ilvl="0" w:tentative="1">
      <w:start w:val="1"/>
      <w:numFmt w:val="lowerLetter"/>
      <w:lvlText w:val="%1)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040816564"/>
  </w:num>
  <w:num w:numId="2">
    <w:abstractNumId w:val="45934767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261309"/>
    <w:rsid w:val="00031737"/>
    <w:rsid w:val="00076911"/>
    <w:rsid w:val="000B742F"/>
    <w:rsid w:val="000F5338"/>
    <w:rsid w:val="00125E2B"/>
    <w:rsid w:val="0014787D"/>
    <w:rsid w:val="001D201F"/>
    <w:rsid w:val="0021390B"/>
    <w:rsid w:val="002279E5"/>
    <w:rsid w:val="00242384"/>
    <w:rsid w:val="002455AA"/>
    <w:rsid w:val="00261309"/>
    <w:rsid w:val="002619FB"/>
    <w:rsid w:val="002A7341"/>
    <w:rsid w:val="00331B34"/>
    <w:rsid w:val="00334228"/>
    <w:rsid w:val="00350624"/>
    <w:rsid w:val="003857BA"/>
    <w:rsid w:val="003D55DC"/>
    <w:rsid w:val="004B26CE"/>
    <w:rsid w:val="00551467"/>
    <w:rsid w:val="00571391"/>
    <w:rsid w:val="00571F6D"/>
    <w:rsid w:val="005834CD"/>
    <w:rsid w:val="005D508D"/>
    <w:rsid w:val="006B5B9A"/>
    <w:rsid w:val="0080079E"/>
    <w:rsid w:val="008C2A6D"/>
    <w:rsid w:val="008C6C21"/>
    <w:rsid w:val="009169EE"/>
    <w:rsid w:val="009247C5"/>
    <w:rsid w:val="00964647"/>
    <w:rsid w:val="00974F30"/>
    <w:rsid w:val="009B2D90"/>
    <w:rsid w:val="009D4496"/>
    <w:rsid w:val="00A71024"/>
    <w:rsid w:val="00A947D2"/>
    <w:rsid w:val="00AA301C"/>
    <w:rsid w:val="00AB6967"/>
    <w:rsid w:val="00B207A6"/>
    <w:rsid w:val="00B22577"/>
    <w:rsid w:val="00B570ED"/>
    <w:rsid w:val="00BC42B1"/>
    <w:rsid w:val="00BD398E"/>
    <w:rsid w:val="00C12452"/>
    <w:rsid w:val="00C77D99"/>
    <w:rsid w:val="00C91551"/>
    <w:rsid w:val="00CA3B3A"/>
    <w:rsid w:val="00D0020B"/>
    <w:rsid w:val="00E712D0"/>
    <w:rsid w:val="00EA12A3"/>
    <w:rsid w:val="00EC0E25"/>
    <w:rsid w:val="00ED2B51"/>
    <w:rsid w:val="00EE290F"/>
    <w:rsid w:val="00EF116A"/>
    <w:rsid w:val="00F2347D"/>
    <w:rsid w:val="00F32878"/>
    <w:rsid w:val="00F92D0D"/>
    <w:rsid w:val="44F61431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  <o:shapelayout v:ext="edit">
      <o:rules v:ext="edit">
        <o:r id="V:Rule1" type="callout" idref="#矩形标注 5"/>
        <o:r id="V:Rule2" type="callout" idref="#矩形标注 6"/>
        <o:r id="V:Rule3" type="callout" idref="#矩形标注 8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name="header"/>
    <w:lsdException w:uiPriority="99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Style w:val="6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10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 textRotate="1"/>
    <customShpInfo spid="_x0000_s1030" textRotate="1"/>
    <customShpInfo spid="_x0000_s1031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403</Words>
  <Characters>2303</Characters>
  <Lines>19</Lines>
  <Paragraphs>5</Paragraphs>
  <TotalTime>0</TotalTime>
  <ScaleCrop>false</ScaleCrop>
  <LinksUpToDate>false</LinksUpToDate>
  <CharactersWithSpaces>0</CharactersWithSpaces>
  <Application>WPS Office 个人版_9.1.0.4993_{F1E327BC-269C-435d-A152-05C5408002CA}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2015-03-08T02:29:00Z</dcterms:created>
  <dc:creator>admin</dc:creator>
  <cp:lastModifiedBy>Administrator</cp:lastModifiedBy>
  <dcterms:modified xsi:type="dcterms:W3CDTF">2015-07-09T07:05:33Z</dcterms:modified>
  <dc:title>泉州师范学院﹠东海泰禾广场住宅专场团购会通知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2052-9.1.0.4993</vt:lpwstr>
  </property>
</Properties>
</file>